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6"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July 28,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2"/>
          <w:szCs w:val="42"/>
          <w:b w:val="1"/>
          <w:bCs w:val="1"/>
          <w:color w:val="auto"/>
        </w:rPr>
        <w:t>Federal Realty Investment Trust</w:t>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584"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584"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584"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84" w:right="639" w:bottom="1440" w:gutter="0" w:footer="0" w:header="0"/>
          <w:type w:val="continuous"/>
        </w:sectPr>
      </w:pPr>
    </w:p>
    <w:p>
      <w:pPr>
        <w:ind w:left="3220"/>
        <w:spacing w:after="0"/>
        <w:rPr>
          <w:sz w:val="20"/>
          <w:szCs w:val="20"/>
          <w:color w:val="auto"/>
        </w:rPr>
      </w:pPr>
      <w:r>
        <w:rPr>
          <w:rFonts w:ascii="Arial" w:cs="Arial" w:eastAsia="Arial" w:hAnsi="Arial"/>
          <w:sz w:val="18"/>
          <w:szCs w:val="18"/>
          <w:color w:val="auto"/>
        </w:rPr>
        <w:t>Registrant’s Telephone Number, Including Area Code: (301) 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Federal Realty Investment Trust (the “Trust) entered into that certain Credit Agreement, dated as of July 28, 2006 (the “Agreement”), by and between the Trust, Wachovia Capital Markets LLC, Wachovia Bank, National Association, Eurohypo AG, New York Branch, PNC Bank, National Association, SunTrust Bank, U.S. Bank National Association, and each of the financial institutions initially a signatory to the Agreement together with their assignees pursuant to Section 12.5.(d) of the Agreement.</w:t>
      </w:r>
    </w:p>
    <w:p>
      <w:pPr>
        <w:spacing w:after="0" w:line="14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Agreement replaces the Credit Agreement, dated as of October 8, 2003 (the “Old Agreement”), by and among the Trust, Wachovia Bank, National Association, Wachovia Capital Markets, LLC, Commerzbank AG, New York Branch, Wells Fargo Bank, National Association, Bank One, N.A., SunTrust Bank, and each of the financial institutions initially a signatory to the Old Agreement together with their assignees pursuant to Section 12.5(d) of the Old Agreement. The Old Agreement consisted of a $300.0 million revolving credit facility (the “Old Facility”) with a maturity date of October 8, 2006, subject to a one-year extension at the option of the Trust. Generally, various acquisitions of the Trust were initially financed by available cash and borrowings under the Old Facility. As of March 31, 2006, the Old Facility bore interest at LIBOR plus 75 basis points, and the spread over LIBOR was subject to adjustment based on our credit rating.</w:t>
      </w:r>
    </w:p>
    <w:p>
      <w:pPr>
        <w:spacing w:after="0" w:line="14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Agreement consists of a $300.0 million unsecured revolving credit facility (the “New Facility”) with a maturity date of July 28, 2010, subject to a one-year extension at the option of the Trust. The New Facility initially bears interest at a rate of LIBOR plus 42.5 basis points, and the spread over LIBOR is subject to adjustment based on our credit rating.</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Agreement contains a number of restrictions on the Trust’s business, including, but not limited to, restrictions on the Trust’s ability to incur indebtedness, make investments, incur liens on the Trust’s properties, engage in certain transactions with the Trust’s affiliates, and engage in major transactions such as mergers. In addition, the Trust is subject to various financial maintenance covenants, including, but not limited to, a minimum fixed charge coverage ratio, a maximum secured indebtedness ratio, and a minimum unencumbered leverage ratio. The Agreement also contains affirmative covenants and events of default, including a cross default to the Trust’s other indebtedness and the occurrence of a change of control. The Trust’s failure to comply with these covenants, or the occurrence of an event of default, could result in acceleration of the Trust’s debt and other financial obligations under the Agreement.</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Affiliates of Wachovia Capital Markets, LLC, PNC Bank, National Association, SunTrust Bank and U.S. Bank National Association served as the underwriters in connection with the Trust’s public offering of $120,000,000 of the Trust’s 6.00% Notes due 2012 and $130,000,000 of the Trust’s 6.20% Notes due 2017, which closed on July 17, 2006. In addition, affiliates of these entities have provided from time to time, and may provide in the future, investment and commercial banking and financial advisory services to the Trust or its affiliates in the ordinary course of business for which they have received and may continue to receive customary fees and commissions.</w:t>
      </w:r>
    </w:p>
    <w:p>
      <w:pPr>
        <w:sectPr>
          <w:pgSz w:w="11900" w:h="16838" w:orient="portrait"/>
          <w:cols w:equalWidth="0" w:num="1">
            <w:col w:w="11420"/>
          </w:cols>
          <w:pgMar w:left="240" w:top="274" w:right="23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does not constitute a complete summary of the terms of the Agreement, which is attached hereto as Exhibit 10.1. The description contained herein of the terms of the Agreement is qualified in its entirety by reference to such exhibit.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20" w:right="8960" w:hanging="466"/>
        <w:spacing w:after="0" w:line="413" w:lineRule="auto"/>
        <w:tabs>
          <w:tab w:leader="none" w:pos="898"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920" w:right="8100" w:hanging="466"/>
        <w:spacing w:after="0" w:line="344" w:lineRule="auto"/>
        <w:tabs>
          <w:tab w:leader="none" w:pos="89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ind w:left="920" w:right="8400" w:hanging="466"/>
        <w:spacing w:after="0" w:line="413" w:lineRule="auto"/>
        <w:tabs>
          <w:tab w:leader="none" w:pos="898" w:val="left"/>
        </w:tabs>
        <w:numPr>
          <w:ilvl w:val="0"/>
          <w:numId w:val="2"/>
        </w:numPr>
        <w:rPr>
          <w:rFonts w:ascii="Arial" w:cs="Arial" w:eastAsia="Arial" w:hAnsi="Arial"/>
          <w:sz w:val="15"/>
          <w:szCs w:val="15"/>
          <w:color w:val="auto"/>
        </w:rPr>
      </w:pPr>
      <w:r>
        <w:rPr>
          <w:rFonts w:ascii="Arial" w:cs="Arial" w:eastAsia="Arial" w:hAnsi="Arial"/>
          <w:sz w:val="15"/>
          <w:szCs w:val="15"/>
          <w:color w:val="auto"/>
        </w:rPr>
        <w:t>Shell Company Transactions Not applicable.</w:t>
      </w: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107" w:lineRule="exact"/>
        <w:rPr>
          <w:sz w:val="20"/>
          <w:szCs w:val="20"/>
          <w:color w:val="auto"/>
        </w:rPr>
      </w:pPr>
    </w:p>
    <w:p>
      <w:pPr>
        <w:ind w:left="1740" w:right="600" w:hanging="1269"/>
        <w:spacing w:after="0" w:line="268" w:lineRule="auto"/>
        <w:tabs>
          <w:tab w:leader="none" w:pos="17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Credit Agreement, dated as of July 28, 2006, by and between Federal Realty Investment Trust, Wachovia Capital Markets LLC, Wachovia Bank, National Association and various other financial institutions</w:t>
      </w:r>
    </w:p>
    <w:p>
      <w:pPr>
        <w:sectPr>
          <w:pgSz w:w="11900" w:h="16838" w:orient="portrait"/>
          <w:cols w:equalWidth="0" w:num="1">
            <w:col w:w="11320"/>
          </w:cols>
          <w:pgMar w:left="240" w:top="2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July 31,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Dawn M. Becker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Dawn M. Becker</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0" w:lineRule="exact"/>
        <w:rPr>
          <w:sz w:val="20"/>
          <w:szCs w:val="20"/>
          <w:color w:val="auto"/>
        </w:rPr>
      </w:pPr>
    </w:p>
    <w:p>
      <w:pPr>
        <w:spacing w:after="0" w:line="216"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7" w:lineRule="exact"/>
        <w:rPr>
          <w:sz w:val="20"/>
          <w:szCs w:val="20"/>
          <w:color w:val="auto"/>
        </w:rPr>
      </w:pPr>
    </w:p>
    <w:p>
      <w:pPr>
        <w:ind w:left="1380" w:hanging="1205"/>
        <w:spacing w:after="0" w:line="268" w:lineRule="auto"/>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Credit Agreement, dated as of July 28, 2006, by and between Federal Realty Investment Trust, Wachovia Capital Markets LLC, Wachovia Bank, National Association and various other financial institutions</w:t>
      </w:r>
    </w:p>
    <w:p>
      <w:pPr>
        <w:sectPr>
          <w:pgSz w:w="11900" w:h="16838" w:orient="portrait"/>
          <w:cols w:equalWidth="0" w:num="1">
            <w:col w:w="11100"/>
          </w:cols>
          <w:pgMar w:left="240" w:top="274"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July 28, 2006</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Sole Lead Arranger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Sole Book Manager,</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Agent,</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EUROHYPO AG, NEW YORK BRANCH</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SUNTRUST BANK</w:t>
      </w:r>
    </w:p>
    <w:p>
      <w:pPr>
        <w:spacing w:after="0" w:line="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Documentation Agent,</w:t>
      </w:r>
    </w:p>
    <w:p>
      <w:pPr>
        <w:spacing w:after="0" w:line="8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THE FINANCIAL INSTITUTIONS INITIALLY SIGNATORY HERETO</w:t>
      </w:r>
    </w:p>
    <w:p>
      <w:pPr>
        <w:spacing w:after="0" w:line="38"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AND THEIR ASSIGNEES PURSUANT TO SECTION 12.5.(d),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305435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19"/>
                <w:szCs w:val="19"/>
                <w:color w:val="auto"/>
              </w:rPr>
            </w:pPr>
          </w:p>
        </w:tc>
        <w:tc>
          <w:tcPr>
            <w:tcW w:w="7540" w:type="dxa"/>
            <w:vAlign w:val="bottom"/>
          </w:tcPr>
          <w:p>
            <w:pPr>
              <w:ind w:left="344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19"/>
                <w:szCs w:val="19"/>
                <w:color w:val="auto"/>
              </w:rPr>
            </w:pPr>
          </w:p>
        </w:tc>
      </w:tr>
      <w:tr>
        <w:trPr>
          <w:trHeight w:val="419"/>
        </w:trPr>
        <w:tc>
          <w:tcPr>
            <w:tcW w:w="89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1.1.</w:t>
            </w:r>
          </w:p>
        </w:tc>
        <w:tc>
          <w:tcPr>
            <w:tcW w:w="754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1.2.  General; References to Times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1.3.  Financial Attributes of Non-Wholly Owned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 Credit Facility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2.1.</w:t>
            </w:r>
          </w:p>
        </w:tc>
        <w:tc>
          <w:tcPr>
            <w:tcW w:w="7540" w:type="dxa"/>
            <w:vAlign w:val="bottom"/>
          </w:tcPr>
          <w:p>
            <w:pPr>
              <w:ind w:left="20"/>
              <w:spacing w:after="0"/>
              <w:rPr>
                <w:sz w:val="20"/>
                <w:szCs w:val="20"/>
                <w:color w:val="auto"/>
              </w:rPr>
            </w:pPr>
            <w:r>
              <w:rPr>
                <w:rFonts w:ascii="Arial" w:cs="Arial" w:eastAsia="Arial" w:hAnsi="Arial"/>
                <w:sz w:val="18"/>
                <w:szCs w:val="18"/>
                <w:color w:val="auto"/>
              </w:rPr>
              <w:t>Revolving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2.2.  Bid Rate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2.3.</w:t>
            </w:r>
          </w:p>
        </w:tc>
        <w:tc>
          <w:tcPr>
            <w:tcW w:w="7540" w:type="dxa"/>
            <w:vAlign w:val="bottom"/>
          </w:tcPr>
          <w:p>
            <w:pPr>
              <w:ind w:left="20"/>
              <w:spacing w:after="0"/>
              <w:rPr>
                <w:sz w:val="20"/>
                <w:szCs w:val="20"/>
                <w:color w:val="auto"/>
              </w:rPr>
            </w:pPr>
            <w:r>
              <w:rPr>
                <w:rFonts w:ascii="Arial" w:cs="Arial" w:eastAsia="Arial" w:hAnsi="Arial"/>
                <w:sz w:val="18"/>
                <w:szCs w:val="18"/>
                <w:color w:val="auto"/>
              </w:rPr>
              <w:t>Swingline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2.4.  Letters of Credit</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2.5.  Rates and Payment of Interest on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2.6.  Number of Interest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2.7.  Repayment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2.8.</w:t>
            </w:r>
          </w:p>
        </w:tc>
        <w:tc>
          <w:tcPr>
            <w:tcW w:w="7540" w:type="dxa"/>
            <w:vAlign w:val="bottom"/>
          </w:tcPr>
          <w:p>
            <w:pPr>
              <w:ind w:left="20"/>
              <w:spacing w:after="0"/>
              <w:rPr>
                <w:sz w:val="20"/>
                <w:szCs w:val="20"/>
                <w:color w:val="auto"/>
              </w:rPr>
            </w:pPr>
            <w:r>
              <w:rPr>
                <w:rFonts w:ascii="Arial" w:cs="Arial" w:eastAsia="Arial" w:hAnsi="Arial"/>
                <w:sz w:val="18"/>
                <w:szCs w:val="18"/>
                <w:color w:val="auto"/>
              </w:rPr>
              <w:t>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2.9.</w:t>
            </w:r>
          </w:p>
        </w:tc>
        <w:tc>
          <w:tcPr>
            <w:tcW w:w="7540" w:type="dxa"/>
            <w:vAlign w:val="bottom"/>
          </w:tcPr>
          <w:p>
            <w:pPr>
              <w:ind w:left="20"/>
              <w:spacing w:after="0"/>
              <w:rPr>
                <w:sz w:val="20"/>
                <w:szCs w:val="20"/>
                <w:color w:val="auto"/>
              </w:rPr>
            </w:pPr>
            <w:r>
              <w:rPr>
                <w:rFonts w:ascii="Arial" w:cs="Arial" w:eastAsia="Arial" w:hAnsi="Arial"/>
                <w:sz w:val="18"/>
                <w:szCs w:val="18"/>
                <w:color w:val="auto"/>
              </w:rPr>
              <w:t>Continuation</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2.10.</w:t>
            </w:r>
          </w:p>
        </w:tc>
        <w:tc>
          <w:tcPr>
            <w:tcW w:w="7540" w:type="dxa"/>
            <w:vAlign w:val="bottom"/>
          </w:tcPr>
          <w:p>
            <w:pPr>
              <w:ind w:left="120"/>
              <w:spacing w:after="0"/>
              <w:rPr>
                <w:sz w:val="20"/>
                <w:szCs w:val="20"/>
                <w:color w:val="auto"/>
              </w:rPr>
            </w:pPr>
            <w:r>
              <w:rPr>
                <w:rFonts w:ascii="Arial" w:cs="Arial" w:eastAsia="Arial" w:hAnsi="Arial"/>
                <w:sz w:val="18"/>
                <w:szCs w:val="18"/>
                <w:color w:val="auto"/>
              </w:rPr>
              <w:t>Conversion</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2.11.</w:t>
            </w:r>
          </w:p>
        </w:tc>
        <w:tc>
          <w:tcPr>
            <w:tcW w:w="7540" w:type="dxa"/>
            <w:vAlign w:val="bottom"/>
          </w:tcPr>
          <w:p>
            <w:pPr>
              <w:ind w:left="100"/>
              <w:spacing w:after="0"/>
              <w:rPr>
                <w:sz w:val="20"/>
                <w:szCs w:val="20"/>
                <w:color w:val="auto"/>
              </w:rPr>
            </w:pPr>
            <w:r>
              <w:rPr>
                <w:rFonts w:ascii="Arial" w:cs="Arial" w:eastAsia="Arial" w:hAnsi="Arial"/>
                <w:sz w:val="18"/>
                <w:szCs w:val="18"/>
                <w:color w:val="auto"/>
              </w:rPr>
              <w:t>Notes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2.12.  Voluntary Reductions of the Commitments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2.13.  Extension of Termination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2.14.  Expiration or Maturity Date of Letters of Credit Past Termination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2.15.</w:t>
            </w:r>
          </w:p>
        </w:tc>
        <w:tc>
          <w:tcPr>
            <w:tcW w:w="7540" w:type="dxa"/>
            <w:vAlign w:val="bottom"/>
          </w:tcPr>
          <w:p>
            <w:pPr>
              <w:ind w:left="100"/>
              <w:spacing w:after="0"/>
              <w:rPr>
                <w:sz w:val="20"/>
                <w:szCs w:val="20"/>
                <w:color w:val="auto"/>
              </w:rPr>
            </w:pPr>
            <w:r>
              <w:rPr>
                <w:rFonts w:ascii="Arial" w:cs="Arial" w:eastAsia="Arial" w:hAnsi="Arial"/>
                <w:sz w:val="18"/>
                <w:szCs w:val="18"/>
                <w:color w:val="auto"/>
              </w:rPr>
              <w:t>Amount Limitations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2.16.  Increase of Commitments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3.1.</w:t>
            </w:r>
          </w:p>
        </w:tc>
        <w:tc>
          <w:tcPr>
            <w:tcW w:w="7540" w:type="dxa"/>
            <w:vAlign w:val="bottom"/>
          </w:tcPr>
          <w:p>
            <w:pPr>
              <w:ind w:left="20"/>
              <w:spacing w:after="0"/>
              <w:rPr>
                <w:sz w:val="20"/>
                <w:szCs w:val="20"/>
                <w:color w:val="auto"/>
              </w:rPr>
            </w:pPr>
            <w:r>
              <w:rPr>
                <w:rFonts w:ascii="Arial" w:cs="Arial" w:eastAsia="Arial" w:hAnsi="Arial"/>
                <w:sz w:val="18"/>
                <w:szCs w:val="18"/>
                <w:color w:val="auto"/>
              </w:rPr>
              <w:t>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3.2.  Pro Rata Treatment</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3.3.  Sharing of Payments,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3.4.</w:t>
            </w:r>
          </w:p>
        </w:tc>
        <w:tc>
          <w:tcPr>
            <w:tcW w:w="7540" w:type="dxa"/>
            <w:vAlign w:val="bottom"/>
          </w:tcPr>
          <w:p>
            <w:pPr>
              <w:ind w:left="20"/>
              <w:spacing w:after="0"/>
              <w:rPr>
                <w:sz w:val="20"/>
                <w:szCs w:val="20"/>
                <w:color w:val="auto"/>
              </w:rPr>
            </w:pPr>
            <w:r>
              <w:rPr>
                <w:rFonts w:ascii="Arial" w:cs="Arial" w:eastAsia="Arial" w:hAnsi="Arial"/>
                <w:sz w:val="18"/>
                <w:szCs w:val="18"/>
                <w:color w:val="auto"/>
              </w:rPr>
              <w:t>Several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3.5.</w:t>
            </w:r>
          </w:p>
        </w:tc>
        <w:tc>
          <w:tcPr>
            <w:tcW w:w="7540" w:type="dxa"/>
            <w:vAlign w:val="bottom"/>
          </w:tcPr>
          <w:p>
            <w:pPr>
              <w:ind w:left="20"/>
              <w:spacing w:after="0"/>
              <w:rPr>
                <w:sz w:val="20"/>
                <w:szCs w:val="20"/>
                <w:color w:val="auto"/>
              </w:rPr>
            </w:pPr>
            <w:r>
              <w:rPr>
                <w:rFonts w:ascii="Arial" w:cs="Arial" w:eastAsia="Arial" w:hAnsi="Arial"/>
                <w:sz w:val="18"/>
                <w:szCs w:val="18"/>
                <w:color w:val="auto"/>
              </w:rPr>
              <w:t>Minimum Amounts</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3.6.</w:t>
            </w:r>
          </w:p>
        </w:tc>
        <w:tc>
          <w:tcPr>
            <w:tcW w:w="7540" w:type="dxa"/>
            <w:vAlign w:val="bottom"/>
          </w:tcPr>
          <w:p>
            <w:pPr>
              <w:ind w:left="20"/>
              <w:spacing w:after="0"/>
              <w:rPr>
                <w:sz w:val="20"/>
                <w:szCs w:val="20"/>
                <w:color w:val="auto"/>
              </w:rPr>
            </w:pPr>
            <w:r>
              <w:rPr>
                <w:rFonts w:ascii="Arial" w:cs="Arial" w:eastAsia="Arial" w:hAnsi="Arial"/>
                <w:sz w:val="18"/>
                <w:szCs w:val="18"/>
                <w:color w:val="auto"/>
              </w:rPr>
              <w:t>Fees</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3.7.</w:t>
            </w:r>
          </w:p>
        </w:tc>
        <w:tc>
          <w:tcPr>
            <w:tcW w:w="7540" w:type="dxa"/>
            <w:vAlign w:val="bottom"/>
          </w:tcPr>
          <w:p>
            <w:pPr>
              <w:ind w:left="20"/>
              <w:spacing w:after="0"/>
              <w:rPr>
                <w:sz w:val="20"/>
                <w:szCs w:val="20"/>
                <w:color w:val="auto"/>
              </w:rPr>
            </w:pPr>
            <w:r>
              <w:rPr>
                <w:rFonts w:ascii="Arial" w:cs="Arial" w:eastAsia="Arial" w:hAnsi="Arial"/>
                <w:sz w:val="18"/>
                <w:szCs w:val="18"/>
                <w:color w:val="auto"/>
              </w:rPr>
              <w:t>Computations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3.8.</w:t>
            </w:r>
          </w:p>
        </w:tc>
        <w:tc>
          <w:tcPr>
            <w:tcW w:w="7540" w:type="dxa"/>
            <w:vAlign w:val="bottom"/>
          </w:tcPr>
          <w:p>
            <w:pPr>
              <w:ind w:left="20"/>
              <w:spacing w:after="0"/>
              <w:rPr>
                <w:sz w:val="20"/>
                <w:szCs w:val="20"/>
                <w:color w:val="auto"/>
              </w:rPr>
            </w:pPr>
            <w:r>
              <w:rPr>
                <w:rFonts w:ascii="Arial" w:cs="Arial" w:eastAsia="Arial" w:hAnsi="Arial"/>
                <w:sz w:val="18"/>
                <w:szCs w:val="18"/>
                <w:color w:val="auto"/>
              </w:rPr>
              <w:t>Usury</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3.9.  Agreement Regarding Interest and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3.10.  Statements of Account</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3.11.</w:t>
            </w:r>
          </w:p>
        </w:tc>
        <w:tc>
          <w:tcPr>
            <w:tcW w:w="754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3.12.</w:t>
            </w:r>
          </w:p>
        </w:tc>
        <w:tc>
          <w:tcPr>
            <w:tcW w:w="7540" w:type="dxa"/>
            <w:vAlign w:val="bottom"/>
          </w:tcPr>
          <w:p>
            <w:pPr>
              <w:ind w:left="120"/>
              <w:spacing w:after="0"/>
              <w:rPr>
                <w:sz w:val="20"/>
                <w:szCs w:val="20"/>
                <w:color w:val="auto"/>
              </w:rPr>
            </w:pPr>
            <w:r>
              <w:rPr>
                <w:rFonts w:ascii="Arial" w:cs="Arial" w:eastAsia="Arial" w:hAnsi="Arial"/>
                <w:sz w:val="18"/>
                <w:szCs w:val="18"/>
                <w:color w:val="auto"/>
              </w:rPr>
              <w:t>Taxes</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IV. Yield Protection, Etc.</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4.1.  Additional Costs; Capital Adequacy</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Section 4.2.  Suspension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4.3.</w:t>
            </w:r>
          </w:p>
        </w:tc>
        <w:tc>
          <w:tcPr>
            <w:tcW w:w="7540" w:type="dxa"/>
            <w:vAlign w:val="bottom"/>
          </w:tcPr>
          <w:p>
            <w:pPr>
              <w:ind w:left="20"/>
              <w:spacing w:after="0"/>
              <w:rPr>
                <w:sz w:val="20"/>
                <w:szCs w:val="20"/>
                <w:color w:val="auto"/>
              </w:rPr>
            </w:pPr>
            <w:r>
              <w:rPr>
                <w:rFonts w:ascii="Arial" w:cs="Arial" w:eastAsia="Arial" w:hAnsi="Arial"/>
                <w:sz w:val="18"/>
                <w:szCs w:val="18"/>
                <w:color w:val="auto"/>
              </w:rPr>
              <w:t>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4.4.</w:t>
            </w:r>
          </w:p>
        </w:tc>
        <w:tc>
          <w:tcPr>
            <w:tcW w:w="754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4.5.</w:t>
            </w:r>
          </w:p>
        </w:tc>
        <w:tc>
          <w:tcPr>
            <w:tcW w:w="7540" w:type="dxa"/>
            <w:vAlign w:val="bottom"/>
          </w:tcPr>
          <w:p>
            <w:pPr>
              <w:ind w:left="20"/>
              <w:spacing w:after="0"/>
              <w:rPr>
                <w:sz w:val="20"/>
                <w:szCs w:val="20"/>
                <w:color w:val="auto"/>
              </w:rPr>
            </w:pPr>
            <w:r>
              <w:rPr>
                <w:rFonts w:ascii="Arial" w:cs="Arial" w:eastAsia="Arial" w:hAnsi="Arial"/>
                <w:sz w:val="18"/>
                <w:szCs w:val="18"/>
                <w:color w:val="auto"/>
              </w:rPr>
              <w:t>Treatment of Affected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4.6.  Change of Lending Office</w:t>
            </w:r>
          </w:p>
        </w:tc>
        <w:tc>
          <w:tcPr>
            <w:tcW w:w="2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4.7.  Assumptions Concerning Funding of LIBOR Loans</w:t>
            </w:r>
          </w:p>
        </w:tc>
        <w:tc>
          <w:tcPr>
            <w:tcW w:w="2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4.8.</w:t>
            </w:r>
          </w:p>
        </w:tc>
        <w:tc>
          <w:tcPr>
            <w:tcW w:w="7200" w:type="dxa"/>
            <w:vAlign w:val="bottom"/>
          </w:tcPr>
          <w:p>
            <w:pPr>
              <w:ind w:left="20"/>
              <w:spacing w:after="0"/>
              <w:rPr>
                <w:sz w:val="20"/>
                <w:szCs w:val="20"/>
                <w:color w:val="auto"/>
              </w:rPr>
            </w:pPr>
            <w:r>
              <w:rPr>
                <w:rFonts w:ascii="Arial" w:cs="Arial" w:eastAsia="Arial" w:hAnsi="Arial"/>
                <w:sz w:val="18"/>
                <w:szCs w:val="18"/>
                <w:color w:val="auto"/>
              </w:rPr>
              <w:t>Affected Lenders</w:t>
            </w:r>
          </w:p>
        </w:tc>
        <w:tc>
          <w:tcPr>
            <w:tcW w:w="2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 Conditions Precedent</w:t>
            </w:r>
          </w:p>
        </w:tc>
        <w:tc>
          <w:tcPr>
            <w:tcW w:w="2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5.1.  Initial Conditions Precedent</w:t>
            </w:r>
          </w:p>
        </w:tc>
        <w:tc>
          <w:tcPr>
            <w:tcW w:w="2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5.2.  Conditions Precedent to All Loans and Letters of Credit</w:t>
            </w:r>
          </w:p>
        </w:tc>
        <w:tc>
          <w:tcPr>
            <w:tcW w:w="2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2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6.1.  Representations and Warranties</w:t>
            </w:r>
          </w:p>
        </w:tc>
        <w:tc>
          <w:tcPr>
            <w:tcW w:w="2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6.2.  Survival of Representations and Warranties, Etc.</w:t>
            </w:r>
          </w:p>
        </w:tc>
        <w:tc>
          <w:tcPr>
            <w:tcW w:w="2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7.1.  Preservation of Existence and Similar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7.2.  Compliance with Applicable Law and Material Contracts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7.3.  Maintenance of Property</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7.4.  Conduct of Business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7.5.</w:t>
            </w:r>
          </w:p>
        </w:tc>
        <w:tc>
          <w:tcPr>
            <w:tcW w:w="72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7.6.  Payment of Taxes and Claims</w:t>
            </w:r>
          </w:p>
        </w:tc>
        <w:tc>
          <w:tcPr>
            <w:tcW w:w="2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7.7.  Visits and Inspections</w:t>
            </w:r>
          </w:p>
        </w:tc>
        <w:tc>
          <w:tcPr>
            <w:tcW w:w="2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7.8.  Use of Proceeds; Letters of Credit</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7.9.</w:t>
            </w:r>
          </w:p>
        </w:tc>
        <w:tc>
          <w:tcPr>
            <w:tcW w:w="720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7.10.  Books and Records</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7.11.</w:t>
            </w:r>
          </w:p>
        </w:tc>
        <w:tc>
          <w:tcPr>
            <w:tcW w:w="72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7.12.</w:t>
            </w:r>
          </w:p>
        </w:tc>
        <w:tc>
          <w:tcPr>
            <w:tcW w:w="7200" w:type="dxa"/>
            <w:vAlign w:val="bottom"/>
          </w:tcPr>
          <w:p>
            <w:pPr>
              <w:ind w:left="120"/>
              <w:spacing w:after="0"/>
              <w:rPr>
                <w:sz w:val="20"/>
                <w:szCs w:val="20"/>
                <w:color w:val="auto"/>
              </w:rPr>
            </w:pPr>
            <w:r>
              <w:rPr>
                <w:rFonts w:ascii="Arial" w:cs="Arial" w:eastAsia="Arial" w:hAnsi="Arial"/>
                <w:sz w:val="18"/>
                <w:szCs w:val="18"/>
                <w:color w:val="auto"/>
              </w:rPr>
              <w:t>New Subsidiaries/Guarantors</w:t>
            </w:r>
          </w:p>
        </w:tc>
        <w:tc>
          <w:tcPr>
            <w:tcW w:w="2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7.13.</w:t>
            </w:r>
          </w:p>
        </w:tc>
        <w:tc>
          <w:tcPr>
            <w:tcW w:w="7200" w:type="dxa"/>
            <w:vAlign w:val="bottom"/>
          </w:tcPr>
          <w:p>
            <w:pPr>
              <w:ind w:left="120"/>
              <w:spacing w:after="0"/>
              <w:rPr>
                <w:sz w:val="20"/>
                <w:szCs w:val="20"/>
                <w:color w:val="auto"/>
              </w:rPr>
            </w:pPr>
            <w:r>
              <w:rPr>
                <w:rFonts w:ascii="Arial" w:cs="Arial" w:eastAsia="Arial" w:hAnsi="Arial"/>
                <w:sz w:val="18"/>
                <w:szCs w:val="18"/>
                <w:color w:val="auto"/>
              </w:rPr>
              <w:t>REIT Status</w:t>
            </w:r>
          </w:p>
        </w:tc>
        <w:tc>
          <w:tcPr>
            <w:tcW w:w="2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7.14.</w:t>
            </w:r>
          </w:p>
        </w:tc>
        <w:tc>
          <w:tcPr>
            <w:tcW w:w="7200" w:type="dxa"/>
            <w:vAlign w:val="bottom"/>
          </w:tcPr>
          <w:p>
            <w:pPr>
              <w:ind w:left="120"/>
              <w:spacing w:after="0"/>
              <w:rPr>
                <w:sz w:val="20"/>
                <w:szCs w:val="20"/>
                <w:color w:val="auto"/>
              </w:rPr>
            </w:pPr>
            <w:r>
              <w:rPr>
                <w:rFonts w:ascii="Arial" w:cs="Arial" w:eastAsia="Arial" w:hAnsi="Arial"/>
                <w:sz w:val="18"/>
                <w:szCs w:val="18"/>
                <w:color w:val="auto"/>
              </w:rPr>
              <w:t>Exchange Listing</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VIII. Information</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8.1.  Quarterly Financial Statements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8.2.</w:t>
            </w:r>
          </w:p>
        </w:tc>
        <w:tc>
          <w:tcPr>
            <w:tcW w:w="7200" w:type="dxa"/>
            <w:vAlign w:val="bottom"/>
          </w:tcPr>
          <w:p>
            <w:pPr>
              <w:ind w:left="20"/>
              <w:spacing w:after="0"/>
              <w:rPr>
                <w:sz w:val="20"/>
                <w:szCs w:val="20"/>
                <w:color w:val="auto"/>
              </w:rPr>
            </w:pPr>
            <w:r>
              <w:rPr>
                <w:rFonts w:ascii="Arial" w:cs="Arial" w:eastAsia="Arial" w:hAnsi="Arial"/>
                <w:sz w:val="18"/>
                <w:szCs w:val="18"/>
                <w:color w:val="auto"/>
              </w:rPr>
              <w:t>Year-End Statements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8.3.</w:t>
            </w:r>
          </w:p>
        </w:tc>
        <w:tc>
          <w:tcPr>
            <w:tcW w:w="7200" w:type="dxa"/>
            <w:vAlign w:val="bottom"/>
          </w:tcPr>
          <w:p>
            <w:pPr>
              <w:ind w:left="20"/>
              <w:spacing w:after="0"/>
              <w:rPr>
                <w:sz w:val="20"/>
                <w:szCs w:val="20"/>
                <w:color w:val="auto"/>
              </w:rPr>
            </w:pPr>
            <w:r>
              <w:rPr>
                <w:rFonts w:ascii="Arial" w:cs="Arial" w:eastAsia="Arial" w:hAnsi="Arial"/>
                <w:sz w:val="18"/>
                <w:szCs w:val="18"/>
                <w:color w:val="auto"/>
              </w:rPr>
              <w:t>Compliance Certificate</w:t>
            </w:r>
          </w:p>
        </w:tc>
        <w:tc>
          <w:tcPr>
            <w:tcW w:w="2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8.4.</w:t>
            </w:r>
          </w:p>
        </w:tc>
        <w:tc>
          <w:tcPr>
            <w:tcW w:w="72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2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8.5.  Electronic Delivery of Certain Information</w:t>
            </w:r>
          </w:p>
        </w:tc>
        <w:tc>
          <w:tcPr>
            <w:tcW w:w="2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8"/>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9.1.</w:t>
            </w:r>
          </w:p>
        </w:tc>
        <w:tc>
          <w:tcPr>
            <w:tcW w:w="7200" w:type="dxa"/>
            <w:vAlign w:val="bottom"/>
          </w:tcPr>
          <w:p>
            <w:pPr>
              <w:ind w:left="20"/>
              <w:spacing w:after="0"/>
              <w:rPr>
                <w:sz w:val="20"/>
                <w:szCs w:val="20"/>
                <w:color w:val="auto"/>
              </w:rPr>
            </w:pPr>
            <w:r>
              <w:rPr>
                <w:rFonts w:ascii="Arial" w:cs="Arial" w:eastAsia="Arial" w:hAnsi="Arial"/>
                <w:sz w:val="18"/>
                <w:szCs w:val="18"/>
                <w:color w:val="auto"/>
              </w:rPr>
              <w:t>Financial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9.2.</w:t>
            </w:r>
          </w:p>
        </w:tc>
        <w:tc>
          <w:tcPr>
            <w:tcW w:w="7200" w:type="dxa"/>
            <w:vAlign w:val="bottom"/>
          </w:tcPr>
          <w:p>
            <w:pPr>
              <w:ind w:left="20"/>
              <w:spacing w:after="0"/>
              <w:rPr>
                <w:sz w:val="20"/>
                <w:szCs w:val="20"/>
                <w:color w:val="auto"/>
              </w:rPr>
            </w:pPr>
            <w:r>
              <w:rPr>
                <w:rFonts w:ascii="Arial" w:cs="Arial" w:eastAsia="Arial" w:hAnsi="Arial"/>
                <w:sz w:val="18"/>
                <w:szCs w:val="18"/>
                <w:color w:val="auto"/>
              </w:rPr>
              <w:t>Restricted Payments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9.3.</w:t>
            </w:r>
          </w:p>
        </w:tc>
        <w:tc>
          <w:tcPr>
            <w:tcW w:w="7200" w:type="dxa"/>
            <w:vAlign w:val="bottom"/>
          </w:tcPr>
          <w:p>
            <w:pPr>
              <w:ind w:left="20"/>
              <w:spacing w:after="0"/>
              <w:rPr>
                <w:sz w:val="20"/>
                <w:szCs w:val="20"/>
                <w:color w:val="auto"/>
              </w:rPr>
            </w:pPr>
            <w:r>
              <w:rPr>
                <w:rFonts w:ascii="Arial" w:cs="Arial" w:eastAsia="Arial" w:hAnsi="Arial"/>
                <w:sz w:val="18"/>
                <w:szCs w:val="18"/>
                <w:color w:val="auto"/>
              </w:rPr>
              <w:t>Indebtedness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9.4.  Certain Permitted Investments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9.5.</w:t>
            </w:r>
          </w:p>
        </w:tc>
        <w:tc>
          <w:tcPr>
            <w:tcW w:w="7200" w:type="dxa"/>
            <w:vAlign w:val="bottom"/>
          </w:tcPr>
          <w:p>
            <w:pPr>
              <w:ind w:left="20"/>
              <w:spacing w:after="0"/>
              <w:rPr>
                <w:sz w:val="20"/>
                <w:szCs w:val="20"/>
                <w:color w:val="auto"/>
              </w:rPr>
            </w:pPr>
            <w:r>
              <w:rPr>
                <w:rFonts w:ascii="Arial" w:cs="Arial" w:eastAsia="Arial" w:hAnsi="Arial"/>
                <w:sz w:val="18"/>
                <w:szCs w:val="18"/>
                <w:color w:val="auto"/>
              </w:rPr>
              <w:t>Investments Generally</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9.6.  Liens; Negative Pledges; Other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9.7.  Merger, Consolidation, Sales of Assets and Other Arrangements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80" w:type="dxa"/>
            <w:vAlign w:val="bottom"/>
          </w:tcPr>
          <w:p>
            <w:pPr>
              <w:ind w:left="440"/>
              <w:spacing w:after="0"/>
              <w:rPr>
                <w:sz w:val="20"/>
                <w:szCs w:val="20"/>
                <w:color w:val="auto"/>
              </w:rPr>
            </w:pPr>
            <w:r>
              <w:rPr>
                <w:rFonts w:ascii="Arial" w:cs="Arial" w:eastAsia="Arial" w:hAnsi="Arial"/>
                <w:sz w:val="18"/>
                <w:szCs w:val="18"/>
                <w:color w:val="auto"/>
                <w:w w:val="96"/>
              </w:rPr>
              <w:t>Section 9.8.</w:t>
            </w:r>
          </w:p>
        </w:tc>
        <w:tc>
          <w:tcPr>
            <w:tcW w:w="720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Section 9.9.  Modifications of Organizational Documents</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w w:val="87"/>
              </w:rPr>
              <w:t>Section 9.10.</w:t>
            </w:r>
          </w:p>
        </w:tc>
        <w:tc>
          <w:tcPr>
            <w:tcW w:w="720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9.11.</w:t>
            </w:r>
          </w:p>
        </w:tc>
        <w:tc>
          <w:tcPr>
            <w:tcW w:w="6540" w:type="dxa"/>
            <w:vAlign w:val="bottom"/>
          </w:tcPr>
          <w:p>
            <w:pPr>
              <w:ind w:left="20"/>
              <w:spacing w:after="0"/>
              <w:rPr>
                <w:sz w:val="20"/>
                <w:szCs w:val="20"/>
                <w:color w:val="auto"/>
              </w:rPr>
            </w:pPr>
            <w:r>
              <w:rPr>
                <w:rFonts w:ascii="Arial" w:cs="Arial" w:eastAsia="Arial" w:hAnsi="Arial"/>
                <w:sz w:val="18"/>
                <w:szCs w:val="18"/>
                <w:color w:val="auto"/>
              </w:rPr>
              <w:t>ERISA Exemptions</w:t>
            </w:r>
          </w:p>
        </w:tc>
        <w:tc>
          <w:tcPr>
            <w:tcW w:w="3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9.12.</w:t>
            </w:r>
          </w:p>
        </w:tc>
        <w:tc>
          <w:tcPr>
            <w:tcW w:w="6540" w:type="dxa"/>
            <w:vAlign w:val="bottom"/>
          </w:tcPr>
          <w:p>
            <w:pPr>
              <w:ind w:left="40"/>
              <w:spacing w:after="0"/>
              <w:rPr>
                <w:sz w:val="20"/>
                <w:szCs w:val="20"/>
                <w:color w:val="auto"/>
              </w:rPr>
            </w:pPr>
            <w:r>
              <w:rPr>
                <w:rFonts w:ascii="Arial" w:cs="Arial" w:eastAsia="Arial" w:hAnsi="Arial"/>
                <w:sz w:val="18"/>
                <w:szCs w:val="18"/>
                <w:color w:val="auto"/>
              </w:rPr>
              <w:t>Non-Controlled Properties</w:t>
            </w:r>
          </w:p>
        </w:tc>
        <w:tc>
          <w:tcPr>
            <w:tcW w:w="3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Article X. Default</w:t>
            </w:r>
          </w:p>
        </w:tc>
        <w:tc>
          <w:tcPr>
            <w:tcW w:w="654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65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10.2.</w:t>
            </w:r>
          </w:p>
        </w:tc>
        <w:tc>
          <w:tcPr>
            <w:tcW w:w="6540" w:type="dxa"/>
            <w:vAlign w:val="bottom"/>
          </w:tcPr>
          <w:p>
            <w:pPr>
              <w:ind w:left="40"/>
              <w:spacing w:after="0"/>
              <w:rPr>
                <w:sz w:val="20"/>
                <w:szCs w:val="20"/>
                <w:color w:val="auto"/>
              </w:rPr>
            </w:pPr>
            <w:r>
              <w:rPr>
                <w:rFonts w:ascii="Arial" w:cs="Arial" w:eastAsia="Arial" w:hAnsi="Arial"/>
                <w:sz w:val="18"/>
                <w:szCs w:val="18"/>
                <w:color w:val="auto"/>
              </w:rPr>
              <w:t>Remedies Upon Event of Default</w:t>
            </w:r>
          </w:p>
        </w:tc>
        <w:tc>
          <w:tcPr>
            <w:tcW w:w="34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10.3.</w:t>
            </w:r>
          </w:p>
        </w:tc>
        <w:tc>
          <w:tcPr>
            <w:tcW w:w="6540" w:type="dxa"/>
            <w:vAlign w:val="bottom"/>
          </w:tcPr>
          <w:p>
            <w:pPr>
              <w:ind w:left="20"/>
              <w:spacing w:after="0"/>
              <w:rPr>
                <w:sz w:val="20"/>
                <w:szCs w:val="20"/>
                <w:color w:val="auto"/>
              </w:rPr>
            </w:pPr>
            <w:r>
              <w:rPr>
                <w:rFonts w:ascii="Arial" w:cs="Arial" w:eastAsia="Arial" w:hAnsi="Arial"/>
                <w:sz w:val="18"/>
                <w:szCs w:val="18"/>
                <w:color w:val="auto"/>
              </w:rPr>
              <w:t>Allocation of Proceeds</w:t>
            </w:r>
          </w:p>
        </w:tc>
        <w:tc>
          <w:tcPr>
            <w:tcW w:w="34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10.4.</w:t>
            </w:r>
          </w:p>
        </w:tc>
        <w:tc>
          <w:tcPr>
            <w:tcW w:w="6540" w:type="dxa"/>
            <w:vAlign w:val="bottom"/>
          </w:tcPr>
          <w:p>
            <w:pPr>
              <w:ind w:left="40"/>
              <w:spacing w:after="0"/>
              <w:rPr>
                <w:sz w:val="20"/>
                <w:szCs w:val="20"/>
                <w:color w:val="auto"/>
              </w:rPr>
            </w:pPr>
            <w:r>
              <w:rPr>
                <w:rFonts w:ascii="Arial" w:cs="Arial" w:eastAsia="Arial" w:hAnsi="Arial"/>
                <w:sz w:val="18"/>
                <w:szCs w:val="18"/>
                <w:color w:val="auto"/>
              </w:rPr>
              <w:t>Collateral Account</w:t>
            </w:r>
          </w:p>
        </w:tc>
        <w:tc>
          <w:tcPr>
            <w:tcW w:w="34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10.5.</w:t>
            </w:r>
          </w:p>
        </w:tc>
        <w:tc>
          <w:tcPr>
            <w:tcW w:w="6540" w:type="dxa"/>
            <w:vAlign w:val="bottom"/>
          </w:tcPr>
          <w:p>
            <w:pPr>
              <w:ind w:left="40"/>
              <w:spacing w:after="0"/>
              <w:rPr>
                <w:sz w:val="20"/>
                <w:szCs w:val="20"/>
                <w:color w:val="auto"/>
              </w:rPr>
            </w:pPr>
            <w:r>
              <w:rPr>
                <w:rFonts w:ascii="Arial" w:cs="Arial" w:eastAsia="Arial" w:hAnsi="Arial"/>
                <w:sz w:val="18"/>
                <w:szCs w:val="18"/>
                <w:color w:val="auto"/>
              </w:rPr>
              <w:t>Performance by Agent</w:t>
            </w:r>
          </w:p>
        </w:tc>
        <w:tc>
          <w:tcPr>
            <w:tcW w:w="3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10.6.</w:t>
            </w:r>
          </w:p>
        </w:tc>
        <w:tc>
          <w:tcPr>
            <w:tcW w:w="6540" w:type="dxa"/>
            <w:vAlign w:val="bottom"/>
          </w:tcPr>
          <w:p>
            <w:pPr>
              <w:ind w:left="40"/>
              <w:spacing w:after="0"/>
              <w:rPr>
                <w:sz w:val="20"/>
                <w:szCs w:val="20"/>
                <w:color w:val="auto"/>
              </w:rPr>
            </w:pPr>
            <w:r>
              <w:rPr>
                <w:rFonts w:ascii="Arial" w:cs="Arial" w:eastAsia="Arial" w:hAnsi="Arial"/>
                <w:sz w:val="18"/>
                <w:szCs w:val="18"/>
                <w:color w:val="auto"/>
              </w:rPr>
              <w:t>Rights Cumulative</w:t>
            </w:r>
          </w:p>
        </w:tc>
        <w:tc>
          <w:tcPr>
            <w:tcW w:w="3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8000" w:type="dxa"/>
            <w:vAlign w:val="bottom"/>
            <w:gridSpan w:val="2"/>
          </w:tcPr>
          <w:p>
            <w:pPr>
              <w:spacing w:after="0"/>
              <w:rPr>
                <w:sz w:val="20"/>
                <w:szCs w:val="20"/>
                <w:color w:val="auto"/>
              </w:rPr>
            </w:pPr>
            <w:r>
              <w:rPr>
                <w:rFonts w:ascii="Arial" w:cs="Arial" w:eastAsia="Arial" w:hAnsi="Arial"/>
                <w:sz w:val="18"/>
                <w:szCs w:val="18"/>
                <w:color w:val="auto"/>
              </w:rPr>
              <w:t>Article XI. The Agent</w:t>
            </w:r>
          </w:p>
        </w:tc>
        <w:tc>
          <w:tcPr>
            <w:tcW w:w="3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11.1.</w:t>
            </w:r>
          </w:p>
        </w:tc>
        <w:tc>
          <w:tcPr>
            <w:tcW w:w="6540" w:type="dxa"/>
            <w:vAlign w:val="bottom"/>
          </w:tcPr>
          <w:p>
            <w:pPr>
              <w:ind w:left="20"/>
              <w:spacing w:after="0"/>
              <w:rPr>
                <w:sz w:val="20"/>
                <w:szCs w:val="20"/>
                <w:color w:val="auto"/>
              </w:rPr>
            </w:pPr>
            <w:r>
              <w:rPr>
                <w:rFonts w:ascii="Arial" w:cs="Arial" w:eastAsia="Arial" w:hAnsi="Arial"/>
                <w:sz w:val="18"/>
                <w:szCs w:val="18"/>
                <w:color w:val="auto"/>
              </w:rPr>
              <w:t>Authorization and Action</w:t>
            </w:r>
          </w:p>
        </w:tc>
        <w:tc>
          <w:tcPr>
            <w:tcW w:w="3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11.2.</w:t>
            </w:r>
          </w:p>
        </w:tc>
        <w:tc>
          <w:tcPr>
            <w:tcW w:w="6540" w:type="dxa"/>
            <w:vAlign w:val="bottom"/>
          </w:tcPr>
          <w:p>
            <w:pPr>
              <w:ind w:left="20"/>
              <w:spacing w:after="0"/>
              <w:rPr>
                <w:sz w:val="20"/>
                <w:szCs w:val="20"/>
                <w:color w:val="auto"/>
              </w:rPr>
            </w:pPr>
            <w:r>
              <w:rPr>
                <w:rFonts w:ascii="Arial" w:cs="Arial" w:eastAsia="Arial" w:hAnsi="Arial"/>
                <w:sz w:val="18"/>
                <w:szCs w:val="18"/>
                <w:color w:val="auto"/>
              </w:rPr>
              <w:t>Agent’s Reliance, Etc.</w:t>
            </w:r>
          </w:p>
        </w:tc>
        <w:tc>
          <w:tcPr>
            <w:tcW w:w="3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11.3.</w:t>
            </w:r>
          </w:p>
        </w:tc>
        <w:tc>
          <w:tcPr>
            <w:tcW w:w="6540" w:type="dxa"/>
            <w:vAlign w:val="bottom"/>
          </w:tcPr>
          <w:p>
            <w:pPr>
              <w:ind w:left="20"/>
              <w:spacing w:after="0"/>
              <w:rPr>
                <w:sz w:val="20"/>
                <w:szCs w:val="20"/>
                <w:color w:val="auto"/>
              </w:rPr>
            </w:pPr>
            <w:r>
              <w:rPr>
                <w:rFonts w:ascii="Arial" w:cs="Arial" w:eastAsia="Arial" w:hAnsi="Arial"/>
                <w:sz w:val="18"/>
                <w:szCs w:val="18"/>
                <w:color w:val="auto"/>
              </w:rPr>
              <w:t>Notice of Defaults</w:t>
            </w:r>
          </w:p>
        </w:tc>
        <w:tc>
          <w:tcPr>
            <w:tcW w:w="3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11.4.</w:t>
            </w:r>
          </w:p>
        </w:tc>
        <w:tc>
          <w:tcPr>
            <w:tcW w:w="6540" w:type="dxa"/>
            <w:vAlign w:val="bottom"/>
          </w:tcPr>
          <w:p>
            <w:pPr>
              <w:ind w:left="20"/>
              <w:spacing w:after="0"/>
              <w:rPr>
                <w:sz w:val="20"/>
                <w:szCs w:val="20"/>
                <w:color w:val="auto"/>
              </w:rPr>
            </w:pPr>
            <w:r>
              <w:rPr>
                <w:rFonts w:ascii="Arial" w:cs="Arial" w:eastAsia="Arial" w:hAnsi="Arial"/>
                <w:sz w:val="18"/>
                <w:szCs w:val="18"/>
                <w:color w:val="auto"/>
              </w:rPr>
              <w:t>Wachovia as Lender</w:t>
            </w:r>
          </w:p>
        </w:tc>
        <w:tc>
          <w:tcPr>
            <w:tcW w:w="3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11.5.</w:t>
            </w:r>
          </w:p>
        </w:tc>
        <w:tc>
          <w:tcPr>
            <w:tcW w:w="6540" w:type="dxa"/>
            <w:vAlign w:val="bottom"/>
          </w:tcPr>
          <w:p>
            <w:pPr>
              <w:ind w:left="20"/>
              <w:spacing w:after="0"/>
              <w:rPr>
                <w:sz w:val="20"/>
                <w:szCs w:val="20"/>
                <w:color w:val="auto"/>
              </w:rPr>
            </w:pPr>
            <w:r>
              <w:rPr>
                <w:rFonts w:ascii="Arial" w:cs="Arial" w:eastAsia="Arial" w:hAnsi="Arial"/>
                <w:sz w:val="18"/>
                <w:szCs w:val="18"/>
                <w:color w:val="auto"/>
              </w:rPr>
              <w:t>Approvals of Lenders</w:t>
            </w:r>
          </w:p>
        </w:tc>
        <w:tc>
          <w:tcPr>
            <w:tcW w:w="34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11.6.</w:t>
            </w:r>
          </w:p>
        </w:tc>
        <w:tc>
          <w:tcPr>
            <w:tcW w:w="6540" w:type="dxa"/>
            <w:vAlign w:val="bottom"/>
          </w:tcPr>
          <w:p>
            <w:pPr>
              <w:ind w:left="20"/>
              <w:spacing w:after="0"/>
              <w:rPr>
                <w:sz w:val="20"/>
                <w:szCs w:val="20"/>
                <w:color w:val="auto"/>
              </w:rPr>
            </w:pPr>
            <w:r>
              <w:rPr>
                <w:rFonts w:ascii="Arial" w:cs="Arial" w:eastAsia="Arial" w:hAnsi="Arial"/>
                <w:sz w:val="18"/>
                <w:szCs w:val="18"/>
                <w:color w:val="auto"/>
              </w:rPr>
              <w:t>Lender Credit Decision, Etc.</w:t>
            </w:r>
          </w:p>
        </w:tc>
        <w:tc>
          <w:tcPr>
            <w:tcW w:w="34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11.7.</w:t>
            </w:r>
          </w:p>
        </w:tc>
        <w:tc>
          <w:tcPr>
            <w:tcW w:w="6540" w:type="dxa"/>
            <w:vAlign w:val="bottom"/>
          </w:tcPr>
          <w:p>
            <w:pPr>
              <w:ind w:left="20"/>
              <w:spacing w:after="0"/>
              <w:rPr>
                <w:sz w:val="20"/>
                <w:szCs w:val="20"/>
                <w:color w:val="auto"/>
              </w:rPr>
            </w:pPr>
            <w:r>
              <w:rPr>
                <w:rFonts w:ascii="Arial" w:cs="Arial" w:eastAsia="Arial" w:hAnsi="Arial"/>
                <w:sz w:val="18"/>
                <w:szCs w:val="18"/>
                <w:color w:val="auto"/>
              </w:rPr>
              <w:t>Indemnification of Agent</w:t>
            </w:r>
          </w:p>
        </w:tc>
        <w:tc>
          <w:tcPr>
            <w:tcW w:w="3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11.8.</w:t>
            </w:r>
          </w:p>
        </w:tc>
        <w:tc>
          <w:tcPr>
            <w:tcW w:w="6540" w:type="dxa"/>
            <w:vAlign w:val="bottom"/>
          </w:tcPr>
          <w:p>
            <w:pPr>
              <w:ind w:left="20"/>
              <w:spacing w:after="0"/>
              <w:rPr>
                <w:sz w:val="20"/>
                <w:szCs w:val="20"/>
                <w:color w:val="auto"/>
              </w:rPr>
            </w:pPr>
            <w:r>
              <w:rPr>
                <w:rFonts w:ascii="Arial" w:cs="Arial" w:eastAsia="Arial" w:hAnsi="Arial"/>
                <w:sz w:val="18"/>
                <w:szCs w:val="18"/>
                <w:color w:val="auto"/>
              </w:rPr>
              <w:t>Successor Agent</w:t>
            </w:r>
          </w:p>
        </w:tc>
        <w:tc>
          <w:tcPr>
            <w:tcW w:w="3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11.9.</w:t>
            </w:r>
          </w:p>
        </w:tc>
        <w:tc>
          <w:tcPr>
            <w:tcW w:w="6540" w:type="dxa"/>
            <w:vAlign w:val="bottom"/>
          </w:tcPr>
          <w:p>
            <w:pPr>
              <w:ind w:left="20"/>
              <w:spacing w:after="0"/>
              <w:rPr>
                <w:sz w:val="20"/>
                <w:szCs w:val="20"/>
                <w:color w:val="auto"/>
              </w:rPr>
            </w:pPr>
            <w:r>
              <w:rPr>
                <w:rFonts w:ascii="Arial" w:cs="Arial" w:eastAsia="Arial" w:hAnsi="Arial"/>
                <w:sz w:val="18"/>
                <w:szCs w:val="18"/>
                <w:color w:val="auto"/>
              </w:rPr>
              <w:t>Titled Agents</w:t>
            </w:r>
          </w:p>
        </w:tc>
        <w:tc>
          <w:tcPr>
            <w:tcW w:w="3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80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3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12.1.</w:t>
            </w:r>
          </w:p>
        </w:tc>
        <w:tc>
          <w:tcPr>
            <w:tcW w:w="6540" w:type="dxa"/>
            <w:vAlign w:val="bottom"/>
          </w:tcPr>
          <w:p>
            <w:pPr>
              <w:ind w:left="40"/>
              <w:spacing w:after="0"/>
              <w:rPr>
                <w:sz w:val="20"/>
                <w:szCs w:val="20"/>
                <w:color w:val="auto"/>
              </w:rPr>
            </w:pPr>
            <w:r>
              <w:rPr>
                <w:rFonts w:ascii="Arial" w:cs="Arial" w:eastAsia="Arial" w:hAnsi="Arial"/>
                <w:sz w:val="18"/>
                <w:szCs w:val="18"/>
                <w:color w:val="auto"/>
              </w:rPr>
              <w:t>Notices</w:t>
            </w:r>
          </w:p>
        </w:tc>
        <w:tc>
          <w:tcPr>
            <w:tcW w:w="3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12.2.</w:t>
            </w:r>
          </w:p>
        </w:tc>
        <w:tc>
          <w:tcPr>
            <w:tcW w:w="6540" w:type="dxa"/>
            <w:vAlign w:val="bottom"/>
          </w:tcPr>
          <w:p>
            <w:pPr>
              <w:ind w:left="40"/>
              <w:spacing w:after="0"/>
              <w:rPr>
                <w:sz w:val="20"/>
                <w:szCs w:val="20"/>
                <w:color w:val="auto"/>
              </w:rPr>
            </w:pPr>
            <w:r>
              <w:rPr>
                <w:rFonts w:ascii="Arial" w:cs="Arial" w:eastAsia="Arial" w:hAnsi="Arial"/>
                <w:sz w:val="18"/>
                <w:szCs w:val="18"/>
                <w:color w:val="auto"/>
              </w:rPr>
              <w:t>Expenses</w:t>
            </w:r>
          </w:p>
        </w:tc>
        <w:tc>
          <w:tcPr>
            <w:tcW w:w="3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12.3.</w:t>
            </w:r>
          </w:p>
        </w:tc>
        <w:tc>
          <w:tcPr>
            <w:tcW w:w="6540" w:type="dxa"/>
            <w:vAlign w:val="bottom"/>
          </w:tcPr>
          <w:p>
            <w:pPr>
              <w:ind w:left="40"/>
              <w:spacing w:after="0"/>
              <w:rPr>
                <w:sz w:val="20"/>
                <w:szCs w:val="20"/>
                <w:color w:val="auto"/>
              </w:rPr>
            </w:pPr>
            <w:r>
              <w:rPr>
                <w:rFonts w:ascii="Arial" w:cs="Arial" w:eastAsia="Arial" w:hAnsi="Arial"/>
                <w:sz w:val="18"/>
                <w:szCs w:val="18"/>
                <w:color w:val="auto"/>
              </w:rPr>
              <w:t>Setoff</w:t>
            </w:r>
          </w:p>
        </w:tc>
        <w:tc>
          <w:tcPr>
            <w:tcW w:w="3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12.4.</w:t>
            </w:r>
          </w:p>
        </w:tc>
        <w:tc>
          <w:tcPr>
            <w:tcW w:w="6540" w:type="dxa"/>
            <w:vAlign w:val="bottom"/>
          </w:tcPr>
          <w:p>
            <w:pPr>
              <w:ind w:left="40"/>
              <w:spacing w:after="0"/>
              <w:rPr>
                <w:sz w:val="20"/>
                <w:szCs w:val="20"/>
                <w:color w:val="auto"/>
              </w:rPr>
            </w:pPr>
            <w:r>
              <w:rPr>
                <w:rFonts w:ascii="Arial" w:cs="Arial" w:eastAsia="Arial" w:hAnsi="Arial"/>
                <w:sz w:val="18"/>
                <w:szCs w:val="18"/>
                <w:color w:val="auto"/>
              </w:rPr>
              <w:t>Litigation; Jurisdiction; Other Matters; Waivers</w:t>
            </w:r>
          </w:p>
        </w:tc>
        <w:tc>
          <w:tcPr>
            <w:tcW w:w="3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12.5.</w:t>
            </w:r>
          </w:p>
        </w:tc>
        <w:tc>
          <w:tcPr>
            <w:tcW w:w="654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3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12.6.</w:t>
            </w:r>
          </w:p>
        </w:tc>
        <w:tc>
          <w:tcPr>
            <w:tcW w:w="654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34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12.7.</w:t>
            </w:r>
          </w:p>
        </w:tc>
        <w:tc>
          <w:tcPr>
            <w:tcW w:w="6540" w:type="dxa"/>
            <w:vAlign w:val="bottom"/>
          </w:tcPr>
          <w:p>
            <w:pPr>
              <w:ind w:left="40"/>
              <w:spacing w:after="0"/>
              <w:rPr>
                <w:sz w:val="20"/>
                <w:szCs w:val="20"/>
                <w:color w:val="auto"/>
              </w:rPr>
            </w:pPr>
            <w:r>
              <w:rPr>
                <w:rFonts w:ascii="Arial" w:cs="Arial" w:eastAsia="Arial" w:hAnsi="Arial"/>
                <w:sz w:val="18"/>
                <w:szCs w:val="18"/>
                <w:color w:val="auto"/>
              </w:rPr>
              <w:t>Nonliability of Agent and Lenders</w:t>
            </w:r>
          </w:p>
        </w:tc>
        <w:tc>
          <w:tcPr>
            <w:tcW w:w="34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12.8.</w:t>
            </w:r>
          </w:p>
        </w:tc>
        <w:tc>
          <w:tcPr>
            <w:tcW w:w="65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34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12.9.</w:t>
            </w:r>
          </w:p>
        </w:tc>
        <w:tc>
          <w:tcPr>
            <w:tcW w:w="65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4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12.10.</w:t>
            </w:r>
          </w:p>
        </w:tc>
        <w:tc>
          <w:tcPr>
            <w:tcW w:w="6540" w:type="dxa"/>
            <w:vAlign w:val="bottom"/>
          </w:tcPr>
          <w:p>
            <w:pPr>
              <w:ind w:left="120"/>
              <w:spacing w:after="0"/>
              <w:rPr>
                <w:sz w:val="20"/>
                <w:szCs w:val="20"/>
                <w:color w:val="auto"/>
              </w:rPr>
            </w:pPr>
            <w:r>
              <w:rPr>
                <w:rFonts w:ascii="Arial" w:cs="Arial" w:eastAsia="Arial" w:hAnsi="Arial"/>
                <w:sz w:val="18"/>
                <w:szCs w:val="18"/>
                <w:color w:val="auto"/>
              </w:rPr>
              <w:t>Termination; Survival</w:t>
            </w:r>
          </w:p>
        </w:tc>
        <w:tc>
          <w:tcPr>
            <w:tcW w:w="34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12.11.</w:t>
            </w:r>
          </w:p>
        </w:tc>
        <w:tc>
          <w:tcPr>
            <w:tcW w:w="6540" w:type="dxa"/>
            <w:vAlign w:val="bottom"/>
          </w:tcPr>
          <w:p>
            <w:pPr>
              <w:ind w:left="120"/>
              <w:spacing w:after="0"/>
              <w:rPr>
                <w:sz w:val="20"/>
                <w:szCs w:val="20"/>
                <w:color w:val="auto"/>
              </w:rPr>
            </w:pPr>
            <w:r>
              <w:rPr>
                <w:rFonts w:ascii="Arial" w:cs="Arial" w:eastAsia="Arial" w:hAnsi="Arial"/>
                <w:sz w:val="18"/>
                <w:szCs w:val="18"/>
                <w:color w:val="auto"/>
              </w:rPr>
              <w:t>Severability of Provisions</w:t>
            </w:r>
          </w:p>
        </w:tc>
        <w:tc>
          <w:tcPr>
            <w:tcW w:w="34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12.12.</w:t>
            </w:r>
          </w:p>
        </w:tc>
        <w:tc>
          <w:tcPr>
            <w:tcW w:w="65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4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12.13.</w:t>
            </w:r>
          </w:p>
        </w:tc>
        <w:tc>
          <w:tcPr>
            <w:tcW w:w="654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34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12.14.</w:t>
            </w:r>
          </w:p>
        </w:tc>
        <w:tc>
          <w:tcPr>
            <w:tcW w:w="65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12.15.</w:t>
            </w:r>
          </w:p>
        </w:tc>
        <w:tc>
          <w:tcPr>
            <w:tcW w:w="6540" w:type="dxa"/>
            <w:vAlign w:val="bottom"/>
          </w:tcPr>
          <w:p>
            <w:pPr>
              <w:ind w:left="120"/>
              <w:spacing w:after="0"/>
              <w:rPr>
                <w:sz w:val="20"/>
                <w:szCs w:val="20"/>
                <w:color w:val="auto"/>
              </w:rPr>
            </w:pPr>
            <w:r>
              <w:rPr>
                <w:rFonts w:ascii="Arial" w:cs="Arial" w:eastAsia="Arial" w:hAnsi="Arial"/>
                <w:sz w:val="18"/>
                <w:szCs w:val="18"/>
                <w:color w:val="auto"/>
              </w:rPr>
              <w:t>Obligations with Respect to Loan Parties</w:t>
            </w:r>
          </w:p>
        </w:tc>
        <w:tc>
          <w:tcPr>
            <w:tcW w:w="3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12.16.</w:t>
            </w:r>
          </w:p>
        </w:tc>
        <w:tc>
          <w:tcPr>
            <w:tcW w:w="6540" w:type="dxa"/>
            <w:vAlign w:val="bottom"/>
          </w:tcPr>
          <w:p>
            <w:pPr>
              <w:ind w:left="120"/>
              <w:spacing w:after="0"/>
              <w:rPr>
                <w:sz w:val="20"/>
                <w:szCs w:val="20"/>
                <w:color w:val="auto"/>
              </w:rPr>
            </w:pPr>
            <w:r>
              <w:rPr>
                <w:rFonts w:ascii="Arial" w:cs="Arial" w:eastAsia="Arial" w:hAnsi="Arial"/>
                <w:sz w:val="18"/>
                <w:szCs w:val="18"/>
                <w:color w:val="auto"/>
              </w:rPr>
              <w:t>Limitation of Liability</w:t>
            </w:r>
          </w:p>
        </w:tc>
        <w:tc>
          <w:tcPr>
            <w:tcW w:w="3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12.17.</w:t>
            </w:r>
          </w:p>
        </w:tc>
        <w:tc>
          <w:tcPr>
            <w:tcW w:w="654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3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12.18.</w:t>
            </w:r>
          </w:p>
        </w:tc>
        <w:tc>
          <w:tcPr>
            <w:tcW w:w="654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3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86"/>
              </w:rPr>
              <w:t>Section 12.19.</w:t>
            </w:r>
          </w:p>
        </w:tc>
        <w:tc>
          <w:tcPr>
            <w:tcW w:w="6540" w:type="dxa"/>
            <w:vAlign w:val="bottom"/>
          </w:tcPr>
          <w:p>
            <w:pPr>
              <w:ind w:left="120"/>
              <w:spacing w:after="0"/>
              <w:rPr>
                <w:sz w:val="20"/>
                <w:szCs w:val="20"/>
                <w:color w:val="auto"/>
              </w:rPr>
            </w:pPr>
            <w:r>
              <w:rPr>
                <w:rFonts w:ascii="Arial" w:cs="Arial" w:eastAsia="Arial" w:hAnsi="Arial"/>
                <w:sz w:val="18"/>
                <w:szCs w:val="18"/>
                <w:color w:val="auto"/>
              </w:rPr>
              <w:t>Limitation of Liability of Trustees, Etc.</w:t>
            </w:r>
          </w:p>
        </w:tc>
        <w:tc>
          <w:tcPr>
            <w:tcW w:w="3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w w:val="94"/>
              </w:rPr>
              <w:t>SCHEDULE 1.1(A)</w:t>
            </w:r>
          </w:p>
        </w:tc>
        <w:tc>
          <w:tcPr>
            <w:tcW w:w="6540" w:type="dxa"/>
            <w:vAlign w:val="bottom"/>
          </w:tcPr>
          <w:p>
            <w:pPr>
              <w:ind w:left="380"/>
              <w:spacing w:after="0"/>
              <w:rPr>
                <w:sz w:val="20"/>
                <w:szCs w:val="20"/>
                <w:color w:val="auto"/>
              </w:rPr>
            </w:pPr>
            <w:r>
              <w:rPr>
                <w:rFonts w:ascii="Arial" w:cs="Arial" w:eastAsia="Arial" w:hAnsi="Arial"/>
                <w:sz w:val="18"/>
                <w:szCs w:val="18"/>
                <w:color w:val="auto"/>
              </w:rPr>
              <w:t>List of Loan Parties</w:t>
            </w:r>
          </w:p>
        </w:tc>
        <w:tc>
          <w:tcPr>
            <w:tcW w:w="342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2"/>
              </w:rPr>
              <w:t>SCHEDULE 6.1.(b)</w:t>
            </w:r>
          </w:p>
        </w:tc>
        <w:tc>
          <w:tcPr>
            <w:tcW w:w="6540" w:type="dxa"/>
            <w:vAlign w:val="bottom"/>
          </w:tcPr>
          <w:p>
            <w:pPr>
              <w:ind w:left="380"/>
              <w:spacing w:after="0"/>
              <w:rPr>
                <w:sz w:val="20"/>
                <w:szCs w:val="20"/>
                <w:color w:val="auto"/>
              </w:rPr>
            </w:pPr>
            <w:r>
              <w:rPr>
                <w:rFonts w:ascii="Arial" w:cs="Arial" w:eastAsia="Arial" w:hAnsi="Arial"/>
                <w:sz w:val="18"/>
                <w:szCs w:val="18"/>
                <w:color w:val="auto"/>
              </w:rPr>
              <w:t>Ownership Structure</w:t>
            </w:r>
          </w:p>
        </w:tc>
        <w:tc>
          <w:tcPr>
            <w:tcW w:w="3420" w:type="dxa"/>
            <w:vAlign w:val="bottom"/>
          </w:tcPr>
          <w:p>
            <w:pPr>
              <w:spacing w:after="0"/>
              <w:rPr>
                <w:sz w:val="18"/>
                <w:szCs w:val="18"/>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w w:val="95"/>
              </w:rPr>
              <w:t>SCHEDULE 6.1.(f)</w:t>
            </w:r>
          </w:p>
        </w:tc>
        <w:tc>
          <w:tcPr>
            <w:tcW w:w="6540" w:type="dxa"/>
            <w:vAlign w:val="bottom"/>
          </w:tcPr>
          <w:p>
            <w:pPr>
              <w:ind w:left="380"/>
              <w:spacing w:after="0"/>
              <w:rPr>
                <w:sz w:val="20"/>
                <w:szCs w:val="20"/>
                <w:color w:val="auto"/>
              </w:rPr>
            </w:pPr>
            <w:r>
              <w:rPr>
                <w:rFonts w:ascii="Arial" w:cs="Arial" w:eastAsia="Arial" w:hAnsi="Arial"/>
                <w:sz w:val="18"/>
                <w:szCs w:val="18"/>
                <w:color w:val="auto"/>
              </w:rPr>
              <w:t>Title to Properties; Liens</w:t>
            </w:r>
          </w:p>
        </w:tc>
        <w:tc>
          <w:tcPr>
            <w:tcW w:w="34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SCHEDULE 6.1.(g)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SCHEDULE 6.1.(h)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6.1.(x)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Indebtedness and Guaranties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-198120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Unencumbered Assets</w:t>
      </w:r>
    </w:p>
    <w:p>
      <w:pPr>
        <w:spacing w:after="0" w:line="111" w:lineRule="exact"/>
        <w:rPr>
          <w:sz w:val="20"/>
          <w:szCs w:val="20"/>
          <w:color w:val="auto"/>
        </w:rPr>
      </w:pPr>
    </w:p>
    <w:p>
      <w:pPr>
        <w:sectPr>
          <w:pgSz w:w="11900" w:h="16838" w:orient="portrait"/>
          <w:cols w:equalWidth="0" w:num="2">
            <w:col w:w="1440" w:space="400"/>
            <w:col w:w="8379"/>
          </w:cols>
          <w:pgMar w:left="240" w:top="280" w:right="1440" w:bottom="1440" w:gutter="0" w:footer="0" w:header="0"/>
        </w:sectPr>
      </w:pPr>
    </w:p>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Form of Assignment and Acceptance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Form of Designation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Swingline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Swingline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151" w:lineRule="exact"/>
        <w:rPr>
          <w:sz w:val="20"/>
          <w:szCs w:val="20"/>
          <w:color w:val="auto"/>
        </w:rPr>
      </w:pPr>
    </w:p>
    <w:p>
      <w:pPr>
        <w:sectPr>
          <w:pgSz w:w="11900" w:h="16838" w:orient="portrait"/>
          <w:cols w:equalWidth="0" w:num="2">
            <w:col w:w="1120" w:space="720"/>
            <w:col w:w="8379"/>
          </w:cols>
          <w:pgMar w:left="240" w:top="280" w:right="1440" w:bottom="1440" w:gutter="0" w:footer="0" w:header="0"/>
          <w:type w:val="continuous"/>
        </w:sectPr>
      </w:pPr>
    </w:p>
    <w:p>
      <w:pPr>
        <w:jc w:val="right"/>
        <w:ind w:right="4339"/>
        <w:spacing w:after="0"/>
        <w:rPr>
          <w:sz w:val="20"/>
          <w:szCs w:val="20"/>
          <w:color w:val="auto"/>
        </w:rPr>
      </w:pPr>
      <w:r>
        <w:rPr>
          <w:rFonts w:ascii="Arial" w:cs="Arial" w:eastAsia="Arial" w:hAnsi="Arial"/>
          <w:sz w:val="16"/>
          <w:szCs w:val="16"/>
          <w:color w:val="auto"/>
        </w:rPr>
        <w:t>- iv -</w:t>
      </w:r>
    </w:p>
    <w:p>
      <w:pPr>
        <w:sectPr>
          <w:pgSz w:w="11900" w:h="16838" w:orient="portrait"/>
          <w:cols w:equalWidth="0" w:num="1">
            <w:col w:w="10219"/>
          </w:cols>
          <w:pgMar w:left="240" w:top="280" w:right="1440" w:bottom="1440" w:gutter="0" w:footer="0" w:header="0"/>
          <w:type w:val="continuous"/>
        </w:sectPr>
      </w:pPr>
    </w:p>
    <w:bookmarkStart w:id="10" w:name="page11"/>
    <w:bookmarkEnd w:id="1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July 28, 2006, by and among FEDERAL REALTY INVESTMENT TRUST, a real estate investment trust formed under the laws of the State of Maryland (the “</w:t>
      </w:r>
      <w:r>
        <w:rPr>
          <w:rFonts w:ascii="Arial" w:cs="Arial" w:eastAsia="Arial" w:hAnsi="Arial"/>
          <w:sz w:val="18"/>
          <w:szCs w:val="18"/>
          <w:b w:val="1"/>
          <w:bCs w:val="1"/>
          <w:color w:val="auto"/>
        </w:rPr>
        <w:t>Borrower</w:t>
      </w:r>
      <w:r>
        <w:rPr>
          <w:rFonts w:ascii="Arial" w:cs="Arial" w:eastAsia="Arial" w:hAnsi="Arial"/>
          <w:sz w:val="18"/>
          <w:szCs w:val="18"/>
          <w:color w:val="auto"/>
        </w:rPr>
        <w:t>”), each of the financial institutions initially a signatory hereto together with their assignees pursuant to Section 12.5.(d), WACHOVIA CAPITAL MARKETS, LLC, as Sole Lead Arranger and Sole Book Manager (the “</w:t>
      </w:r>
      <w:r>
        <w:rPr>
          <w:rFonts w:ascii="Arial" w:cs="Arial" w:eastAsia="Arial" w:hAnsi="Arial"/>
          <w:sz w:val="18"/>
          <w:szCs w:val="18"/>
          <w:b w:val="1"/>
          <w:bCs w:val="1"/>
          <w:color w:val="auto"/>
        </w:rPr>
        <w:t>Arranger</w:t>
      </w:r>
      <w:r>
        <w:rPr>
          <w:rFonts w:ascii="Arial" w:cs="Arial" w:eastAsia="Arial" w:hAnsi="Arial"/>
          <w:sz w:val="18"/>
          <w:szCs w:val="18"/>
          <w:color w:val="auto"/>
        </w:rPr>
        <w:t>”), WACHOVIA BANK, NATIONAL ASSOCIATION, as Agent, EUROHYPO AG, NEW YORK BRANCH, as Syndication Agent (the “</w:t>
      </w:r>
      <w:r>
        <w:rPr>
          <w:rFonts w:ascii="Arial" w:cs="Arial" w:eastAsia="Arial" w:hAnsi="Arial"/>
          <w:sz w:val="18"/>
          <w:szCs w:val="18"/>
          <w:b w:val="1"/>
          <w:bCs w:val="1"/>
          <w:color w:val="auto"/>
        </w:rPr>
        <w:t>Syndication Agent</w:t>
      </w:r>
      <w:r>
        <w:rPr>
          <w:rFonts w:ascii="Arial" w:cs="Arial" w:eastAsia="Arial" w:hAnsi="Arial"/>
          <w:sz w:val="18"/>
          <w:szCs w:val="18"/>
          <w:color w:val="auto"/>
        </w:rPr>
        <w:t>”), and each of PNC BANK, NATIONAL ASSOCIATION, SUNTRUST BANK and U.S. BANK NATIONAL ASSOCIATION, as Documentation Agent (each a “</w:t>
      </w:r>
      <w:r>
        <w:rPr>
          <w:rFonts w:ascii="Arial" w:cs="Arial" w:eastAsia="Arial" w:hAnsi="Arial"/>
          <w:sz w:val="18"/>
          <w:szCs w:val="18"/>
          <w:b w:val="1"/>
          <w:bCs w:val="1"/>
          <w:color w:val="auto"/>
        </w:rPr>
        <w:t>Documentation Agent</w:t>
      </w:r>
      <w:r>
        <w:rPr>
          <w:rFonts w:ascii="Arial" w:cs="Arial" w:eastAsia="Arial" w:hAnsi="Arial"/>
          <w:sz w:val="18"/>
          <w:szCs w:val="18"/>
          <w:color w:val="auto"/>
        </w:rPr>
        <w:t>”).</w:t>
      </w:r>
    </w:p>
    <w:p>
      <w:pPr>
        <w:spacing w:after="0" w:line="14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WHEREAS, the Agent and the Lenders desire to make available to the Borrower a revolving credit facility in the initial amount of $300,000,000, which will include a $40,000,000 letter of credit subfacility and a $25,000,000 swingline subfacility, all on the terms and conditions contained herein.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w:t>
      </w:r>
      <w:r>
        <w:rPr>
          <w:rFonts w:ascii="Arial" w:cs="Arial" w:eastAsia="Arial" w:hAnsi="Arial"/>
          <w:sz w:val="18"/>
          <w:szCs w:val="18"/>
          <w:color w:val="auto"/>
        </w:rPr>
        <w:t>” has the meaning given that term in Section 2.2.(c)(ii)(C).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Auction</w:t>
      </w:r>
      <w:r>
        <w:rPr>
          <w:rFonts w:ascii="Arial" w:cs="Arial" w:eastAsia="Arial" w:hAnsi="Arial"/>
          <w:sz w:val="18"/>
          <w:szCs w:val="18"/>
          <w:color w:val="auto"/>
        </w:rPr>
        <w:t>” means a solicitation of Bid Rate Quotes setting forth Absolute Rates pursuant to Section 2.2.</w:t>
      </w:r>
    </w:p>
    <w:p>
      <w:pPr>
        <w:spacing w:after="0" w:line="171"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Loan</w:t>
      </w:r>
      <w:r>
        <w:rPr>
          <w:rFonts w:ascii="Arial" w:cs="Arial" w:eastAsia="Arial" w:hAnsi="Arial"/>
          <w:sz w:val="18"/>
          <w:szCs w:val="18"/>
          <w:color w:val="auto"/>
        </w:rPr>
        <w:t>” means a Bid Rate Loan, the interest rate on which is determined on the basis of an Absolute Rate pursuant to an Absolute Rate Auction.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w:t>
      </w:r>
    </w:p>
    <w:p>
      <w:pPr>
        <w:spacing w:after="0" w:line="17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Eurodollar Rate</w:t>
      </w:r>
      <w:r>
        <w:rPr>
          <w:rFonts w:ascii="Arial" w:cs="Arial" w:eastAsia="Arial" w:hAnsi="Arial"/>
          <w:sz w:val="18"/>
          <w:szCs w:val="18"/>
          <w:color w:val="auto"/>
        </w:rPr>
        <w:t>” means, with respect to each Interest Period for any LIBOR Loan, the rate obtained by dividing (a) LIBOR for such Interest Period by (b) a percentage equal to 1 minus the stated maximum rate (stated as a decimal) of all reserves,</w:t>
      </w:r>
    </w:p>
    <w:p>
      <w:pPr>
        <w:sectPr>
          <w:pgSz w:w="11900" w:h="16838" w:orient="portrait"/>
          <w:cols w:equalWidth="0" w:num="1">
            <w:col w:w="11420"/>
          </w:cols>
          <w:pgMar w:left="240" w:top="274" w:right="239" w:bottom="1440" w:gutter="0" w:footer="0" w:header="0"/>
        </w:sectPr>
      </w:pPr>
    </w:p>
    <w:bookmarkStart w:id="11" w:name="page12"/>
    <w:bookmarkEnd w:id="11"/>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required to be maintained with respect to Eurocurrency funding (currently as referred to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w:t>
      </w:r>
    </w:p>
    <w:p>
      <w:pPr>
        <w:spacing w:after="0" w:line="11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(a) Excluded Subsidiaries, (b) Unconsolidated Affiliates and (c) the Specified Non-Wholly Owned Subsidiaries.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Person (other than the Agent or any Lender): (a) directly or indirectly controlling, controlled by, or under common control with, the Borrower; (b) directly or indirectly owning or holding 10.0% or more (or 12.0% or more in the case of Morgan Stanley and its affiliates) of any Equity Interest in the Borrower; or (c) 10.0% or more (or 12.0% or more in the case of Morgan Stanley and its affiliates)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113"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Wachovia Bank, National Association, as contractual representative for the Lenders under the terms of this Agreement, and any of its successors.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17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constitutions, statutes, rules, regulations and orders of all governmental bodies and all orders and decrees of all courts, tribunals and arbitrators.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 the percentage per annum determined, at any time, based on the range into which the Borrower’s Credit Rating then falls, in accordance with the levels in the table set forth below (each a “</w:t>
      </w:r>
      <w:r>
        <w:rPr>
          <w:rFonts w:ascii="Arial" w:cs="Arial" w:eastAsia="Arial" w:hAnsi="Arial"/>
          <w:sz w:val="18"/>
          <w:szCs w:val="18"/>
          <w:b w:val="1"/>
          <w:bCs w:val="1"/>
          <w:color w:val="auto"/>
        </w:rPr>
        <w:t>Level</w:t>
      </w:r>
      <w:r>
        <w:rPr>
          <w:rFonts w:ascii="Arial" w:cs="Arial" w:eastAsia="Arial" w:hAnsi="Arial"/>
          <w:sz w:val="18"/>
          <w:szCs w:val="18"/>
          <w:color w:val="auto"/>
        </w:rPr>
        <w:t>”).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During any period for which the Borrower has received a Credit Rating from only one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12" w:name="page13"/>
    <w:bookmarkEnd w:id="1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Rating Agency, then the Applicable Margin shall be determined based on such Credit Rating. During any period for which the Borrower has not received a Credit Rating from either Rating Agency, then the Applicable Margin shall be determined based on Level 5. As of the Agreement Date, and thereafter until changed as provided above, the Applicable Margin is determined based on Level 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Borrower’s Credit Rating (S&amp;P/Moody’s)</w:t>
            </w:r>
          </w:p>
        </w:tc>
        <w:tc>
          <w:tcPr>
            <w:tcW w:w="840" w:type="dxa"/>
            <w:vAlign w:val="bottom"/>
          </w:tcPr>
          <w:p>
            <w:pPr>
              <w:spacing w:after="0"/>
              <w:rPr>
                <w:sz w:val="14"/>
                <w:szCs w:val="14"/>
                <w:color w:val="auto"/>
              </w:rPr>
            </w:pPr>
          </w:p>
        </w:tc>
        <w:tc>
          <w:tcPr>
            <w:tcW w:w="23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Applicable Margin for</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Applicable Margin for</w:t>
            </w:r>
          </w:p>
        </w:tc>
        <w:tc>
          <w:tcPr>
            <w:tcW w:w="0" w:type="dxa"/>
            <w:vAlign w:val="bottom"/>
          </w:tcPr>
          <w:p>
            <w:pPr>
              <w:spacing w:after="0"/>
              <w:rPr>
                <w:sz w:val="1"/>
                <w:szCs w:val="1"/>
                <w:color w:val="auto"/>
              </w:rPr>
            </w:pPr>
          </w:p>
        </w:tc>
      </w:tr>
      <w:tr>
        <w:trPr>
          <w:trHeight w:val="155"/>
        </w:trPr>
        <w:tc>
          <w:tcPr>
            <w:tcW w:w="3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Level</w:t>
            </w:r>
          </w:p>
        </w:tc>
        <w:tc>
          <w:tcPr>
            <w:tcW w:w="820" w:type="dxa"/>
            <w:vAlign w:val="bottom"/>
            <w:vMerge w:val="continue"/>
          </w:tcPr>
          <w:p>
            <w:pPr>
              <w:spacing w:after="0"/>
              <w:rPr>
                <w:sz w:val="13"/>
                <w:szCs w:val="13"/>
                <w:color w:val="auto"/>
              </w:rPr>
            </w:pPr>
          </w:p>
        </w:tc>
        <w:tc>
          <w:tcPr>
            <w:tcW w:w="5660" w:type="dxa"/>
            <w:vAlign w:val="bottom"/>
            <w:tcBorders>
              <w:bottom w:val="single" w:sz="8" w:color="auto"/>
            </w:tcBorders>
            <w:vMerge w:val="continue"/>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4"/>
              </w:rPr>
              <w:t>LIBOR Loans</w:t>
            </w:r>
          </w:p>
        </w:tc>
        <w:tc>
          <w:tcPr>
            <w:tcW w:w="98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Base Rate Loans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6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A-/A3</w:t>
            </w:r>
          </w:p>
        </w:tc>
        <w:tc>
          <w:tcPr>
            <w:tcW w:w="31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0.375%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480" w:type="dxa"/>
            <w:vAlign w:val="bottom"/>
            <w:gridSpan w:val="2"/>
          </w:tcPr>
          <w:p>
            <w:pPr>
              <w:ind w:left="820"/>
              <w:spacing w:after="0"/>
              <w:rPr>
                <w:sz w:val="20"/>
                <w:szCs w:val="20"/>
                <w:color w:val="auto"/>
              </w:rPr>
            </w:pPr>
            <w:r>
              <w:rPr>
                <w:rFonts w:ascii="Arial" w:cs="Arial" w:eastAsia="Arial" w:hAnsi="Arial"/>
                <w:sz w:val="18"/>
                <w:szCs w:val="18"/>
                <w:color w:val="auto"/>
              </w:rPr>
              <w:t>BBB+/Baa1</w:t>
            </w:r>
          </w:p>
        </w:tc>
        <w:tc>
          <w:tcPr>
            <w:tcW w:w="3140" w:type="dxa"/>
            <w:vAlign w:val="bottom"/>
            <w:gridSpan w:val="3"/>
          </w:tcPr>
          <w:p>
            <w:pPr>
              <w:jc w:val="right"/>
              <w:ind w:right="840"/>
              <w:spacing w:after="0"/>
              <w:rPr>
                <w:sz w:val="20"/>
                <w:szCs w:val="20"/>
                <w:color w:val="auto"/>
              </w:rPr>
            </w:pPr>
            <w:r>
              <w:rPr>
                <w:rFonts w:ascii="Arial" w:cs="Arial" w:eastAsia="Arial" w:hAnsi="Arial"/>
                <w:sz w:val="18"/>
                <w:szCs w:val="18"/>
                <w:color w:val="auto"/>
              </w:rPr>
              <w:t>0.425%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6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BBB/Baa2</w:t>
            </w:r>
          </w:p>
        </w:tc>
        <w:tc>
          <w:tcPr>
            <w:tcW w:w="31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0.600%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6480" w:type="dxa"/>
            <w:vAlign w:val="bottom"/>
            <w:gridSpan w:val="2"/>
          </w:tcPr>
          <w:p>
            <w:pPr>
              <w:ind w:left="820"/>
              <w:spacing w:after="0"/>
              <w:rPr>
                <w:sz w:val="20"/>
                <w:szCs w:val="20"/>
                <w:color w:val="auto"/>
              </w:rPr>
            </w:pPr>
            <w:r>
              <w:rPr>
                <w:rFonts w:ascii="Arial" w:cs="Arial" w:eastAsia="Arial" w:hAnsi="Arial"/>
                <w:sz w:val="18"/>
                <w:szCs w:val="18"/>
                <w:color w:val="auto"/>
              </w:rPr>
              <w:t>BBB-/Baa3</w:t>
            </w:r>
          </w:p>
        </w:tc>
        <w:tc>
          <w:tcPr>
            <w:tcW w:w="3140" w:type="dxa"/>
            <w:vAlign w:val="bottom"/>
            <w:gridSpan w:val="3"/>
          </w:tcPr>
          <w:p>
            <w:pPr>
              <w:jc w:val="right"/>
              <w:ind w:right="840"/>
              <w:spacing w:after="0"/>
              <w:rPr>
                <w:sz w:val="20"/>
                <w:szCs w:val="20"/>
                <w:color w:val="auto"/>
              </w:rPr>
            </w:pPr>
            <w:r>
              <w:rPr>
                <w:rFonts w:ascii="Arial" w:cs="Arial" w:eastAsia="Arial" w:hAnsi="Arial"/>
                <w:sz w:val="18"/>
                <w:szCs w:val="18"/>
                <w:color w:val="auto"/>
              </w:rPr>
              <w:t>0.750%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6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&lt; BBB-/Baa3</w:t>
            </w:r>
          </w:p>
        </w:tc>
        <w:tc>
          <w:tcPr>
            <w:tcW w:w="31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Wachovia Capital Markets, LLC, together with its successors and permitted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 has the meaning given that term in Section 12.5.(d).</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 Agreement</w:t>
      </w:r>
      <w:r>
        <w:rPr>
          <w:rFonts w:ascii="Arial" w:cs="Arial" w:eastAsia="Arial" w:hAnsi="Arial"/>
          <w:sz w:val="18"/>
          <w:szCs w:val="18"/>
          <w:color w:val="auto"/>
        </w:rPr>
        <w:t>” means an Assignment and Acceptance Agreement among a Lender, an Assignee and the Agent, substantially in the form of Exhibit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the per annum rate of interest equal to the greater of (a) the Prime Rate or (b) the Federal Funds Rate plus one-half of one percent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(0.5%). Any change in the Base Rate resulting from a change in the Prime Rate or the Federal Funds Rate shall become effective as of 12:01 a.m. on the Business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Day on which each such change occurs. The Base Rate is a reference rate used by the Lender acting as the Agent in determining interest rates on certain loans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 not intended to be the lowest rate of interest charged by the Lender acting as the Agent or any other Lender on any extension of credit to any debtor.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bearing interest at a rate based on the Base Rate.</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Borrowing</w:t>
      </w:r>
      <w:r>
        <w:rPr>
          <w:rFonts w:ascii="Arial" w:cs="Arial" w:eastAsia="Arial" w:hAnsi="Arial"/>
          <w:sz w:val="18"/>
          <w:szCs w:val="18"/>
          <w:color w:val="auto"/>
        </w:rPr>
        <w:t>” has the meaning given that term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Loan</w:t>
      </w:r>
      <w:r>
        <w:rPr>
          <w:rFonts w:ascii="Arial" w:cs="Arial" w:eastAsia="Arial" w:hAnsi="Arial"/>
          <w:sz w:val="18"/>
          <w:szCs w:val="18"/>
          <w:color w:val="auto"/>
        </w:rPr>
        <w:t>” means a loan made by a Lender under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Note</w:t>
      </w:r>
      <w:r>
        <w:rPr>
          <w:rFonts w:ascii="Arial" w:cs="Arial" w:eastAsia="Arial" w:hAnsi="Arial"/>
          <w:sz w:val="18"/>
          <w:szCs w:val="18"/>
          <w:color w:val="auto"/>
        </w:rPr>
        <w:t>” has the meaning given that term in Section 2.11.(b).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Bid Rate Quote</w:t>
      </w:r>
      <w:r>
        <w:rPr>
          <w:rFonts w:ascii="Arial" w:cs="Arial" w:eastAsia="Arial" w:hAnsi="Arial"/>
          <w:sz w:val="16"/>
          <w:szCs w:val="16"/>
          <w:color w:val="auto"/>
        </w:rPr>
        <w:t>” means an offer in accordance with Section 2.2.(c) by a Lender to make a Bid Rate Loan with one single specified interest rate.</w:t>
      </w:r>
    </w:p>
    <w:p>
      <w:pPr>
        <w:spacing w:after="0" w:line="1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Bid Rate Quote Request</w:t>
      </w:r>
      <w:r>
        <w:rPr>
          <w:rFonts w:ascii="Arial" w:cs="Arial" w:eastAsia="Arial" w:hAnsi="Arial"/>
          <w:sz w:val="18"/>
          <w:szCs w:val="18"/>
          <w:color w:val="auto"/>
        </w:rPr>
        <w:t>” has the meaning given that term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194"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any day other than a Saturday, Sunday or other day on which banks in Charlotte, North Carolina or New York, New York are authorized or required to close and (b) with reference to a LIBOR Loan or LIBOR Margin Loan, any such day that is also a day on which dealings in Dollar deposits are carried out in the London interbank market.</w:t>
      </w:r>
    </w:p>
    <w:p>
      <w:pPr>
        <w:spacing w:after="0" w:line="132"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(a) portion of a Property developed with improvements utilized for the retail sale of 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jc w:val="both"/>
        <w:ind w:firstLine="8"/>
        <w:spacing w:after="0" w:line="25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Multifamily Property, an amount equal to (i) $200 per apartment unit in such Multifamily Property times (ii) a fraction, the numerator of which is the number of days in such period and the denominator of which is 365. 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7.50%.</w:t>
      </w:r>
    </w:p>
    <w:p>
      <w:pPr>
        <w:spacing w:after="0" w:line="1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an obligation under a lease that is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securities of the type described in clause (a) above and entered into only with commercial banks having the qualifications described in clause (b) above;</w:t>
      </w:r>
    </w:p>
    <w:p>
      <w:pPr>
        <w:spacing w:after="0" w:line="38" w:lineRule="exact"/>
        <w:rPr>
          <w:sz w:val="20"/>
          <w:szCs w:val="20"/>
          <w:color w:val="auto"/>
        </w:rPr>
      </w:pPr>
    </w:p>
    <w:p>
      <w:pPr>
        <w:ind w:firstLine="8"/>
        <w:spacing w:after="0" w:line="300" w:lineRule="auto"/>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w:t>
      </w:r>
    </w:p>
    <w:p>
      <w:pPr>
        <w:ind w:right="40" w:firstLine="8"/>
        <w:spacing w:after="0" w:line="261"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32"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means a special deposit account or securities account maintained by, or on behalf of, the Agent and under its sole dominion and control.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w:t>
      </w:r>
      <w:r>
        <w:rPr>
          <w:rFonts w:ascii="Arial" w:cs="Arial" w:eastAsia="Arial" w:hAnsi="Arial"/>
          <w:sz w:val="16"/>
          <w:szCs w:val="16"/>
          <w:color w:val="auto"/>
        </w:rPr>
        <w:t>” means, as to each Lender (other than the Swingline Lender), such Lender’s obligation (a) to make Revolving Loans pursuant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Section 2.1., (b) to issue (in the case of the Lender then acting as Agent) or participate in (in the case of the other Lenders) Letters of Credit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2.4.(a) and 2.4.(i), respectively (but in the case of the Lender then acting as the Agent, excluding the aggregate amount of participations in the Letters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held by the other Lenders), and (c) to participate in the Swingline Loans pursuant to Section 2.3.(e), in each case, in an amount up to, but not exceeding,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set forth for such Lender on its signature page hereto as such Lender’s “Commitment Amount,” as set forth in the applicable Assignment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Acceptance Agreement or as set forth in the applicable documents pursuant to which such Lender became a party to this Agreement pursuant to Section 2.16.,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each case, as the same may be reduced or increased from time to time in accordance with the applicable terms of this Agreement.</w:t>
      </w:r>
    </w:p>
    <w:p>
      <w:pPr>
        <w:spacing w:after="0" w:line="1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means, as to each Lender, the ratio, expressed as a percentage, of (a) the amount of such Lender’s Commitment to (b) the aggregate amount of the Commitments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of determination the Commitments have terminated or been reduced to zero, the “Commitment Percentage” of each Lender shall be the Commitment Percentage of such Lender in effect immediately prior to such termination or reduction.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171"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Construction-in-Process</w:t>
      </w:r>
      <w:r>
        <w:rPr>
          <w:rFonts w:ascii="Arial" w:cs="Arial" w:eastAsia="Arial" w:hAnsi="Arial"/>
          <w:sz w:val="16"/>
          <w:szCs w:val="16"/>
          <w:color w:val="auto"/>
        </w:rPr>
        <w:t>” means cash expenditures for land and improvements (including indirect costs internally allocated and development costs) in accordance with GAAP on all Properties that are under development or will commence development within twelve months from any date of determination.</w:t>
      </w:r>
    </w:p>
    <w:p>
      <w:pPr>
        <w:spacing w:after="0" w:line="74"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Budget</w:t>
      </w:r>
      <w:r>
        <w:rPr>
          <w:rFonts w:ascii="Arial" w:cs="Arial" w:eastAsia="Arial" w:hAnsi="Arial"/>
          <w:sz w:val="18"/>
          <w:szCs w:val="18"/>
          <w:color w:val="auto"/>
        </w:rPr>
        <w:t>” means the fully-budgeted costs for the acquisition and construction of a given parcel of real property (including, without limitation, the cost of acquiring such parcel of real property, reserves for construction interest and operating deficits, tenant improvements, leasing commissions, and infrastructure costs) as reasonably determined by the Borrower in good faith.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15" w:name="page16"/>
    <w:bookmarkEnd w:id="15"/>
    <w:p>
      <w:pPr>
        <w:ind w:right="5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2.9.</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2.10.</w:t>
      </w:r>
    </w:p>
    <w:p>
      <w:pPr>
        <w:spacing w:after="0" w:line="194" w:lineRule="exact"/>
        <w:rPr>
          <w:sz w:val="20"/>
          <w:szCs w:val="20"/>
          <w:color w:val="auto"/>
        </w:rPr>
      </w:pPr>
    </w:p>
    <w:p>
      <w:pPr>
        <w:ind w:right="6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Event</w:t>
      </w:r>
      <w:r>
        <w:rPr>
          <w:rFonts w:ascii="Arial" w:cs="Arial" w:eastAsia="Arial" w:hAnsi="Arial"/>
          <w:sz w:val="16"/>
          <w:szCs w:val="16"/>
          <w:color w:val="auto"/>
        </w:rPr>
        <w:t>” means either of the following: (a) the making (or deemed making) of any Loan, or (b) the issuance of a Letter of Credit; provided, however, that a Lender’s making of any Loan at the request of the Agent pursuant to Section 2.3.(e) or 2.4.(j) shall not constitute a Credit Event.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the Borrower.</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has the meaning set forth in Section 3.11.(a).</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16" w:name="page17"/>
    <w:bookmarkEnd w:id="16"/>
    <w:p>
      <w:pPr>
        <w:ind w:right="18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0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Lender</w:t>
      </w:r>
      <w:r>
        <w:rPr>
          <w:rFonts w:ascii="Arial" w:cs="Arial" w:eastAsia="Arial" w:hAnsi="Arial"/>
          <w:sz w:val="16"/>
          <w:szCs w:val="16"/>
          <w:color w:val="auto"/>
        </w:rPr>
        <w:t>” means a special purpose corporation which is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12.5.(e) and (c) is not otherwise a Lender.</w:t>
      </w:r>
    </w:p>
    <w:p>
      <w:pPr>
        <w:spacing w:after="0" w:line="103"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Lender Note</w:t>
      </w:r>
      <w:r>
        <w:rPr>
          <w:rFonts w:ascii="Arial" w:cs="Arial" w:eastAsia="Arial" w:hAnsi="Arial"/>
          <w:sz w:val="18"/>
          <w:szCs w:val="18"/>
          <w:color w:val="auto"/>
        </w:rPr>
        <w:t>” means a Bid Rate Note of the Borrower evidencing the obligation of the Borrower to repay Bid Rate Loans made by a Designated Lender.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Designating Lender</w:t>
      </w:r>
      <w:r>
        <w:rPr>
          <w:rFonts w:ascii="Arial" w:cs="Arial" w:eastAsia="Arial" w:hAnsi="Arial"/>
          <w:sz w:val="18"/>
          <w:szCs w:val="18"/>
          <w:color w:val="auto"/>
        </w:rPr>
        <w:t>” has the meaning given that term in Section 12.5.(e).</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Agreement</w:t>
      </w:r>
      <w:r>
        <w:rPr>
          <w:rFonts w:ascii="Arial" w:cs="Arial" w:eastAsia="Arial" w:hAnsi="Arial"/>
          <w:sz w:val="18"/>
          <w:szCs w:val="18"/>
          <w:color w:val="auto"/>
        </w:rPr>
        <w:t>” means a Designation Agreement between a Lender and a Designated Lender and accepted by the Agent, substantially in the form of Exhibit B or such other form as may be agreed to by such Lender, such Designated Lender and the Agent.</w:t>
      </w:r>
    </w:p>
    <w:p>
      <w:pPr>
        <w:spacing w:after="0" w:line="120"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(a) that otherwise qualifies as an Eligible Property, except that it is not yet a Retail Property or Multifamily Property, but it is being developed to become one, and (b) that is either (i) Construction-in-Process or (ii) an Unstabilized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pro rata share of EBITDA of its Unconsolidated Affiliates. EBITDA will be adjusted to remove all impact of straight lining of rents.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74" w:right="299" w:bottom="1440" w:gutter="0" w:footer="0" w:header="0"/>
        </w:sectPr>
      </w:pPr>
    </w:p>
    <w:bookmarkStart w:id="17" w:name="page18"/>
    <w:bookmarkEnd w:id="17"/>
    <w:p>
      <w:pPr>
        <w:ind w:right="1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in writing by the Requisite Lenders.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any Person who is, at the time of determination: (i) a Lender or an affiliate of a Lender; (ii) a commercial bank, trust, trust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insurance company, investment bank or pension fund organized under the laws of the United States of America, or any state thereof, and having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in excess of $5,000,000,000; (iii) a savings and loan association or savings bank organized under the laws of the United States of America, or any 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thereof, and having a tangible net worth of at least $500,000,000; or (iv) a commercial bank organized under the laws of any other country which is a member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Organization for Economic Cooperation and Development, or a political subdivision of any such country, and having total assets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$10,000,000,000, provided that such bank is acting through a branch or agency located in the United States of America. If such Person is not currently a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 affiliate of a Lender, such Person’s (or its parent’s) senior unsecured long term indebtedness must be rated BBB or higher by S&amp;P, Baa2 or higher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Moody’s, or the equivalent or higher of either such rating by another rating agency acceptable to the Agent.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or Multifamily Property;</w:t>
      </w:r>
    </w:p>
    <w:p>
      <w:pPr>
        <w:spacing w:after="0" w:line="44" w:lineRule="exact"/>
        <w:rPr>
          <w:sz w:val="20"/>
          <w:szCs w:val="20"/>
          <w:color w:val="auto"/>
        </w:rPr>
      </w:pPr>
    </w:p>
    <w:p>
      <w:pPr>
        <w:ind w:firstLine="8"/>
        <w:spacing w:after="0" w:line="300" w:lineRule="auto"/>
        <w:tabs>
          <w:tab w:leader="none" w:pos="249" w:val="left"/>
        </w:tabs>
        <w:numPr>
          <w:ilvl w:val="0"/>
          <w:numId w:val="5"/>
        </w:numPr>
        <w:rPr>
          <w:rFonts w:ascii="Arial" w:cs="Arial" w:eastAsia="Arial" w:hAnsi="Arial"/>
          <w:sz w:val="15"/>
          <w:szCs w:val="15"/>
          <w:color w:val="auto"/>
        </w:rPr>
      </w:pPr>
      <w:r>
        <w:rPr>
          <w:rFonts w:ascii="Arial" w:cs="Arial" w:eastAsia="Arial" w:hAnsi="Arial"/>
          <w:sz w:val="15"/>
          <w:szCs w:val="15"/>
          <w:color w:val="auto"/>
        </w:rPr>
        <w:t>neither such Property, nor any interest of the Borrower or any Subsidiary therein (and if such Property is owned by a Subsidiary, none of the Borrower’s direct or indirect ownership interests in such Subsidiary) is subject to any Lien other than Permitted Liens (excluding Permitted Liens of the type described in clauses</w:t>
      </w:r>
    </w:p>
    <w:p>
      <w:pPr>
        <w:ind w:right="40" w:firstLine="8"/>
        <w:spacing w:after="0" w:line="290"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and any applicable rule of common law and any judicial interpretation thereof relating primarily to the environment or Hazardous Materials.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18" w:name="page19"/>
    <w:bookmarkEnd w:id="18"/>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1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3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any Subsidiary (a) holding title to assets which are or are to become collateral for any Secured Indebtedness of such 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has the meaning given such term in Section 2.13.</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Fee</w:t>
      </w:r>
      <w:r>
        <w:rPr>
          <w:rFonts w:ascii="Arial" w:cs="Arial" w:eastAsia="Arial" w:hAnsi="Arial"/>
          <w:sz w:val="18"/>
          <w:szCs w:val="18"/>
          <w:color w:val="auto"/>
        </w:rPr>
        <w:t>” means the per annum percentage set forth in the table below corresponding to the Level at which the “Applicable Margin” is determined in accordance with the definition thereof:</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560" w:type="dxa"/>
            <w:vAlign w:val="bottom"/>
          </w:tcPr>
          <w:p>
            <w:pPr>
              <w:spacing w:after="0"/>
              <w:rPr>
                <w:sz w:val="14"/>
                <w:szCs w:val="14"/>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Borrower’s Credit Rating (S&amp;P/Moody’s)</w:t>
            </w:r>
          </w:p>
        </w:tc>
        <w:tc>
          <w:tcPr>
            <w:tcW w:w="5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Facility Fee</w:t>
            </w:r>
          </w:p>
        </w:tc>
        <w:tc>
          <w:tcPr>
            <w:tcW w:w="140" w:type="dxa"/>
            <w:vAlign w:val="bottom"/>
          </w:tcPr>
          <w:p>
            <w:pPr>
              <w:spacing w:after="0"/>
              <w:rPr>
                <w:sz w:val="14"/>
                <w:szCs w:val="14"/>
                <w:color w:val="auto"/>
              </w:rPr>
            </w:pPr>
          </w:p>
        </w:tc>
      </w:tr>
      <w:tr>
        <w:trPr>
          <w:trHeight w:val="216"/>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56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0.125%</w:t>
            </w:r>
          </w:p>
        </w:tc>
      </w:tr>
      <w:tr>
        <w:trPr>
          <w:trHeight w:val="216"/>
        </w:trPr>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BBB+/Baa1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56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BBB/Baa2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BBB-/Baa3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56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&lt; BBB-/Baa3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0.25%</w:t>
            </w: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Agreement Date, and thereafter until any change in Level as provided in the definition of “Applicable Margin”, the Facility Fee equals 0.15%.</w:t>
      </w:r>
    </w:p>
    <w:p>
      <w:pPr>
        <w:spacing w:after="0" w:line="188" w:lineRule="exact"/>
        <w:rPr>
          <w:sz w:val="20"/>
          <w:szCs w:val="20"/>
          <w:color w:val="auto"/>
        </w:rPr>
      </w:pPr>
    </w:p>
    <w:p>
      <w:pPr>
        <w:jc w:val="both"/>
        <w:ind w:right="2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a security listed on a national securities exchange or the NASDAQ National Market, the price of such 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139"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3.6. and any other fees payable by the Borrower hereunder or under any other Loan Document.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for any period, the sum of (a) Interest Expense of the Borrower and its Subsidiaries determined on a consolidated basis for such 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13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From Operations</w:t>
      </w:r>
      <w:r>
        <w:rPr>
          <w:rFonts w:ascii="Arial" w:cs="Arial" w:eastAsia="Arial" w:hAnsi="Arial"/>
          <w:sz w:val="18"/>
          <w:szCs w:val="18"/>
          <w:color w:val="auto"/>
        </w:rPr>
        <w:t>” means, for a given period, income of the Borrower and its Subsidiaries available for common shareholders before depreciation and amortization of real 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80" w:right="279" w:bottom="1440" w:gutter="0" w:footer="0" w:header="0"/>
        </w:sectPr>
      </w:pPr>
    </w:p>
    <w:bookmarkStart w:id="20" w:name="page21"/>
    <w:bookmarkEnd w:id="20"/>
    <w:p>
      <w:pPr>
        <w:ind w:right="10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136"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2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state or local government (whether domestic or foreign), any political subdivision thereof or any other 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36"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Ground Lease</w:t>
      </w:r>
      <w:r>
        <w:rPr>
          <w:rFonts w:ascii="Arial" w:cs="Arial" w:eastAsia="Arial" w:hAnsi="Arial"/>
          <w:sz w:val="15"/>
          <w:szCs w:val="15"/>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96"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is a party to the Guaranty as a “Guarantor” and in any event shall include each Material Subsidiary (unless an Excluded Subsidiary or a Subsidiary that owns any Non-Controlled Property.)</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O.</w:t>
      </w:r>
    </w:p>
    <w:p>
      <w:pPr>
        <w:spacing w:after="0" w:line="11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Capitalized Lease Obligations of such Person; (d) all reimbursement obligations of such Person under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(h) net obligations under any Derivatives Contract not entered into as a hedge against existing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in an amount equal to the Derivatives Termination Value thereof; (i)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(k)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portion of such Indebtedness or the amount of the recourse portion of the Indebtedness, shall be included as Indebtedness of such Person). All Loans and Letter of Credit Liabilities shall constitute Indebtedness of the Borrower.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pro rata share of Interest Expense of Unconsolidated Affiliates for such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177" w:lineRule="exact"/>
        <w:rPr>
          <w:sz w:val="20"/>
          <w:szCs w:val="20"/>
          <w:color w:val="auto"/>
        </w:rPr>
      </w:pPr>
    </w:p>
    <w:p>
      <w:pPr>
        <w:ind w:right="80" w:firstLine="464"/>
        <w:spacing w:after="0" w:line="294"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any LIBOR Loan, each period commencing on the date such LIBOR Loan is made, or in the case of the Continuation of a LIBOR Loan the last day of the preceding Interest Period for such Loan, or deemed made and ending one week, 1, 2, 3 or 6 months or 1 year thereafter, as the Borrower may select in a Notice of Borrowing, Notice of Continuation or Notice of Conversion, as the case may be, except that each Interest Period that commences on the last Business Day of a calendar month, or on a day for which there is no corresponding day in the appropriate subsequent calendar month, shall end on the last Business Day of the appropriate subsequent calendar month; and</w:t>
      </w:r>
    </w:p>
    <w:p>
      <w:pPr>
        <w:spacing w:after="0" w:line="11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any Bid Rate Loan, the period commencing on the date such Bid Rate Loan is made and ending on any Business Day not less than 7 nor more than 180 days thereafter, as the Borrower may select as provided in Section 2.2.(b).</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Notwithstanding the foregoing: (i) if any Interest Period would otherwise end after the Termination Date, such Interest Period shall end on the Termination Date and (ii) each Interest Period that would otherwise end on a day which is not a Business Day shall 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80" w:right="259" w:bottom="1440" w:gutter="0" w:footer="0" w:header="0"/>
        </w:sectPr>
      </w:pPr>
    </w:p>
    <w:bookmarkStart w:id="23" w:name="page24"/>
    <w:bookmarkEnd w:id="23"/>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immediately following Business Day (or, if such immediately following Business Day falls in the next calendar month, on the immediately preceding Business Day).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BBB-/Baa3 (or equivalent) or higher from either of the Rating Agencies.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 Amount</w:t>
      </w:r>
      <w:r>
        <w:rPr>
          <w:rFonts w:ascii="Arial" w:cs="Arial" w:eastAsia="Arial" w:hAnsi="Arial"/>
          <w:sz w:val="18"/>
          <w:szCs w:val="18"/>
          <w:color w:val="auto"/>
        </w:rPr>
        <w:t>” equals $40,000,000.</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financial institution from time to time party hereto as a “Lender” or a “Designated Lender,” together with its respective successors and permitted assigns, and as the context requires, includes the Swingline Lender; provided, however, that the term “Lender” shall exclude each Designated Lender when used in reference to any Loan other than a Bid Rate Loan, the Commitments or terms relating to any Loan other than a Bid Rate Loan and shall further exclude each Designated Lender for all other purposes under the Loan Documents except that any Designated Lender which funds a Bid Rate Loan shall, subject to Section 12.5.(e), have the rights (including the rights given to a Lender contained in Sections 12.2. and 12.9.) and obligations of a Lender associated with holding such Bid Rate Loan.</w:t>
      </w:r>
    </w:p>
    <w:p>
      <w:pPr>
        <w:spacing w:after="0" w:line="139"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Lending Office</w:t>
      </w:r>
      <w:r>
        <w:rPr>
          <w:rFonts w:ascii="Arial" w:cs="Arial" w:eastAsia="Arial" w:hAnsi="Arial"/>
          <w:sz w:val="16"/>
          <w:szCs w:val="16"/>
          <w:color w:val="auto"/>
        </w:rPr>
        <w:t>” means, for each Lender and for each Type of Loan, the office of such Lender specified as such on its signature page hereto or in the applicable Assignment and Acceptance Agreement, or such other office of such Lender of which such Lender may notify the Agent in writing from time to time.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has the meaning given that term in Section 2.4.(a).</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20"/>
          </w:cols>
          <w:pgMar w:left="240" w:top="280" w:right="339" w:bottom="1440" w:gutter="0" w:footer="0" w:header="0"/>
        </w:sectPr>
      </w:pPr>
    </w:p>
    <w:bookmarkStart w:id="24" w:name="page25"/>
    <w:bookmarkEnd w:id="24"/>
    <w:p>
      <w:pPr>
        <w:ind w:right="32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Letter of Credit Documents</w:t>
      </w:r>
      <w:r>
        <w:rPr>
          <w:rFonts w:ascii="Arial" w:cs="Arial" w:eastAsia="Arial" w:hAnsi="Arial"/>
          <w:sz w:val="16"/>
          <w:szCs w:val="16"/>
          <w:color w:val="auto"/>
        </w:rPr>
        <w:t>”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9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Liabilities</w:t>
      </w:r>
      <w:r>
        <w:rPr>
          <w:rFonts w:ascii="Arial" w:cs="Arial" w:eastAsia="Arial" w:hAnsi="Arial"/>
          <w:sz w:val="16"/>
          <w:szCs w:val="16"/>
          <w:color w:val="auto"/>
        </w:rPr>
        <w:t>”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acting as the Agent) shall be deemed to hold a Letter of Credit Liability in an amount equal to its participation interest in the related Letter of Credit under Section 2.4.(i), and the Lender acting as the Agent shall be deemed to hold a Letter of Credit Liability in an amount equal to its retained interest in the related Letter of Credit after giving effect to the acquisition by the Lenders other than the Lender acting as the Agent of their participation interests under such Section.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means, for any LIBOR Loan or LIBOR Margin Loan for any Interest Period therefor, the rate per annum (rounded upwards, if necessary, to the nearest 1/100 of 1%) appearing on Telerate Page 3750 (or any successor page) as the London interbank offered rate for deposits in Dollars at approximately 11:00 a.m. (London time) two Business Days prior to the first day of such Interest Period for a term comparable to such Interest Period. If for any reason such rate is not available, the term “LIBOR” shall mean, for any LIBOR Loan or LIBOR Margin Loan for any Interest Period therefor, the rate per annum (rounded upwards, if necessary, to the nearest 1/100 of 1%) appearing on the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the Reuters Screen LIBO Page, the applicable rate shall be the arithmetic mean of all such rates. If for any reason none of the foregoing rates is available, LIBOR shall be, for any Interest Period, the rate per annum reasonably determined by the Agent as the rate of interest at which Dollar deposits in the approximate amount of the LIBOR Loan comprising part of such borrowing or LIBOR Margin Loan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Auction</w:t>
      </w:r>
      <w:r>
        <w:rPr>
          <w:rFonts w:ascii="Arial" w:cs="Arial" w:eastAsia="Arial" w:hAnsi="Arial"/>
          <w:sz w:val="18"/>
          <w:szCs w:val="18"/>
          <w:color w:val="auto"/>
        </w:rPr>
        <w:t>” means a solicitation of Bid Rate Quotes setting forth LIBOR Margin Loans based on LIBOR pursuant to Section 2.2.</w:t>
      </w:r>
    </w:p>
    <w:p>
      <w:pPr>
        <w:spacing w:after="0" w:line="1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74" w:right="25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LIBOR Loan</w:t>
      </w:r>
      <w:r>
        <w:rPr>
          <w:rFonts w:ascii="Arial" w:cs="Arial" w:eastAsia="Arial" w:hAnsi="Arial"/>
          <w:sz w:val="18"/>
          <w:szCs w:val="18"/>
          <w:color w:val="auto"/>
        </w:rPr>
        <w:t>” means a Revolving Loan bearing interest at a rate based on LIBOR.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has the meaning given that term in Section 2.2.(c)(ii)(D).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Margin Loan</w:t>
      </w:r>
      <w:r>
        <w:rPr>
          <w:rFonts w:ascii="Arial" w:cs="Arial" w:eastAsia="Arial" w:hAnsi="Arial"/>
          <w:sz w:val="16"/>
          <w:szCs w:val="16"/>
          <w:color w:val="auto"/>
        </w:rPr>
        <w:t>” means a Bid Rate Loan the interest rate on which is determined on the basis of LIBOR pursuant to a LIBOR Auction.</w:t>
      </w:r>
    </w:p>
    <w:p>
      <w:pPr>
        <w:spacing w:after="0" w:line="19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as applied to the property of any Person means: (a) any security interest, encumbrance, mortgage, deed to secure debt, deed of trust, 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Revolving Loan, a Bid Rate Loan or a Swingline Loan.</w:t>
      </w:r>
    </w:p>
    <w:p>
      <w:pPr>
        <w:spacing w:after="0" w:line="1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w:t>
      </w:r>
      <w:r>
        <w:rPr>
          <w:rFonts w:ascii="Arial" w:cs="Arial" w:eastAsia="Arial" w:hAnsi="Arial"/>
          <w:sz w:val="18"/>
          <w:szCs w:val="18"/>
          <w:color w:val="auto"/>
        </w:rPr>
        <w:t>” means this Agreement, each Note, each Letter of Credit Document, the Guaranty and each other document or instrument now or hereafter executed and delivered by a Loan Party in connection with, pursuant to or relating to this Agreement.</w:t>
      </w:r>
    </w:p>
    <w:p>
      <w:pPr>
        <w:spacing w:after="0" w:line="120"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Party</w:t>
      </w:r>
      <w:r>
        <w:rPr>
          <w:rFonts w:ascii="Arial" w:cs="Arial" w:eastAsia="Arial" w:hAnsi="Arial"/>
          <w:sz w:val="15"/>
          <w:szCs w:val="15"/>
          <w:color w:val="auto"/>
        </w:rPr>
        <w:t xml:space="preserve">” means each of the Borrower and each other Person who guarantees all or a portion of the Obligations and/or who pledges any collateral security to secure all or a portion of the Obligations. </w:t>
      </w:r>
      <w:r>
        <w:rPr>
          <w:rFonts w:ascii="Arial" w:cs="Arial" w:eastAsia="Arial" w:hAnsi="Arial"/>
          <w:sz w:val="15"/>
          <w:szCs w:val="15"/>
          <w:u w:val="single" w:color="auto"/>
          <w:color w:val="auto"/>
        </w:rPr>
        <w:t>Schedule 1.1.(A</w:t>
      </w:r>
      <w:r>
        <w:rPr>
          <w:rFonts w:ascii="Arial" w:cs="Arial" w:eastAsia="Arial" w:hAnsi="Arial"/>
          <w:sz w:val="15"/>
          <w:szCs w:val="15"/>
          <w:color w:val="auto"/>
        </w:rPr>
        <w:t>) sets forth the Loan Parties in addition to the Borrower as of the Agreement Date.</w:t>
      </w:r>
    </w:p>
    <w:p>
      <w:pPr>
        <w:spacing w:after="0" w:line="5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Default</w:t>
      </w:r>
      <w:r>
        <w:rPr>
          <w:rFonts w:ascii="Arial" w:cs="Arial" w:eastAsia="Arial" w:hAnsi="Arial"/>
          <w:sz w:val="18"/>
          <w:szCs w:val="18"/>
          <w:color w:val="auto"/>
        </w:rPr>
        <w:t>” means a Default resulting from the occurrence of any of the events described in Section 10.1.(a), Section 10.1.(b), Section 10.1.(f) or Section 10.1.(g).</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Mandatorily Redeemable Stock</w:t>
      </w:r>
      <w:r>
        <w:rPr>
          <w:rFonts w:ascii="Arial" w:cs="Arial" w:eastAsia="Arial" w:hAnsi="Arial"/>
          <w:sz w:val="18"/>
          <w:szCs w:val="18"/>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26" w:name="page27"/>
    <w:bookmarkEnd w:id="2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 each case on or prior to the date on which all Loans are scheduled to be due and payable in full.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4, L.P.; Street Retail West 7, L.P., FR Pike 7 Limited Partnership, Federal Realty Partners L.P., and FR Leesburg Plaza, LP.</w:t>
      </w:r>
    </w:p>
    <w:p>
      <w:pPr>
        <w:spacing w:after="0" w:line="11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 or the timely payment of all Reimbursement Obligations.</w:t>
      </w:r>
    </w:p>
    <w:p>
      <w:pPr>
        <w:spacing w:after="0" w:line="139"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or other arrangement (other than Loan Documents),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10.1.(e)(i).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means any Subsidiary to which more than two percent of Adjusted Total Asset Value is attributable on an individual basis.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7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secured by a Mortgage of which the Borrower, a Guarantor or one of their respective Subsidiaries is the holder and retains the rights of collection of all payments thereunder.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80" w:right="239" w:bottom="1440" w:gutter="0" w:footer="0" w:header="0"/>
        </w:sectPr>
      </w:pPr>
    </w:p>
    <w:bookmarkStart w:id="27" w:name="page28"/>
    <w:bookmarkEnd w:id="27"/>
    <w:p>
      <w:pPr>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Multifamily Property</w:t>
      </w:r>
      <w:r>
        <w:rPr>
          <w:rFonts w:ascii="Arial" w:cs="Arial" w:eastAsia="Arial" w:hAnsi="Arial"/>
          <w:sz w:val="16"/>
          <w:szCs w:val="16"/>
          <w:color w:val="auto"/>
        </w:rPr>
        <w:t>” means a Property improved with, and from which at least 80% of the rental income is derived from, residential apartments.</w:t>
      </w:r>
    </w:p>
    <w:p>
      <w:pPr>
        <w:spacing w:after="0" w:line="194"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or “</w:t>
      </w:r>
      <w:r>
        <w:rPr>
          <w:rFonts w:ascii="Arial" w:cs="Arial" w:eastAsia="Arial" w:hAnsi="Arial"/>
          <w:sz w:val="16"/>
          <w:szCs w:val="16"/>
          <w:b w:val="1"/>
          <w:bCs w:val="1"/>
          <w:color w:val="auto"/>
        </w:rPr>
        <w:t>NOI</w:t>
      </w:r>
      <w:r>
        <w:rPr>
          <w:rFonts w:ascii="Arial" w:cs="Arial" w:eastAsia="Arial" w:hAnsi="Arial"/>
          <w:sz w:val="16"/>
          <w:szCs w:val="16"/>
          <w:color w:val="auto"/>
        </w:rPr>
        <w:t>”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113"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means with respect to any Equity Issuance by a Person, the aggregate amount of all cash and the Fair Market Value of all other property (other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0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Non-Controlled Property</w:t>
      </w:r>
      <w:r>
        <w:rPr>
          <w:rFonts w:ascii="Arial" w:cs="Arial" w:eastAsia="Arial" w:hAnsi="Arial"/>
          <w:sz w:val="18"/>
          <w:szCs w:val="18"/>
          <w:color w:val="auto"/>
        </w:rPr>
        <w:t>” means an Eligible Property owned in fee simple (or leased under a Ground Lease) by (a) an Unconsolidated Affiliate or (b) a Subsidiary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not a Wholly Owned Subsidiary but which Property does not otherwise qualify as a Controlled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 Revolving Note, a Bid Rate Note or a Swingline Note.</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in the form of Exhibit C to be delivered to the Agent pursuant to Section 2.1.(b) evidencing the Borrower’s request for a borrowing of Revolving Loans.</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in the form of Exhibit D to be delivered to the Agent pursuant to Section 2.9. evidencing the Borrower’s request for the Continuation of a LIBOR Loan.</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in the form of Exhibit E to be delivered to the Agent pursuant to Section 2.10. evidencing the Borrower’s request for the Conversion of a Loan from one Type to another Type.</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Swingline Borrowing</w:t>
      </w:r>
      <w:r>
        <w:rPr>
          <w:rFonts w:ascii="Arial" w:cs="Arial" w:eastAsia="Arial" w:hAnsi="Arial"/>
          <w:sz w:val="18"/>
          <w:szCs w:val="18"/>
          <w:color w:val="auto"/>
        </w:rPr>
        <w:t>” means a notice in the form of Exhibit F to be delivered to the Agent pursuant to Section 2.3. evidencing the Borrower’s request for a Swingline Loan.</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08" w:lineRule="exact"/>
        <w:rPr>
          <w:sz w:val="20"/>
          <w:szCs w:val="20"/>
          <w:color w:val="auto"/>
        </w:rPr>
      </w:pPr>
    </w:p>
    <w:p>
      <w:pPr>
        <w:ind w:right="36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Occupancy Rate</w:t>
      </w:r>
      <w:r>
        <w:rPr>
          <w:rFonts w:ascii="Arial" w:cs="Arial" w:eastAsia="Arial" w:hAnsi="Arial"/>
          <w:sz w:val="16"/>
          <w:szCs w:val="16"/>
          <w:color w:val="auto"/>
        </w:rPr>
        <w:t xml:space="preserve">” means, with respect to a Property at any time, the ratio, expressed as a percentage, of (a) the net rentable square footage of such Property for which the Borrower or a Subsidiary is collecting rent, or for which a lease has been signed but the term has not yet 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U.S. Department of the Treasury’s Office of Foreign Assets Control and any successor Governmental Authority.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w:t>
      </w:r>
    </w:p>
    <w:p>
      <w:pPr>
        <w:spacing w:after="0" w:line="1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60"/>
          </w:cols>
          <w:pgMar w:left="240" w:top="280" w:right="299" w:bottom="1440" w:gutter="0" w:footer="0" w:header="0"/>
        </w:sectPr>
      </w:pPr>
    </w:p>
    <w:bookmarkStart w:id="29" w:name="page30"/>
    <w:bookmarkEnd w:id="29"/>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12.5.(c).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6.1.(f); and (h) Liens securing Indebtedness permitted by Section 9.6.</w:t>
      </w:r>
    </w:p>
    <w:p>
      <w:pPr>
        <w:spacing w:after="0" w:line="11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unincorporated organization, or a government or any agency or political subdivision thereof.</w:t>
      </w:r>
    </w:p>
    <w:p>
      <w:pPr>
        <w:spacing w:after="0" w:line="120"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4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other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3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Interests 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103"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 Interests</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0"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means the rate of interest per annum announced publicly by the Lender then acting as the Agent as its prime rate from time to time. The Prime Rate is not necessarily the best or the lowest rate of interest offered by the Lender acting as the Agent or any other Lender.</w:t>
      </w:r>
    </w:p>
    <w:p>
      <w:pPr>
        <w:spacing w:after="0" w:line="7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office of the Agent located at One Wachovia Center, Charlotte, North Carolina, or such other office of the Agent as the Agent may designate from time to time.</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12.5.(f).</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Change</w:t>
      </w:r>
      <w:r>
        <w:rPr>
          <w:rFonts w:ascii="Arial" w:cs="Arial" w:eastAsia="Arial" w:hAnsi="Arial"/>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80"/>
          </w:cols>
          <w:pgMar w:left="240" w:top="274" w:right="279" w:bottom="1440" w:gutter="0" w:footer="0" w:header="0"/>
        </w:sectPr>
      </w:pPr>
    </w:p>
    <w:bookmarkStart w:id="31" w:name="page32"/>
    <w:bookmarkEnd w:id="31"/>
    <w:p>
      <w:pPr>
        <w:ind w:right="4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Reimbursement Obligation</w:t>
      </w:r>
      <w:r>
        <w:rPr>
          <w:rFonts w:ascii="Arial" w:cs="Arial" w:eastAsia="Arial" w:hAnsi="Arial"/>
          <w:sz w:val="18"/>
          <w:szCs w:val="18"/>
          <w:color w:val="auto"/>
        </w:rPr>
        <w:t>” means the absolute, unconditional and irrevocable obligation of the Borrower to reimburse the Agent for any drawing honored by the Agent under a Letter of Credit.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171" w:lineRule="exact"/>
        <w:rPr>
          <w:sz w:val="20"/>
          <w:szCs w:val="20"/>
          <w:color w:val="auto"/>
        </w:rPr>
      </w:pPr>
    </w:p>
    <w:p>
      <w:pPr>
        <w:ind w:right="160" w:firstLine="45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Requisite Lenders</w:t>
      </w:r>
      <w:r>
        <w:rPr>
          <w:rFonts w:ascii="Arial" w:cs="Arial" w:eastAsia="Arial" w:hAnsi="Arial"/>
          <w:sz w:val="15"/>
          <w:szCs w:val="15"/>
          <w:color w:val="auto"/>
        </w:rPr>
        <w:t>” means, as of any date, (a) Lenders having at least 66-2/3% of the aggregate amount of the Commitments or (b) if the Commitments have been terminated or reduced to zero, Lenders holding at least 66-2/3% of the principal amount of the aggregate outstanding Loans and Letter of Credit Liabilities. Commitments, Loans and Letter of Credit Liabilities held by Defaulting Lenders shall be disregarded when determining the Requisite Lenders. For purposes of this definition, a Lender (other than a Swingline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93"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operations officer, and in the case of the Borrower, the Vice President-Capital Markets &amp; Investor Relations or the Vice President-Chief Accounting Officer of the Borrower.</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10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(a) any Property identified as a “Retail Property” on Schedule 6.1.(x) and (b) any Property, a substantial use of which, is the retail sale of goods and services.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means a loan made by a Lender to the Borrower pursuant to Section 2.1.(a).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w:t>
      </w:r>
      <w:r>
        <w:rPr>
          <w:rFonts w:ascii="Arial" w:cs="Arial" w:eastAsia="Arial" w:hAnsi="Arial"/>
          <w:sz w:val="18"/>
          <w:szCs w:val="18"/>
          <w:color w:val="auto"/>
        </w:rPr>
        <w:t>” has the meaning given that term in Section 2.11.(a).</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Entity</w:t>
      </w:r>
      <w:r>
        <w:rPr>
          <w:rFonts w:ascii="Arial" w:cs="Arial" w:eastAsia="Arial" w:hAnsi="Arial"/>
          <w:sz w:val="18"/>
          <w:szCs w:val="18"/>
          <w:color w:val="auto"/>
        </w:rPr>
        <w:t>” means (a) an agency of the government of, (b) an organization directly or indirectly controlled by, or (c) a Person resident in, in each case, a country that is subject to a sanctions program identified on the list maintained by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OFAC and published from time to time, as such program may be applicable to such agency, organization or Person.</w:t>
      </w:r>
    </w:p>
    <w:p>
      <w:pPr>
        <w:spacing w:after="0" w:line="16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named on the list of Specially Designated Nationals or Blocked Persons maintained by the OFAC as published from time to time.</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xml:space="preserve">” means, with respect to any Person, (a) all Indebtedness of such Person that is secured in any manner by any Lien on any Property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pro rata share of the Secured Indebtedness of any of such Person’s Unconsolidated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 together with all rules and regulations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$10,000,000 of Total Asset Value is attributable on an individual basis.</w:t>
      </w:r>
    </w:p>
    <w:p>
      <w:pPr>
        <w:spacing w:after="0" w:line="194"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when used with respect to any Person, that (a) the fair value and the fair salable value of its assets (excluding any Indebtedness due from 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Non-Wholly Owned Subsidiaries</w:t>
      </w:r>
      <w:r>
        <w:rPr>
          <w:rFonts w:ascii="Arial" w:cs="Arial" w:eastAsia="Arial" w:hAnsi="Arial"/>
          <w:sz w:val="18"/>
          <w:szCs w:val="18"/>
          <w:color w:val="auto"/>
        </w:rPr>
        <w:t>” means Congressional Plaza Associates, LLC; FRIT Escondido Promenade, LLC; Street Retail West 4, L.P.; and Street Retail West 7, L.P.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completed Property that has achieved an Occupancy Rate of at least 85%.</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means the amount available to be drawn by a beneficiary under a Letter of Credit from time to time, as such amount may be increased or reduced from time to time in accordance with the terms of such Letter of Credit.</w:t>
      </w:r>
    </w:p>
    <w:p>
      <w:pPr>
        <w:spacing w:after="0" w:line="12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for any Person, any corporation, partnership or other entity of which at least a majority of the Equity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80" w:right="259" w:bottom="1440" w:gutter="0" w:footer="0" w:header="0"/>
        </w:sectPr>
      </w:pPr>
    </w:p>
    <w:bookmarkStart w:id="33" w:name="page34"/>
    <w:bookmarkEnd w:id="33"/>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Person or one or more Subsidiaries of such Person or by such Person and one or more Subsidiaries of such Person, and shall include all Persons the accounts of which are consolidated with those of such Person pursuant to GAAP.</w:t>
      </w:r>
    </w:p>
    <w:p>
      <w:pPr>
        <w:spacing w:after="0" w:line="126"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means the Swingline Lender’s obligation to make Swingline Loans pursuant to Section 2.3. in an amount up to, but not exceeding, $25,000,000, as such amount may be reduced from time to time in accordance with the terms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means Wachovia Bank, National Association, together with its respective successors and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w:t>
      </w:r>
      <w:r>
        <w:rPr>
          <w:rFonts w:ascii="Arial" w:cs="Arial" w:eastAsia="Arial" w:hAnsi="Arial"/>
          <w:sz w:val="18"/>
          <w:szCs w:val="18"/>
          <w:color w:val="auto"/>
        </w:rPr>
        <w:t>” means a loan made by the Swingline Lender to the Borrower pursuant to Section 2.3.(a).</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Note</w:t>
      </w:r>
      <w:r>
        <w:rPr>
          <w:rFonts w:ascii="Arial" w:cs="Arial" w:eastAsia="Arial" w:hAnsi="Arial"/>
          <w:sz w:val="18"/>
          <w:szCs w:val="18"/>
          <w:color w:val="auto"/>
        </w:rPr>
        <w:t>” means the promissory note of the Borrower payable to the order of the Swingline Lender in a principal amount equal to the amount of the Swingline Commitment as originally in effect and otherwise duly completed, substantially in the form of Exhibit G.</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means, as of a given date, the stockholders’ equity of the Borrower and Subsidiaries determined on a consolidated basis plus</w:t>
      </w:r>
    </w:p>
    <w:p>
      <w:pPr>
        <w:spacing w:after="0" w:line="44" w:lineRule="exact"/>
        <w:rPr>
          <w:sz w:val="20"/>
          <w:szCs w:val="20"/>
          <w:color w:val="auto"/>
        </w:rPr>
      </w:pPr>
    </w:p>
    <w:p>
      <w:pPr>
        <w:ind w:right="80" w:firstLine="8"/>
        <w:spacing w:after="0" w:line="254"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that term in Section 3.12.(a).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July 27, 2010, or such later date to which the Termination Date may be extended pursuant to Section 2.13.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Titled Agents</w:t>
      </w:r>
      <w:r>
        <w:rPr>
          <w:rFonts w:ascii="Arial" w:cs="Arial" w:eastAsia="Arial" w:hAnsi="Arial"/>
          <w:sz w:val="15"/>
          <w:szCs w:val="15"/>
          <w:color w:val="auto"/>
        </w:rPr>
        <w:t>” means each of the Arranger, the Syndication Agent, and each Documentation Agent and their respective successors and permitted assigns.</w:t>
      </w:r>
    </w:p>
    <w:p>
      <w:pPr>
        <w:spacing w:after="0" w:line="206" w:lineRule="exact"/>
        <w:rPr>
          <w:sz w:val="20"/>
          <w:szCs w:val="20"/>
          <w:color w:val="auto"/>
        </w:rPr>
      </w:pPr>
    </w:p>
    <w:p>
      <w:pPr>
        <w:ind w:right="22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Asset Value</w:t>
      </w:r>
      <w:r>
        <w:rPr>
          <w:rFonts w:ascii="Arial" w:cs="Arial" w:eastAsia="Arial" w:hAnsi="Arial"/>
          <w:sz w:val="15"/>
          <w:szCs w:val="15"/>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w:t>
      </w:r>
    </w:p>
    <w:p>
      <w:pPr>
        <w:ind w:right="120" w:firstLine="8"/>
        <w:spacing w:after="0" w:line="281" w:lineRule="auto"/>
        <w:tabs>
          <w:tab w:leader="none" w:pos="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EBITDA attributable to such Property for the fiscal quarter most recently ended (adjusted for acquisitions and dispositions) times (ii) 4, divided by (iii) the Capitalization Rate, plus (c) the GAAP book value of Properties acquired during the most recent quarter, plus (d) Construction-in-Process until the earlier of the</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year anniversary date of project completion or (ii) the second quarter after the project achieves an Occupancy Rate of</w:t>
      </w:r>
    </w:p>
    <w:p>
      <w:pPr>
        <w:spacing w:after="0" w:line="15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24 –</w:t>
      </w:r>
    </w:p>
    <w:p>
      <w:pPr>
        <w:sectPr>
          <w:pgSz w:w="11900" w:h="16838" w:orient="portrait"/>
          <w:cols w:equalWidth="0" w:num="1">
            <w:col w:w="11380"/>
          </w:cols>
          <w:pgMar w:left="240" w:top="280" w:right="279" w:bottom="1440" w:gutter="0" w:footer="0" w:header="0"/>
        </w:sectPr>
      </w:pPr>
    </w:p>
    <w:bookmarkStart w:id="34" w:name="page35"/>
    <w:bookmarkEnd w:id="3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85%, plus (e)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all Indebtedness of the Borrower and its Subsidiaries determined on a consolidated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Revolving Loan, refers to whether such Loan is a LIBOR Loan or Base Rate Loan.</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Adjusted NOI</w:t>
      </w:r>
      <w:r>
        <w:rPr>
          <w:rFonts w:ascii="Arial" w:cs="Arial" w:eastAsia="Arial" w:hAnsi="Arial"/>
          <w:sz w:val="16"/>
          <w:szCs w:val="16"/>
          <w:color w:val="auto"/>
        </w:rPr>
        <w:t>” means, for any period, NOI from (a) Wholly Owned Properties; (b) Controlled Properties; and (c) Non-Controlled Properties, all of which have been owned for the entire period and as adjusted for any non-recurring items during the reporting period. For purposes of this definition, to the extent the NOI attributable to Non-Controlled Properties would exceed 10% of the Unencumbered Adjusted NOI, such excess shall be excluded.</w:t>
      </w:r>
    </w:p>
    <w:p>
      <w:pPr>
        <w:spacing w:after="0" w:line="9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means (a) the Unencumbered Adjusted NOI for the fiscal quarter most recently ending times 4 divided by the 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until the earlier of (i) the one year anniversary date of project completion or (ii) the second quarter after the project achieves an Occupancy Rate of 85%. For purposes of this definition, to the extent the Unencumbered Asset Value attributable to Development Properties would exceed 10% of the Unencumbered Asset Value, such excess shall be excluded.</w:t>
      </w:r>
    </w:p>
    <w:p>
      <w:pPr>
        <w:spacing w:after="0" w:line="11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Unfunded Liabilities</w:t>
      </w:r>
      <w:r>
        <w:rPr>
          <w:rFonts w:ascii="Arial" w:cs="Arial" w:eastAsia="Arial" w:hAnsi="Arial"/>
          <w:sz w:val="18"/>
          <w:szCs w:val="18"/>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only to the extent that such excess represents a potential liability of a member of the ERISA Group to the PBGC or any other Person under Title IV of ERISA.</w:t>
      </w:r>
    </w:p>
    <w:p>
      <w:pPr>
        <w:spacing w:after="0" w:line="188"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consists of land on which no development (other than paving or other improvements that are not material and are temporary in nature) has occurred and for which no development is planned in the 12 months following any date of determination.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Indebtedness which is not Secured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Unstabilized Property</w:t>
      </w:r>
      <w:r>
        <w:rPr>
          <w:rFonts w:ascii="Arial" w:cs="Arial" w:eastAsia="Arial" w:hAnsi="Arial"/>
          <w:sz w:val="16"/>
          <w:szCs w:val="16"/>
          <w:color w:val="auto"/>
        </w:rPr>
        <w:t>” means a Property (a) the improvements on which were completed within twelve months prior to any date of determination;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 which has not achieved an Occupancy Rate of 85%.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Wachovia</w:t>
      </w:r>
      <w:r>
        <w:rPr>
          <w:rFonts w:ascii="Arial" w:cs="Arial" w:eastAsia="Arial" w:hAnsi="Arial"/>
          <w:sz w:val="18"/>
          <w:szCs w:val="18"/>
          <w:color w:val="auto"/>
        </w:rPr>
        <w:t>” means Wachovia Bank, National Association, together with its successors and permitted assigns.</w:t>
      </w:r>
    </w:p>
    <w:p>
      <w:pPr>
        <w:spacing w:after="0" w:line="171" w:lineRule="exact"/>
        <w:rPr>
          <w:sz w:val="20"/>
          <w:szCs w:val="20"/>
          <w:color w:val="auto"/>
        </w:rPr>
      </w:pPr>
    </w:p>
    <w:p>
      <w:pPr>
        <w:jc w:val="both"/>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Guarantor that is a Wholly Owned Subsidiary.</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securities or other ownership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Times.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80" w:right="239" w:bottom="1440" w:gutter="0" w:footer="0" w:header="0"/>
        </w:sectPr>
      </w:pPr>
    </w:p>
    <w:bookmarkStart w:id="36" w:name="page37"/>
    <w:bookmarkEnd w:id="36"/>
    <w:p>
      <w:pPr>
        <w:ind w:firstLine="8"/>
        <w:spacing w:after="0" w:line="290"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Revolving Loans.</w:t>
      </w:r>
    </w:p>
    <w:p>
      <w:pPr>
        <w:spacing w:after="0" w:line="96" w:lineRule="exact"/>
        <w:rPr>
          <w:sz w:val="20"/>
          <w:szCs w:val="20"/>
          <w:color w:val="auto"/>
        </w:rPr>
      </w:pPr>
    </w:p>
    <w:p>
      <w:pPr>
        <w:ind w:right="80" w:firstLine="464"/>
        <w:spacing w:after="0" w:line="298"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Subject to the terms and conditions hereof, during the period from the Effective Date to but excluding the Termination Date, each Lender severally and not jointly agrees to make Revolving Loans to the Borrower in an aggregate principal amount at any one time outstanding up to, but not exceeding, the amount of such Lender’s Commitment. Subject to the terms and conditions of this Agreement, during the period from the Effective Date to but excluding the Termination Date, the Borrower may borrow, repay and reborrow Revolving Loans hereunder.</w:t>
      </w:r>
    </w:p>
    <w:p>
      <w:pPr>
        <w:spacing w:after="0" w:line="112"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Requesting Revolving Loans</w:t>
      </w:r>
      <w:r>
        <w:rPr>
          <w:rFonts w:ascii="Arial" w:cs="Arial" w:eastAsia="Arial" w:hAnsi="Arial"/>
          <w:sz w:val="16"/>
          <w:szCs w:val="16"/>
          <w:color w:val="auto"/>
        </w:rPr>
        <w:t>. The Borrower shall give the Agent notice pursuant to a Notice of Borrowing or telephonic notice of each borrowing of Revolving Loans. Each Notice of Borrowing shall be delivered to the Agent before 11:00 a.m. (i) in the case of LIBOR Loans, on the date three Business Days prior to the proposed date of such borrowing and (ii) in the case of Base Rate Loans, on the proposed date of such borrowing. Any such telephonic notice shall include all information to be specified in a written Notice of Borrowing and shall be promptly confirmed in writing by the Borrower pursuant to a Notice of Borrowing sent to the Agent by telecopy on the same day of the giving of such telephonic notice. The Agent will transmit by telecopy the Notice of Borrowing (or the information contained in such Notice of Borrowing) to each Lender promptly upon receipt by the Agent. Each Notice of Borrowing or telephonic notice of each borrowing shall be irrevocable once given and binding on the Borrower.</w:t>
      </w:r>
    </w:p>
    <w:p>
      <w:pPr>
        <w:spacing w:after="0" w:line="118" w:lineRule="exact"/>
        <w:rPr>
          <w:rFonts w:ascii="Arial" w:cs="Arial" w:eastAsia="Arial" w:hAnsi="Arial"/>
          <w:sz w:val="16"/>
          <w:szCs w:val="16"/>
          <w:color w:val="auto"/>
        </w:rPr>
      </w:pPr>
    </w:p>
    <w:p>
      <w:pPr>
        <w:ind w:left="700" w:hanging="23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Disbursements of Revolving Loan Proceeds</w:t>
      </w:r>
      <w:r>
        <w:rPr>
          <w:rFonts w:ascii="Arial" w:cs="Arial" w:eastAsia="Arial" w:hAnsi="Arial"/>
          <w:sz w:val="16"/>
          <w:szCs w:val="16"/>
          <w:color w:val="auto"/>
        </w:rPr>
        <w:t>. No later than 1:00 p.m. in the case of LIBOR Loans or 2:00 p.m. in the case of Base Rate Loans on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51"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27 –</w:t>
      </w:r>
    </w:p>
    <w:p>
      <w:pPr>
        <w:sectPr>
          <w:pgSz w:w="11900" w:h="16838" w:orient="portrait"/>
          <w:cols w:equalWidth="0" w:num="1">
            <w:col w:w="11420"/>
          </w:cols>
          <w:pgMar w:left="240" w:top="280" w:right="239" w:bottom="1440" w:gutter="0" w:footer="0" w:header="0"/>
        </w:sectPr>
      </w:pPr>
    </w:p>
    <w:bookmarkStart w:id="37" w:name="page38"/>
    <w:bookmarkEnd w:id="3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in the Notice of Borrowing, each Lender will make available for the account of its applicable Lending Office to the Agent at the Principal Office, in immediately available funds, the proceeds of the Revolving Loan to be made by such Lender. With respect to Revolving Loans to be made after the Effective Date, unless the Agent shall have been notified by any Lender prior to the specified date of borrowing that such Lender does not intend to make available to the Agent the Revolving Loan to be made by such Lender on such date, the Agent may assume that such Lender will make the proceeds of such Revolving Loan available to the Agent on the date of the requested borrowing as set forth in the Notice of Borrowing and the Agent may (but shall not be obligated to), in reliance upon such assumption, make available to the Borrower the amount of such Revolving Loan to be provided by such Lender. Subject to satisfaction of the applicable conditions set forth in Article V. for such borrowing, the Agent will make the proceeds of such borrowing available to the Borrower no later than 2:00 p.m. in the case of LIBOR Loans or 3:00 p.m. in the case of Base Rate Loans on the date and at the account specified by the Borrower in such Notice of Borrowing.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Bid Rate Loans.</w:t>
      </w:r>
    </w:p>
    <w:p>
      <w:pPr>
        <w:spacing w:after="0" w:line="96" w:lineRule="exact"/>
        <w:rPr>
          <w:sz w:val="20"/>
          <w:szCs w:val="20"/>
          <w:color w:val="auto"/>
        </w:rPr>
      </w:pPr>
    </w:p>
    <w:p>
      <w:pPr>
        <w:ind w:firstLine="464"/>
        <w:spacing w:after="0" w:line="298"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Bid Rate Loans</w:t>
      </w:r>
      <w:r>
        <w:rPr>
          <w:rFonts w:ascii="Arial" w:cs="Arial" w:eastAsia="Arial" w:hAnsi="Arial"/>
          <w:sz w:val="16"/>
          <w:szCs w:val="16"/>
          <w:color w:val="auto"/>
        </w:rPr>
        <w:t>. So long as the Borrower maintains an Investment Grade Rating, in addition to borrowings of Revolving Loans, at any time and from time to time during the period from the Effective Date to but excluding the Termination Date, the Borrower may, as set 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Requests for Bid Rate Loans</w:t>
      </w:r>
      <w:r>
        <w:rPr>
          <w:rFonts w:ascii="Arial" w:cs="Arial" w:eastAsia="Arial" w:hAnsi="Arial"/>
          <w:sz w:val="16"/>
          <w:szCs w:val="16"/>
          <w:color w:val="auto"/>
        </w:rPr>
        <w:t>. When the Borrower wishes to request from the Lenders offers to make Bid Rate Loans, it shall give the Agent notice (a</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Bid Rate Quote Request</w:t>
      </w:r>
      <w:r>
        <w:rPr>
          <w:rFonts w:ascii="Arial" w:cs="Arial" w:eastAsia="Arial" w:hAnsi="Arial"/>
          <w:sz w:val="16"/>
          <w:szCs w:val="16"/>
          <w:color w:val="auto"/>
        </w:rPr>
        <w:t>”) so as to be received no later than 10:00 a.m. on (x) the Business Day immediately preceding the date of borrowing proposed therein, in the case of an Absolute Rate Auction and (y) the date four Business Days prior to the proposed date of borrowing, in the case of a LIBOR Auction. The Agent shall deliver to each Lender a copy of each Bid Rate Quote Request promptly upon receipt thereof by the Agent. The Borrower may request offers to make Bid Rate Loans for up to 4 different Interest Periods in each Bid Rate Quote Request; provided that the request for each separate Interest Period shall be deemed to be a separate Bid Rate Quote Request for a separate borrowing (a “</w:t>
      </w:r>
      <w:r>
        <w:rPr>
          <w:rFonts w:ascii="Arial" w:cs="Arial" w:eastAsia="Arial" w:hAnsi="Arial"/>
          <w:sz w:val="16"/>
          <w:szCs w:val="16"/>
          <w:b w:val="1"/>
          <w:bCs w:val="1"/>
          <w:color w:val="auto"/>
        </w:rPr>
        <w:t>Bid Rate Borrowing</w:t>
      </w:r>
      <w:r>
        <w:rPr>
          <w:rFonts w:ascii="Arial" w:cs="Arial" w:eastAsia="Arial" w:hAnsi="Arial"/>
          <w:sz w:val="16"/>
          <w:szCs w:val="16"/>
          <w:color w:val="auto"/>
        </w:rPr>
        <w:t>”). Each Bid Rate Quote Request shall be substantially in the form of Exhibit H and shall specify as to each Bid Rate Borrowing:</w:t>
      </w:r>
    </w:p>
    <w:p>
      <w:pPr>
        <w:spacing w:after="0" w:line="37" w:lineRule="exact"/>
        <w:rPr>
          <w:sz w:val="20"/>
          <w:szCs w:val="20"/>
          <w:color w:val="auto"/>
        </w:rPr>
      </w:pPr>
    </w:p>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proposed date of such Bid Rate Borrowing, which shall be a Business Day;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amount of such Bid Rate Borrowing requested, which (x) shall be in the minimum amount of $5,000,000 and integral multiples of $1,000,000 and (y) shall not itself cause any of the limits specified in Section 2.15. to be violated if it were accepted;</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28 –</w:t>
      </w:r>
    </w:p>
    <w:p>
      <w:pPr>
        <w:sectPr>
          <w:pgSz w:w="11900" w:h="16838" w:orient="portrait"/>
          <w:cols w:equalWidth="0" w:num="1">
            <w:col w:w="11380"/>
          </w:cols>
          <w:pgMar w:left="240" w:top="280" w:right="279" w:bottom="1440" w:gutter="0" w:footer="0" w:header="0"/>
        </w:sectPr>
      </w:pPr>
    </w:p>
    <w:bookmarkStart w:id="38" w:name="page39"/>
    <w:bookmarkEnd w:id="38"/>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the Bid Rate Quote Request is for LIBOR Margin Loans or Absolute Rate Loans;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the Interest Period applicable thereto, which shall not extend beyond the Termination Date.</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Except as otherwise provided in this subsection (b), no Bid Rate Quote Request shall be given within five Business Days (or such other number of days as the Borrower and the Agent, with the consent of the Requisite Lenders, may agree) of the giving of any other Bid Rate Quote Request.</w:t>
      </w:r>
    </w:p>
    <w:p>
      <w:pPr>
        <w:spacing w:after="0" w:line="85"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Bid Rate Quotes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7" w:lineRule="auto"/>
        <w:tabs>
          <w:tab w:leader="none" w:pos="11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Lender may submit one or more Bid Rate Quotes, each containing an offer to make a Bid Rate Loan in response to any Bid Rate Quote Request; provided that, if the Borrower’s request under Section 2.2.(b) specified more than one Interest Period, such Lender may make a single submission containing one or more Bid Rate Quotes for each such Interest Period. Each Bid Rate Quote must be submitted to the Agent not later than 10:00 a.m. (x) on the proposed date of borrowing, in the case of an Absolute Rate Auction and (y) on the date three Business Days prior to the proposed date of borrowing, in the case of a LIBOR Auction; provided that the Lender then acting as Agent may submit a Bid Rate Quote only if it notifies the Borrower of the terms of the offer contained therein not later than 9:00 a.m. (x) on the proposed date of such borrowing, in the case of an Absolute Rate Auction and (y) on the date three Business Days prior to the proposed date of borrowing, in the case of a LIBOR Auction. Subject to Articles V. and X., any Bid Rate Quote so made shall be irrevocable except with the consent of the Agent given at the request of the Borrower. Any Bid Rate Loan may be funded by a Lender’s Designated Lender (if any) as provided in Section 12.5.(e); however, such Lender shall not be required to specify in its Bid Rate Quote whether such Bid Rate Loan will be funded by such Designated Lender.</w:t>
      </w:r>
    </w:p>
    <w:p>
      <w:pPr>
        <w:spacing w:after="0" w:line="41" w:lineRule="exact"/>
        <w:rPr>
          <w:rFonts w:ascii="Arial" w:cs="Arial" w:eastAsia="Arial" w:hAnsi="Arial"/>
          <w:sz w:val="16"/>
          <w:szCs w:val="16"/>
          <w:color w:val="auto"/>
        </w:rPr>
      </w:pPr>
    </w:p>
    <w:p>
      <w:pPr>
        <w:ind w:left="1160" w:hanging="257"/>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Bid Rate Quote shall be substantially in the form of Exhibit I and shall specify:</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proposed date of borrowing and the Interest Period therefor;</w:t>
      </w:r>
    </w:p>
    <w:p>
      <w:pPr>
        <w:spacing w:after="0" w:line="90" w:lineRule="exact"/>
        <w:rPr>
          <w:rFonts w:ascii="Arial" w:cs="Arial" w:eastAsia="Arial" w:hAnsi="Arial"/>
          <w:sz w:val="18"/>
          <w:szCs w:val="18"/>
          <w:color w:val="auto"/>
        </w:rPr>
      </w:pPr>
    </w:p>
    <w:p>
      <w:pPr>
        <w:jc w:val="both"/>
        <w:ind w:left="920" w:right="20" w:firstLine="421"/>
        <w:spacing w:after="0" w:line="306" w:lineRule="auto"/>
        <w:tabs>
          <w:tab w:leader="none" w:pos="1618"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principal amount of the Bid Rate Loan for which each such offer is being made; provided that the aggregate principal amount of all Bid Rate Loans for which a Lender submits Bid Rate Quotes (x) may be greater or less than the Commitment of such Lender but (y) shall not exceed the principal amount of the Bid Rate Borrowing for a particular Interest Period for which offers were requested;</w:t>
      </w:r>
    </w:p>
    <w:p>
      <w:pPr>
        <w:spacing w:after="0" w:line="93"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29 –</w:t>
      </w:r>
    </w:p>
    <w:p>
      <w:pPr>
        <w:sectPr>
          <w:pgSz w:w="11900" w:h="16838" w:orient="portrait"/>
          <w:cols w:equalWidth="0" w:num="1">
            <w:col w:w="11420"/>
          </w:cols>
          <w:pgMar w:left="240" w:top="280" w:right="239" w:bottom="1440" w:gutter="0" w:footer="0" w:header="0"/>
        </w:sectPr>
      </w:pPr>
    </w:p>
    <w:bookmarkStart w:id="39" w:name="page40"/>
    <w:bookmarkEnd w:id="39"/>
    <w:p>
      <w:pPr>
        <w:ind w:left="912" w:right="500" w:firstLine="421"/>
        <w:spacing w:after="0" w:line="268" w:lineRule="auto"/>
        <w:tabs>
          <w:tab w:leader="none" w:pos="161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 Absolute Rate Auction, the rate of interest per annum (rounded upwards, if necessary, to the nearest 1/100th of 1%) offered for each such Bid Rate Loan (the “</w:t>
      </w:r>
      <w:r>
        <w:rPr>
          <w:rFonts w:ascii="Arial" w:cs="Arial" w:eastAsia="Arial" w:hAnsi="Arial"/>
          <w:sz w:val="18"/>
          <w:szCs w:val="18"/>
          <w:b w:val="1"/>
          <w:bCs w:val="1"/>
          <w:color w:val="auto"/>
        </w:rPr>
        <w:t>Absolute Rate</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912" w:right="400" w:firstLine="421"/>
        <w:spacing w:after="0" w:line="262" w:lineRule="auto"/>
        <w:tabs>
          <w:tab w:leader="none" w:pos="16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LIBOR Auction, the margin above or below applicable LIBOR (the “</w:t>
      </w:r>
      <w:r>
        <w:rPr>
          <w:rFonts w:ascii="Arial" w:cs="Arial" w:eastAsia="Arial" w:hAnsi="Arial"/>
          <w:sz w:val="18"/>
          <w:szCs w:val="18"/>
          <w:b w:val="1"/>
          <w:bCs w:val="1"/>
          <w:color w:val="auto"/>
        </w:rPr>
        <w:t>LIBOR Margin</w:t>
      </w:r>
      <w:r>
        <w:rPr>
          <w:rFonts w:ascii="Arial" w:cs="Arial" w:eastAsia="Arial" w:hAnsi="Arial"/>
          <w:sz w:val="18"/>
          <w:szCs w:val="18"/>
          <w:color w:val="auto"/>
        </w:rPr>
        <w:t>”) offered for each such LIBOR Margin Loan, expressed as a percentage (rounded upwards, if necessary, to the nearest 1/100th of 1%) to be added to (or subtracted from) the applicable LIBOR; and</w:t>
      </w:r>
    </w:p>
    <w:p>
      <w:pPr>
        <w:spacing w:after="0" w:line="57" w:lineRule="exact"/>
        <w:rPr>
          <w:rFonts w:ascii="Arial" w:cs="Arial" w:eastAsia="Arial" w:hAnsi="Arial"/>
          <w:sz w:val="18"/>
          <w:szCs w:val="18"/>
          <w:color w:val="auto"/>
        </w:rPr>
      </w:pPr>
    </w:p>
    <w:p>
      <w:pPr>
        <w:ind w:left="1592" w:hanging="259"/>
        <w:spacing w:after="0"/>
        <w:tabs>
          <w:tab w:leader="none" w:pos="15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identity of the quoting Lender.</w:t>
      </w:r>
    </w:p>
    <w:p>
      <w:pPr>
        <w:spacing w:after="0" w:line="90" w:lineRule="exact"/>
        <w:rPr>
          <w:sz w:val="20"/>
          <w:szCs w:val="20"/>
          <w:color w:val="auto"/>
        </w:rPr>
      </w:pPr>
    </w:p>
    <w:p>
      <w:pPr>
        <w:jc w:val="both"/>
        <w:ind w:left="452"/>
        <w:spacing w:after="0" w:line="306" w:lineRule="auto"/>
        <w:rPr>
          <w:sz w:val="20"/>
          <w:szCs w:val="20"/>
          <w:color w:val="auto"/>
        </w:rPr>
      </w:pPr>
      <w:r>
        <w:rPr>
          <w:rFonts w:ascii="Arial" w:cs="Arial" w:eastAsia="Arial" w:hAnsi="Arial"/>
          <w:sz w:val="16"/>
          <w:szCs w:val="16"/>
          <w:color w:val="auto"/>
        </w:rPr>
        <w:t>Unless otherwise agreed by the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107" w:lineRule="exact"/>
        <w:rPr>
          <w:sz w:val="20"/>
          <w:szCs w:val="20"/>
          <w:color w:val="auto"/>
        </w:rPr>
      </w:pPr>
    </w:p>
    <w:p>
      <w:pPr>
        <w:ind w:left="712" w:hanging="256"/>
        <w:spacing w:after="0"/>
        <w:tabs>
          <w:tab w:leader="none" w:pos="71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Notification by Agent</w:t>
      </w:r>
      <w:r>
        <w:rPr>
          <w:rFonts w:ascii="Arial" w:cs="Arial" w:eastAsia="Arial" w:hAnsi="Arial"/>
          <w:sz w:val="16"/>
          <w:szCs w:val="16"/>
          <w:color w:val="auto"/>
        </w:rPr>
        <w:t>. The Agent shall, as promptly as practicable after the Bid Rate Quotes are submitted (but in any event not later than 10:30 a.m.</w:t>
      </w:r>
    </w:p>
    <w:p>
      <w:pPr>
        <w:spacing w:after="0" w:line="38" w:lineRule="exact"/>
        <w:rPr>
          <w:rFonts w:ascii="Arial" w:cs="Arial" w:eastAsia="Arial" w:hAnsi="Arial"/>
          <w:sz w:val="16"/>
          <w:szCs w:val="16"/>
          <w:color w:val="auto"/>
        </w:rPr>
      </w:pPr>
    </w:p>
    <w:p>
      <w:pPr>
        <w:ind w:left="-8" w:right="100" w:firstLine="8"/>
        <w:spacing w:after="0" w:line="281" w:lineRule="auto"/>
        <w:tabs>
          <w:tab w:leader="none" w:pos="2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the proposed date of borrowing, in the case of an Absolute Rate Auction or (y) on the date three Business Days prior to the proposed date of borrowing, in the case of a LIBOR Auction), notify the Borrower of the terms (i) of any Bid Rate Quote submitted by a Lender that is in accordance with Section 2.2.(c) and</w:t>
      </w:r>
    </w:p>
    <w:p>
      <w:pPr>
        <w:spacing w:after="0" w:line="1" w:lineRule="exact"/>
        <w:rPr>
          <w:rFonts w:ascii="Arial" w:cs="Arial" w:eastAsia="Arial" w:hAnsi="Arial"/>
          <w:sz w:val="16"/>
          <w:szCs w:val="16"/>
          <w:color w:val="auto"/>
        </w:rPr>
      </w:pPr>
    </w:p>
    <w:p>
      <w:pPr>
        <w:ind w:left="-8" w:right="160" w:firstLine="8"/>
        <w:spacing w:after="0" w:line="253" w:lineRule="auto"/>
        <w:tabs>
          <w:tab w:leader="none" w:pos="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any Bid Rate Quote that amends, modifies or is otherwise inconsistent with a previous Bid Rate Quote submitted by such Lender with respect to the same Bid Rate Quote Request. Any such subsequent Bid Rate Quote shall be disregarded by the Agent unless such subsequent Bid Rate Quote is submitted solely to correct a manifest error in such former Bid Rate Quote. The Agent’s notice to the Borrower shall specify (A) the aggregate principal amount of the Bid Rate Borrowing for which offers have been received and (B) the principal amounts and Absolute Rates or LIBOR Margins, as applicable, so offered by each Lender (identifying the Lender that made each Bid Rate Quote).</w:t>
      </w:r>
    </w:p>
    <w:p>
      <w:pPr>
        <w:spacing w:after="0" w:line="145" w:lineRule="exact"/>
        <w:rPr>
          <w:rFonts w:ascii="Arial" w:cs="Arial" w:eastAsia="Arial" w:hAnsi="Arial"/>
          <w:sz w:val="18"/>
          <w:szCs w:val="18"/>
          <w:color w:val="auto"/>
        </w:rPr>
      </w:pPr>
    </w:p>
    <w:p>
      <w:pPr>
        <w:ind w:left="692" w:hanging="236"/>
        <w:spacing w:after="0"/>
        <w:tabs>
          <w:tab w:leader="none" w:pos="6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Acceptance by Borrower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40" w:firstLine="443"/>
        <w:spacing w:after="0" w:line="255" w:lineRule="auto"/>
        <w:tabs>
          <w:tab w:leader="none" w:pos="11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Not later than 11:00 a.m. (x) on the proposed date of borrowing, in the case of an Absolute Rate Auction and (y) on the date three Business Days prior to the proposed date of borrowing, in the case of a LIBOR Auction, the Borrower shall notify the Agent of its acceptance or nonacceptance of the offers so notified to it pursuant to Section 2.2.(d) which notice shall be in the form of Exhibit J. In the case of acceptance, such notice shall specify the aggregate principal amount of offers for each Interest Period that are accepted. The failure of the Borrower to give such notice by such time shall constitute nonacceptance.</w:t>
      </w:r>
    </w:p>
    <w:p>
      <w:pPr>
        <w:spacing w:after="0" w:line="129" w:lineRule="exact"/>
        <w:rPr>
          <w:rFonts w:ascii="Arial" w:cs="Arial" w:eastAsia="Arial" w:hAnsi="Arial"/>
          <w:sz w:val="18"/>
          <w:szCs w:val="18"/>
          <w:color w:val="auto"/>
        </w:rPr>
      </w:pPr>
    </w:p>
    <w:p>
      <w:pPr>
        <w:ind w:left="5492"/>
        <w:spacing w:after="0"/>
        <w:rPr>
          <w:rFonts w:ascii="Arial" w:cs="Arial" w:eastAsia="Arial" w:hAnsi="Arial"/>
          <w:sz w:val="18"/>
          <w:szCs w:val="18"/>
          <w:color w:val="auto"/>
        </w:rPr>
      </w:pPr>
      <w:r>
        <w:rPr>
          <w:rFonts w:ascii="Arial" w:cs="Arial" w:eastAsia="Arial" w:hAnsi="Arial"/>
          <w:sz w:val="18"/>
          <w:szCs w:val="18"/>
          <w:color w:val="auto"/>
        </w:rPr>
        <w:t>– 30 –</w:t>
      </w:r>
    </w:p>
    <w:p>
      <w:pPr>
        <w:sectPr>
          <w:pgSz w:w="11900" w:h="16838" w:orient="portrait"/>
          <w:cols w:equalWidth="0" w:num="1">
            <w:col w:w="11412"/>
          </w:cols>
          <w:pgMar w:left="248"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Agent shall promptly notify each affected Lender. The Borrower may accept any Bid Rate Quote in whole or in part; provided that:</w:t>
      </w:r>
    </w:p>
    <w:p>
      <w:pPr>
        <w:spacing w:after="0" w:line="90" w:lineRule="exact"/>
        <w:rPr>
          <w:sz w:val="20"/>
          <w:szCs w:val="20"/>
          <w:color w:val="auto"/>
        </w:rPr>
      </w:pPr>
    </w:p>
    <w:p>
      <w:pPr>
        <w:ind w:left="1160" w:hanging="279"/>
        <w:spacing w:after="0"/>
        <w:tabs>
          <w:tab w:leader="none" w:pos="1160" w:val="left"/>
        </w:tabs>
        <w:numPr>
          <w:ilvl w:val="2"/>
          <w:numId w:val="21"/>
        </w:numPr>
        <w:rPr>
          <w:rFonts w:ascii="Arial" w:cs="Arial" w:eastAsia="Arial" w:hAnsi="Arial"/>
          <w:sz w:val="15"/>
          <w:szCs w:val="15"/>
          <w:color w:val="auto"/>
        </w:rPr>
      </w:pPr>
      <w:r>
        <w:rPr>
          <w:rFonts w:ascii="Arial" w:cs="Arial" w:eastAsia="Arial" w:hAnsi="Arial"/>
          <w:sz w:val="15"/>
          <w:szCs w:val="15"/>
          <w:color w:val="auto"/>
        </w:rPr>
        <w:t>the aggregate principal amount of each Bid Rate Borrowing may not exceed the applicable amount set forth in the related Bid Rate Quote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Request;</w:t>
      </w:r>
    </w:p>
    <w:p>
      <w:pPr>
        <w:spacing w:after="0" w:line="83" w:lineRule="exact"/>
        <w:rPr>
          <w:rFonts w:ascii="Arial" w:cs="Arial" w:eastAsia="Arial" w:hAnsi="Arial"/>
          <w:sz w:val="15"/>
          <w:szCs w:val="15"/>
          <w:color w:val="auto"/>
        </w:rPr>
      </w:pPr>
    </w:p>
    <w:p>
      <w:pPr>
        <w:ind w:left="460" w:firstLine="421"/>
        <w:spacing w:after="0" w:line="268" w:lineRule="auto"/>
        <w:tabs>
          <w:tab w:leader="none" w:pos="1158"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aggregate principal amount of each Bid Rate Borrowing shall comply with the provisions of Section 3.5., and with all other Bid Loans accepted in such auction, shall not cause the limits specified in Section 2.15. to be violated;</w:t>
      </w:r>
    </w:p>
    <w:p>
      <w:pPr>
        <w:spacing w:after="0" w:line="50" w:lineRule="exact"/>
        <w:rPr>
          <w:rFonts w:ascii="Arial" w:cs="Arial" w:eastAsia="Arial" w:hAnsi="Arial"/>
          <w:sz w:val="18"/>
          <w:szCs w:val="18"/>
          <w:color w:val="auto"/>
        </w:rPr>
      </w:pPr>
    </w:p>
    <w:p>
      <w:pPr>
        <w:ind w:left="460" w:right="240" w:firstLine="421"/>
        <w:spacing w:after="0" w:line="268" w:lineRule="auto"/>
        <w:tabs>
          <w:tab w:leader="none" w:pos="1158" w:val="left"/>
        </w:tabs>
        <w:numPr>
          <w:ilvl w:val="2"/>
          <w:numId w:val="21"/>
        </w:numPr>
        <w:rPr>
          <w:rFonts w:ascii="Arial" w:cs="Arial" w:eastAsia="Arial" w:hAnsi="Arial"/>
          <w:sz w:val="18"/>
          <w:szCs w:val="18"/>
          <w:color w:val="auto"/>
        </w:rPr>
      </w:pPr>
      <w:r>
        <w:rPr>
          <w:rFonts w:ascii="Arial" w:cs="Arial" w:eastAsia="Arial" w:hAnsi="Arial"/>
          <w:sz w:val="18"/>
          <w:szCs w:val="18"/>
          <w:color w:val="auto"/>
        </w:rPr>
        <w:t>acceptance of offers may be made only in ascending order of Absolute Rates or LIBOR Margins, as applicable, in each case beginning with the lowest rate so offered;</w:t>
      </w:r>
    </w:p>
    <w:p>
      <w:pPr>
        <w:spacing w:after="0" w:line="50" w:lineRule="exact"/>
        <w:rPr>
          <w:rFonts w:ascii="Arial" w:cs="Arial" w:eastAsia="Arial" w:hAnsi="Arial"/>
          <w:sz w:val="18"/>
          <w:szCs w:val="18"/>
          <w:color w:val="auto"/>
        </w:rPr>
      </w:pPr>
    </w:p>
    <w:p>
      <w:pPr>
        <w:ind w:left="460" w:right="760" w:firstLine="421"/>
        <w:spacing w:after="0" w:line="268" w:lineRule="auto"/>
        <w:tabs>
          <w:tab w:leader="none" w:pos="1167"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Borrower may not accept any Bid Rate Quote that fails to comply with Section 2.2.(c) or otherwise fails to comply with the requirements of this Agreement; and</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acceptance in part shall be in a minimum amount of $1,000,000 and integral multiples of $500,000 in excess thereof.</w:t>
      </w:r>
    </w:p>
    <w:p>
      <w:pPr>
        <w:spacing w:after="0" w:line="90" w:lineRule="exact"/>
        <w:rPr>
          <w:rFonts w:ascii="Arial" w:cs="Arial" w:eastAsia="Arial" w:hAnsi="Arial"/>
          <w:sz w:val="18"/>
          <w:szCs w:val="18"/>
          <w:color w:val="auto"/>
        </w:rPr>
      </w:pPr>
    </w:p>
    <w:p>
      <w:pPr>
        <w:ind w:right="140" w:firstLine="443"/>
        <w:spacing w:after="0" w:line="298" w:lineRule="auto"/>
        <w:tabs>
          <w:tab w:leader="none" w:pos="6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offers are made by two or more Lenders with the same Absolute Rates or LIBOR Margins, as applicable, for a greater aggregate principal amount than the amount in respect of which offers are permitted to be accepted for the related Interest Period, the principal amount of Bid Rate Loans in respect of which such offers are accepted shall be allocated by the Agent among such Lenders in proportion to the aggregate principal amount of such offers. Determinations by the Agent of the amounts of Bid Rate Loans shall be conclusive in the absence of manifest error.</w:t>
      </w:r>
    </w:p>
    <w:p>
      <w:pPr>
        <w:spacing w:after="0" w:line="112" w:lineRule="exact"/>
        <w:rPr>
          <w:rFonts w:ascii="Arial" w:cs="Arial" w:eastAsia="Arial" w:hAnsi="Arial"/>
          <w:sz w:val="16"/>
          <w:szCs w:val="16"/>
          <w:color w:val="auto"/>
        </w:rPr>
      </w:pPr>
    </w:p>
    <w:p>
      <w:pPr>
        <w:ind w:left="-460" w:firstLine="464"/>
        <w:spacing w:after="0" w:line="289" w:lineRule="auto"/>
        <w:tabs>
          <w:tab w:leader="none" w:pos="21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Obligation to Make Bid Rate Loans</w:t>
      </w:r>
      <w:r>
        <w:rPr>
          <w:rFonts w:ascii="Arial" w:cs="Arial" w:eastAsia="Arial" w:hAnsi="Arial"/>
          <w:sz w:val="16"/>
          <w:szCs w:val="16"/>
          <w:color w:val="auto"/>
        </w:rPr>
        <w:t>. The Agent shall promptly (and in any event not later than 12:00 noon (x) on the proposed date of borrowing of Absolute Rate Loans and (y) on the date three Business Days prior to the proposed date of borrowing of LIBOR Margin Loans) notify each Lender whose Bid Rate Quote has been accepted and the amount and rate thereof. A Lender who is notified that it has been selected to make a Bid Rate Loan may designate its Designated Lender (if any) to fund such Bid Rate Loan on its behalf, as described in Section 12.5.(e). Any Designated Lender which funds a Bid Rate Loan shall on and after the time of such funding become the obligee under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1:30 p.m. on the date specified for the making of such Loan, make the amount of such Loan available to the Agent at its Principal Office in immediately</w:t>
      </w:r>
    </w:p>
    <w:p>
      <w:pPr>
        <w:spacing w:after="0" w:line="104"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31 –</w:t>
      </w:r>
    </w:p>
    <w:p>
      <w:pPr>
        <w:sectPr>
          <w:pgSz w:w="11900" w:h="16838" w:orient="portrait"/>
          <w:cols w:equalWidth="0" w:num="1">
            <w:col w:w="10860"/>
          </w:cols>
          <w:pgMar w:left="700" w:top="280" w:right="339" w:bottom="1440" w:gutter="0" w:footer="0" w:header="0"/>
        </w:sectPr>
      </w:pPr>
    </w:p>
    <w:bookmarkStart w:id="41" w:name="page42"/>
    <w:bookmarkEnd w:id="4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funds, for the account of the Borrower. The amount so received by the Agent shall, subject to the terms and conditions of this Agreement, be made available to the Borrower no later than 2:00 p.m. on such date by depositing the same, in immediately available funds, in an account of the Borrower designated by the Borrower.</w:t>
      </w:r>
    </w:p>
    <w:p>
      <w:pPr>
        <w:spacing w:after="0" w:line="140" w:lineRule="exact"/>
        <w:rPr>
          <w:sz w:val="20"/>
          <w:szCs w:val="20"/>
          <w:color w:val="auto"/>
        </w:rPr>
      </w:pPr>
    </w:p>
    <w:p>
      <w:pPr>
        <w:ind w:right="2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Effect on Commitment</w:t>
      </w:r>
      <w:r>
        <w:rPr>
          <w:rFonts w:ascii="Arial" w:cs="Arial" w:eastAsia="Arial" w:hAnsi="Arial"/>
          <w:sz w:val="18"/>
          <w:szCs w:val="18"/>
          <w:color w:val="auto"/>
        </w:rPr>
        <w:t>. Except for the purpose and to the extent expressly stated in Sections 2.12. and 2.15., the amount of any Bid Rate Loan made by any Lender shall not constitute a utilization of such Lender’s Commitment.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Swingline Loans.</w:t>
      </w:r>
    </w:p>
    <w:p>
      <w:pPr>
        <w:spacing w:after="0" w:line="96" w:lineRule="exact"/>
        <w:rPr>
          <w:sz w:val="20"/>
          <w:szCs w:val="20"/>
          <w:color w:val="auto"/>
        </w:rPr>
      </w:pPr>
    </w:p>
    <w:p>
      <w:pPr>
        <w:ind w:right="100" w:firstLine="464"/>
        <w:spacing w:after="0" w:line="294"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Swingline Loans</w:t>
      </w:r>
      <w:r>
        <w:rPr>
          <w:rFonts w:ascii="Arial" w:cs="Arial" w:eastAsia="Arial" w:hAnsi="Arial"/>
          <w:sz w:val="16"/>
          <w:szCs w:val="16"/>
          <w:color w:val="auto"/>
        </w:rPr>
        <w:t>. Subject to the terms and conditions hereof, during the period from the Effective Date to but excluding the Termination Date, the Swingline Lender agrees to make Swingline Loans to the Borrower in an aggregate principal amount at any one time outstanding up to, but not exceeding, the amount of the Swingline Commitment. If at any time the aggregate principal amount of the Swingline Loans outstanding at such time exceeds the Swingline Commitment in effect at such time, the Borrower shall immediately pay the Agent for the account of the Swingline Lender the amount of such excess. Subject to the terms and conditions of this Agreement, the Borrower may borrow, repay and reborrow Swingline Loans hereunder.</w:t>
      </w:r>
    </w:p>
    <w:p>
      <w:pPr>
        <w:spacing w:after="0" w:line="115" w:lineRule="exact"/>
        <w:rPr>
          <w:rFonts w:ascii="Arial" w:cs="Arial" w:eastAsia="Arial" w:hAnsi="Arial"/>
          <w:sz w:val="16"/>
          <w:szCs w:val="16"/>
          <w:color w:val="auto"/>
        </w:rPr>
      </w:pPr>
    </w:p>
    <w:p>
      <w:pPr>
        <w:ind w:right="120" w:firstLine="464"/>
        <w:spacing w:after="0" w:line="290"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Procedure for Borrowing Swingline Loans</w:t>
      </w:r>
      <w:r>
        <w:rPr>
          <w:rFonts w:ascii="Arial" w:cs="Arial" w:eastAsia="Arial" w:hAnsi="Arial"/>
          <w:sz w:val="16"/>
          <w:szCs w:val="16"/>
          <w:color w:val="auto"/>
        </w:rPr>
        <w:t>. The Borrower shall give the Agent and the Swingline Lender notice pursuant to a Notice of Swingline Borrowing or telephonic notice of each borrowing of a Swingline Loan. Each Notice of Swingline Borrowing shall be delivered to the Swingline Lender no later than 3:00 p.m. on the proposed date of such borrowing. Any such notice given telephonically shall include all information to be specified in a written Notice of Swingline Borrowing and shall be promptly confirmed in writing by the Borrower pursuant to a Notice of Swingline Borrowing sent to the Swingline Lender by telecopy on the same day of the giving of such telephonic notice. On the date of the requested Swingline Loan and subject to satisfaction of the applicable conditions set forth in Article V. for such borrowing, the Swingline Lender will make the proceeds of such Swingline Loan available to the Borrower in Dollars, in immediately available funds, at the account specified by the Borrower in the Notice of Swingline Borrowing, not later than 4:00 p.m. on such date.</w:t>
      </w:r>
    </w:p>
    <w:p>
      <w:pPr>
        <w:spacing w:after="0" w:line="118" w:lineRule="exact"/>
        <w:rPr>
          <w:rFonts w:ascii="Arial" w:cs="Arial" w:eastAsia="Arial" w:hAnsi="Arial"/>
          <w:sz w:val="16"/>
          <w:szCs w:val="16"/>
          <w:color w:val="auto"/>
        </w:rPr>
      </w:pPr>
    </w:p>
    <w:p>
      <w:pPr>
        <w:ind w:firstLine="464"/>
        <w:spacing w:after="0" w:line="323" w:lineRule="auto"/>
        <w:tabs>
          <w:tab w:leader="none" w:pos="695"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Interest</w:t>
      </w:r>
      <w:r>
        <w:rPr>
          <w:rFonts w:ascii="Arial" w:cs="Arial" w:eastAsia="Arial" w:hAnsi="Arial"/>
          <w:sz w:val="15"/>
          <w:szCs w:val="15"/>
          <w:color w:val="auto"/>
        </w:rPr>
        <w:t xml:space="preserve">. Swingline Loans shall bear interest at a per annum rate equal to the Base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Applicable Margin for Base Rate Loans (or at such other rate or rates as the Borrower and the Swingline Lender may agree from time to time in writing). Interest payable on Swingline Loans is solely for the account of the Swingline Lender. All accrued and unpaid interest on Swingline Loans shall be payable on the dates and in the manner provided in Section 2.5. with respect to interest on Base Rate Loans (except as the Swingline Lender and the Borrower may otherwise agree in writing in connection with any particular Swingline Loan).</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Swingline Loan Amounts, Etc</w:t>
      </w:r>
      <w:r>
        <w:rPr>
          <w:rFonts w:ascii="Arial" w:cs="Arial" w:eastAsia="Arial" w:hAnsi="Arial"/>
          <w:sz w:val="16"/>
          <w:szCs w:val="16"/>
          <w:color w:val="auto"/>
        </w:rPr>
        <w:t>. Each Swingline Loan shall be in the minimum amount of $50,000 and integral multiples of $50,000 or such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minimum</w:t>
      </w:r>
    </w:p>
    <w:p>
      <w:pPr>
        <w:spacing w:after="0" w:line="151"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32 –</w:t>
      </w:r>
    </w:p>
    <w:p>
      <w:pPr>
        <w:sectPr>
          <w:pgSz w:w="11900" w:h="16838" w:orient="portrait"/>
          <w:cols w:equalWidth="0" w:num="1">
            <w:col w:w="11420"/>
          </w:cols>
          <w:pgMar w:left="240" w:top="280" w:right="239" w:bottom="1440" w:gutter="0" w:footer="0" w:header="0"/>
        </w:sectPr>
      </w:pPr>
    </w:p>
    <w:bookmarkStart w:id="42" w:name="page43"/>
    <w:bookmarkEnd w:id="42"/>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 Swingline Lender prior written notice thereof no later than 10:00 a.m. on the date of such prepayment. The Swingline Loans shall, in addition to this Agreement, be evidenced by the Swingline Note.</w:t>
      </w:r>
    </w:p>
    <w:p>
      <w:pPr>
        <w:spacing w:after="0" w:line="113"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Repayment and Participations of Swingline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5" w:lineRule="auto"/>
        <w:tabs>
          <w:tab w:leader="none" w:pos="1108"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Borrower agrees to repay each Swingline Loan within one Business Day of demand therefor by the Swingline Lender and in any event, within 5 Business Days after the date such Swingline Loan was made; provided, that the proceeds of a Swingline Loan may not be used to repay a Swingline Loan. Notwithstanding the foregoing, the Borrower shall repay the entire outstanding principal amount of, and all accrued but unpaid interest on, the Swingline Loans on the Termination Date (or such earlier date as the Swingline Lender and the Borrower may agree in writing). Promptly upon any such demand, or if no such demand is made then at least one Business Day before a Swingline Loan otherwise becomes due, the Borrower shall advise the Agent whether or not the Borrower intends to borrow hereunder to finance its obligation to repay such Swingline Loan and, if it does, the Borrower shall submit a timely request for such borrowing as provided in the applicable provisions of this Agreement. If the Borrower fails to so advise the Agent, or if the Borrower fails to repay such Swingline Loan by the date due then (x) if the applicable conditions contained in Article V. would permit the making of Revolving Loans, the Borrower shall be deemed to have requested a borrowing of Revolving Loans (which shall be Base Rate Loans) in an amount equal to such Swingline Loan and the Agent shall give each Lender notice not later than 12:00 noon on such date of the amount of the Revolving Loan to be made available to the Agent not later than 2:00 p.m. on such date and (y) if such conditions would not permit the making of Revolving Loans, the provisions of the immediately following subsection (ii) shall apply. The amount limitations of Section 3.5.(a) shall not apply to any borrowing of Base Rate Loans made pursuant to this subsection. Each Lender will make available to the Agent at the Principal Office for the account of the Swingline Lender, in immediately available funds, the proceeds of the Base Rate Loan to be made by such Lender and, to the extent of such Base Rate Loan, such Lender’s participation in the Swingline Loan so repaid shall be deemed to be funded by such Base Rate Loan. The Agent shall pay the proceeds of such Base Rate Loans to the Swingline Lender, which shall apply such proceeds to repay such Swingline Loan. The Borrower’s failure to repay a Swingline Loan when due (other than on and at any time following the Termination Date) shall not in and of itself constitute a Default or Event of Default.</w:t>
      </w:r>
    </w:p>
    <w:p>
      <w:pPr>
        <w:spacing w:after="0" w:line="107"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33 –</w:t>
      </w:r>
    </w:p>
    <w:p>
      <w:pPr>
        <w:sectPr>
          <w:pgSz w:w="11900" w:h="16838" w:orient="portrait"/>
          <w:cols w:equalWidth="0" w:num="1">
            <w:col w:w="11420"/>
          </w:cols>
          <w:pgMar w:left="240" w:top="280" w:right="239" w:bottom="1440" w:gutter="0" w:footer="0" w:header="0"/>
        </w:sectPr>
      </w:pPr>
    </w:p>
    <w:bookmarkStart w:id="43" w:name="page44"/>
    <w:bookmarkEnd w:id="43"/>
    <w:p>
      <w:pPr>
        <w:ind w:left="460" w:firstLine="443"/>
        <w:spacing w:after="0" w:line="284" w:lineRule="auto"/>
        <w:tabs>
          <w:tab w:leader="none" w:pos="1157"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time each Swingline Loan is made, each Lender shall automatically (and without any further notice or action) be deemed to have purchased from the Swingline Lender, without recourse or warranty, an undivided interest and participation to the extent of such Lender’s Commitment Percentage in such Swingline Loan. If the Lenders are prohibited from making Loans contemplated by the immediately preceding subsection for any reason, including without limitation, the occurrence of any Default or Event of Default described in Section 10.1.(f) or 10.1.(g), upon notice from the Agent or the Swingline Lender, each Lender severally agrees to pay to the Agent for the account of the Swingline Lender in respect of such participation the amount of such Lender’s Commitment Percentage of each outstanding Swingline Loan. If such amount is not in fact made available to the Agent by any Lender, the Swingline Lender shall be entitled to recover such amount on demand from such Lender, together with accrued interest thereon for each day from the date of demand thereof, at the Federal Funds Rate. If such Lender does not pay such amount forthwith upon demand therefor by the Agent or the Swingline Lender,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Loans, and any other amounts due to it hereunder, to the Swingline Lender to fund Swingline Loans in the amount of the participation in Swingline Loans that such Lender failed to purchase pursuant to this Section until such amount has been purchased (as a result of such assignment or otherwise). A Lender’s obligation to make payments in respect of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Agent, the Swingline Lender or any other Person whatsoever, (ii) the occurrence or continuation of a Default or Event of Default (including, without limitation, any of the Defaults or Events of Default described in Sections 10.1.(f) or 10.1. (g)) or the termination of any Lender’s Commitment, (iii) the existence (or alleged existence) of an event or condition which has had or could have a Material Adverse Effect, (iv) any breach of any Loan Document by the Agent, any Lender or the Borrower or (v) any other circumstance, happening or event whatsoever, whether or not similar to any of the foregoing.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Letters of Credit.</w:t>
      </w:r>
    </w:p>
    <w:p>
      <w:pPr>
        <w:spacing w:after="0" w:line="96" w:lineRule="exact"/>
        <w:rPr>
          <w:sz w:val="20"/>
          <w:szCs w:val="20"/>
          <w:color w:val="auto"/>
        </w:rPr>
      </w:pPr>
    </w:p>
    <w:p>
      <w:pPr>
        <w:ind w:right="180" w:firstLine="464"/>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Subject to the terms and conditions of this Agreement, the Agent, on behalf of the Lenders, agrees to issue for the account of the Borrower during the period from and including the Effective Date to, but excluding, the date 30 days prior to the Termination Date, one or more letters of credit (each a </w:t>
      </w:r>
      <w:r>
        <w:rPr>
          <w:rFonts w:ascii="Arial" w:cs="Arial" w:eastAsia="Arial" w:hAnsi="Arial"/>
          <w:sz w:val="18"/>
          <w:szCs w:val="18"/>
          <w:b w:val="1"/>
          <w:bCs w:val="1"/>
          <w:color w:val="auto"/>
        </w:rPr>
        <w:t>“Letter of</w:t>
      </w:r>
    </w:p>
    <w:p>
      <w:pPr>
        <w:spacing w:after="0" w:line="12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34 –</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w:t>
      </w:r>
      <w:r>
        <w:rPr>
          <w:rFonts w:ascii="Arial" w:cs="Arial" w:eastAsia="Arial" w:hAnsi="Arial"/>
          <w:sz w:val="18"/>
          <w:szCs w:val="18"/>
          <w:color w:val="auto"/>
        </w:rPr>
        <w:t>”) up to a maximum aggregate Stated Amount at any one time outstanding not to exceed the L/C Commitment Amount.</w:t>
      </w:r>
    </w:p>
    <w:p>
      <w:pPr>
        <w:spacing w:after="0" w:line="177" w:lineRule="exact"/>
        <w:rPr>
          <w:sz w:val="20"/>
          <w:szCs w:val="20"/>
          <w:color w:val="auto"/>
        </w:rPr>
      </w:pPr>
    </w:p>
    <w:p>
      <w:pPr>
        <w:ind w:firstLine="464"/>
        <w:spacing w:after="0" w:line="254"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Terms of Letters of Credit</w:t>
      </w:r>
      <w:r>
        <w:rPr>
          <w:rFonts w:ascii="Arial" w:cs="Arial" w:eastAsia="Arial" w:hAnsi="Arial"/>
          <w:sz w:val="18"/>
          <w:szCs w:val="18"/>
          <w:color w:val="auto"/>
        </w:rPr>
        <w:t xml:space="preserve">. At the time of issuance, the amount, form, terms and conditions of each Letter of Credit, and of any drafts or acceptances thereunder, shall be subject to approval by the Agent and the Borrower (which approval, in the case of each of the Borrower and the Agent, shall not be unreasonably withheld). Notwithstanding the foregoing, in no event may the expiration date of any Letter of Credit extend beyond the earlier of (i) the date one year from its date of issuance or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Letter of Credit may contain a provision providing for the automatic extension of the expiration date in the absence of a notice of non-renewal from the Agent but in no event shall any such provision permit the extension of the expiration date of such Letter of Credit beyond the Termination Date.</w:t>
      </w:r>
    </w:p>
    <w:p>
      <w:pPr>
        <w:spacing w:after="0" w:line="144" w:lineRule="exact"/>
        <w:rPr>
          <w:rFonts w:ascii="Arial" w:cs="Arial" w:eastAsia="Arial" w:hAnsi="Arial"/>
          <w:sz w:val="18"/>
          <w:szCs w:val="18"/>
          <w:color w:val="auto"/>
        </w:rPr>
      </w:pPr>
    </w:p>
    <w:p>
      <w:pPr>
        <w:ind w:right="40" w:firstLine="464"/>
        <w:spacing w:after="0" w:line="287"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Requests for Issuance of Letters of Credit</w:t>
      </w:r>
      <w:r>
        <w:rPr>
          <w:rFonts w:ascii="Arial" w:cs="Arial" w:eastAsia="Arial" w:hAnsi="Arial"/>
          <w:sz w:val="16"/>
          <w:szCs w:val="16"/>
          <w:color w:val="auto"/>
        </w:rPr>
        <w:t>. The Borrower shall give the Agent written notice (or telephonic notice promptly confirmed in writing) at least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Stated Amount, (ii) the beneficiary, and (iii) the expiration date. The Borrower shall also execute and deliver such customary letter of credit application forms as requested from time to time by the Agent. Provided the Borrower has given the notice prescribed by the first sentence of this subsection and subject to the other terms and conditions of this Agreement, including the satisfaction of any applicable conditions precedent set forth in Article V., the Agent shall issue the requested Letter of Credit on the requested date of issuance for the benefit of the stipulated beneficiary. Upon the written request of the Borrower, the Agent shall deliver to the Borrower a copy of each issued Letter of Credit within a reasonable time after the date of issuance thereof. As between the Borrower, the Agent and the Lenders, to the extent any term of a Letter of Credit Document is inconsistent with a term of any Loan Document, the term of such Loan Document shall control.</w:t>
      </w:r>
    </w:p>
    <w:p>
      <w:pPr>
        <w:spacing w:after="0" w:line="122" w:lineRule="exact"/>
        <w:rPr>
          <w:rFonts w:ascii="Arial" w:cs="Arial" w:eastAsia="Arial" w:hAnsi="Arial"/>
          <w:sz w:val="16"/>
          <w:szCs w:val="16"/>
          <w:color w:val="auto"/>
        </w:rPr>
      </w:pPr>
    </w:p>
    <w:p>
      <w:pPr>
        <w:ind w:right="60" w:firstLine="464"/>
        <w:spacing w:after="0" w:line="253"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Reimbursement Obligations</w:t>
      </w:r>
      <w:r>
        <w:rPr>
          <w:rFonts w:ascii="Arial" w:cs="Arial" w:eastAsia="Arial" w:hAnsi="Arial"/>
          <w:sz w:val="18"/>
          <w:szCs w:val="18"/>
          <w:color w:val="auto"/>
        </w:rPr>
        <w:t xml:space="preserve">. Upon receipt by the Agent from the beneficiary of a Letter of Credit of any demand for payment under such Letter of Credit, the Agent shall promptly notify the Borrower of the amount to be paid by the Agent as a result of such demand and the date on which payment is to be made by the Agent to such beneficiary in respect of such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Agent’s failure to give, or delay in giving, such notice shall not discharge the Borrower in any respect from the applicable Reimbursement Obligation. The Borrower hereby unconditionally and irrevocably agrees to pay and reimburse the Agent for the amount of each demand for payment under such Letter of Credit on or prior to the date on which payment is to be made by the Agent to the beneficiary thereunder, without presentment, demand, protest or other formalities of any kind (other than notice as provided in this subsection). Upon receipt by the Agent of any payment in respect of any Reimbursement Obligation, the Agent shall promptly pay to each Lender that has acquired a participation therein under</w:t>
      </w:r>
    </w:p>
    <w:p>
      <w:pPr>
        <w:spacing w:after="0" w:line="13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35 –</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sentence of Section 2.4.(i) such Lender’s Commitment Percentage of such payment.</w:t>
      </w:r>
    </w:p>
    <w:p>
      <w:pPr>
        <w:spacing w:after="0" w:line="171" w:lineRule="exact"/>
        <w:rPr>
          <w:sz w:val="20"/>
          <w:szCs w:val="20"/>
          <w:color w:val="auto"/>
        </w:rPr>
      </w:pPr>
    </w:p>
    <w:p>
      <w:pPr>
        <w:ind w:right="120" w:firstLine="464"/>
        <w:spacing w:after="0" w:line="287"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Manner of Reimbursement</w:t>
      </w:r>
      <w:r>
        <w:rPr>
          <w:rFonts w:ascii="Arial" w:cs="Arial" w:eastAsia="Arial" w:hAnsi="Arial"/>
          <w:sz w:val="16"/>
          <w:szCs w:val="16"/>
          <w:color w:val="auto"/>
        </w:rPr>
        <w:t>. Upon its receipt of a notice referred to in the immediately preceding subsection (d), the Borrower shall advise the Agent whether or not the Borrower intends to borrow hereunder to finance its obligation to reimburse the Agent for the amount of the related demand for payment and, if it does, the Borrower shall submit a timely request for such borrowing as provided in the applicable provisions of this Agreement. If the Borrower fails to so advise the Agent, or if the Borrower fails to reimburse the Agent for a demand for payment under a Letter of Credit by the date of such payment,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Agent shall give each Lender prompt notice of the amount of the Revolving Loan to be made available to the Agent not later than 2:00 p.m. and (ii) if such conditions would not permit the making of Revolving Loans, the provisions of subsection (j) of this Section shall apply. The limitations of Section 3.5.(a) shall not apply to any borrowing of Base Rate Loans under this subsection. The Borrower’s failure to reimburse the Agent for a demand for payment under a Letter of Credit (other than on and at any time following the Termination Date) shall not in and of itself constitute a Default or Event of Default.</w:t>
      </w:r>
    </w:p>
    <w:p>
      <w:pPr>
        <w:spacing w:after="0" w:line="122" w:lineRule="exact"/>
        <w:rPr>
          <w:rFonts w:ascii="Arial" w:cs="Arial" w:eastAsia="Arial" w:hAnsi="Arial"/>
          <w:sz w:val="16"/>
          <w:szCs w:val="16"/>
          <w:color w:val="auto"/>
        </w:rPr>
      </w:pPr>
    </w:p>
    <w:p>
      <w:pPr>
        <w:ind w:right="40" w:firstLine="464"/>
        <w:spacing w:after="0" w:line="256" w:lineRule="auto"/>
        <w:tabs>
          <w:tab w:leader="none" w:pos="67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of Letters of Credit on Commitments</w:t>
      </w:r>
      <w:r>
        <w:rPr>
          <w:rFonts w:ascii="Arial" w:cs="Arial" w:eastAsia="Arial" w:hAnsi="Arial"/>
          <w:sz w:val="18"/>
          <w:szCs w:val="18"/>
          <w:color w:val="auto"/>
        </w:rPr>
        <w:t>. Upon the issuance by the Agent of any Letter of Credit and until such Letter of Credit shall have expired or been terminated, the Commitment of each Lender shall be deemed to be utilized for all purposes of this Agreement in an amount equal to the product of (i) such Lender’s Commitment Percentage and (ii) the sum (without duplication) of (A) the Stated Amount of such Letter of Credit plus (B) any related Reimbursement Obligations then outstanding.</w:t>
      </w:r>
    </w:p>
    <w:p>
      <w:pPr>
        <w:spacing w:after="0" w:line="143" w:lineRule="exact"/>
        <w:rPr>
          <w:rFonts w:ascii="Arial" w:cs="Arial" w:eastAsia="Arial" w:hAnsi="Arial"/>
          <w:sz w:val="18"/>
          <w:szCs w:val="18"/>
          <w:color w:val="auto"/>
        </w:rPr>
      </w:pPr>
    </w:p>
    <w:p>
      <w:pPr>
        <w:ind w:firstLine="464"/>
        <w:spacing w:after="0" w:line="28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Agent’s Duties Regarding Letters of Credit; Unconditional Nature of Reimbursement Obligations</w:t>
      </w:r>
      <w:r>
        <w:rPr>
          <w:rFonts w:ascii="Arial" w:cs="Arial" w:eastAsia="Arial" w:hAnsi="Arial"/>
          <w:sz w:val="16"/>
          <w:szCs w:val="16"/>
          <w:color w:val="auto"/>
        </w:rPr>
        <w:t>. In examining documents presented in connection with drawings under Letters of Credit and making payments under such Letters of Credit against such documents, the Agent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neither the Agent nor any of the Lenders shall be responsible for (i) the form, validity, sufficiency, accuracy, genuineness or legal effects of any document submitted by any party in connection with the application for and issuance of or any drawing honored under any Letter of Credit even if it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w:t>
      </w:r>
    </w:p>
    <w:p>
      <w:pPr>
        <w:spacing w:after="0" w:line="106"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36 –</w:t>
      </w:r>
    </w:p>
    <w:p>
      <w:pPr>
        <w:sectPr>
          <w:pgSz w:w="11900" w:h="16838" w:orient="portrait"/>
          <w:cols w:equalWidth="0" w:num="1">
            <w:col w:w="11420"/>
          </w:cols>
          <w:pgMar w:left="240" w:top="280" w:right="239" w:bottom="1440" w:gutter="0" w:footer="0" w:header="0"/>
        </w:sectPr>
      </w:pPr>
    </w:p>
    <w:bookmarkStart w:id="46" w:name="page47"/>
    <w:bookmarkEnd w:id="46"/>
    <w:p>
      <w:pPr>
        <w:ind w:right="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telex,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the proceeds of any drawing under any Letter of Credit; or (viii) any consequences arising from causes beyond the control of the Agent or the Lenders. None of the above shall affect, impair or prevent the vesting of any of the Agent’s or any Lender’s rights or powers hereunder. The Agent shall have no liability to the Borrower for any action taken or omitted to be taken by the Agent under or in connection with any Letter of Credit except to the extent resulting from the gross negligence or willful misconduct of the Agent, as determined by a court of competent jurisdiction in a final, non-appealable judgment. In this regard, the obligation of the Borrower to reimburse the Agent for any drawing made under any Letter of Credit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w:t>
      </w:r>
    </w:p>
    <w:p>
      <w:pPr>
        <w:spacing w:after="0" w:line="5" w:lineRule="exact"/>
        <w:rPr>
          <w:sz w:val="20"/>
          <w:szCs w:val="20"/>
          <w:color w:val="auto"/>
        </w:rPr>
      </w:pPr>
    </w:p>
    <w:p>
      <w:pPr>
        <w:ind w:firstLine="8"/>
        <w:spacing w:after="0" w:line="285"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amendment or waiver of or any consent to departure from all or any of the Letter of Credit Documents; (C) the existence of any claim, setoff, defense or other right which the Borrower may have at any time against the Agent, any Lender, any beneficiary of a Letter of Credit or any other Person, whether in connection with this Agreement or the transactions contemplated hereby or in the Letter of Credit Documents or any unrelated transaction; (D) any breach of contract or dispute between the Borrower, the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of the proceeds of any drawing under such Letter of Credit; (G) payment by the Agent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12.9., but not in limitation of the Borrower’s unconditional obligation to reimburse the Agent for any drawing made under a Letter of Credit as provided in this Section, the Borrower shall have no obligation to indemnify the Agent or any Lender in respect of any liability incurred by the Agent or such Lender to the extent arising out of the gross negligence or willful misconduct of, respectively, the Agent or such Lender in respect of a Letter of Credit as determined by a court of competent jurisdiction in a final, non-appealable judgment. Nothing in this Section shall affect any rights the Borrower may have with respect to the gross negligence or willful misconduct of the Agent or any Lender with respect to any Letter of Credit.</w:t>
      </w:r>
    </w:p>
    <w:p>
      <w:pPr>
        <w:spacing w:after="0" w:line="108"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37 –</w:t>
      </w:r>
    </w:p>
    <w:p>
      <w:pPr>
        <w:sectPr>
          <w:pgSz w:w="11900" w:h="16838" w:orient="portrait"/>
          <w:cols w:equalWidth="0" w:num="1">
            <w:col w:w="11400"/>
          </w:cols>
          <w:pgMar w:left="240" w:top="280" w:right="259" w:bottom="1440" w:gutter="0" w:footer="0" w:header="0"/>
        </w:sectPr>
      </w:pPr>
    </w:p>
    <w:bookmarkStart w:id="47" w:name="page48"/>
    <w:bookmarkEnd w:id="47"/>
    <w:p>
      <w:pPr>
        <w:ind w:left="-464" w:firstLine="464"/>
        <w:spacing w:after="0" w:line="291" w:lineRule="auto"/>
        <w:tabs>
          <w:tab w:leader="none" w:pos="24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Etc</w:t>
      </w:r>
      <w:r>
        <w:rPr>
          <w:rFonts w:ascii="Arial" w:cs="Arial" w:eastAsia="Arial" w:hAnsi="Arial"/>
          <w:sz w:val="16"/>
          <w:szCs w:val="16"/>
          <w:color w:val="auto"/>
        </w:rPr>
        <w:t>. The issuance by the Agent of any amendment, supplement or other modification to any Letter of Credit shall be subject to the same conditions applicable under this Agreement to the issuance of new Letters of Credit (including, without limitation, that the request therefor be made through the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Requisite Lenders (or all of the Lenders if required by Section 12.6.) shall have consented thereto. In connection with any such amendment, supplement or other modification, the Borrower shall pay the Fees, if any, payable under the last sentence of Section 3.6.(b).</w:t>
      </w:r>
    </w:p>
    <w:p>
      <w:pPr>
        <w:spacing w:after="0" w:line="120" w:lineRule="exact"/>
        <w:rPr>
          <w:rFonts w:ascii="Arial" w:cs="Arial" w:eastAsia="Arial" w:hAnsi="Arial"/>
          <w:sz w:val="16"/>
          <w:szCs w:val="16"/>
          <w:color w:val="auto"/>
        </w:rPr>
      </w:pPr>
    </w:p>
    <w:p>
      <w:pPr>
        <w:ind w:left="-464" w:right="60" w:firstLine="464"/>
        <w:spacing w:after="0" w:line="287" w:lineRule="auto"/>
        <w:tabs>
          <w:tab w:leader="none" w:pos="20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Lenders’ Participation in Letters of Credit</w:t>
      </w:r>
      <w:r>
        <w:rPr>
          <w:rFonts w:ascii="Arial" w:cs="Arial" w:eastAsia="Arial" w:hAnsi="Arial"/>
          <w:sz w:val="16"/>
          <w:szCs w:val="16"/>
          <w:color w:val="auto"/>
        </w:rPr>
        <w:t>. Immediately upon the issuance by the Agent of any Letter of Credit each Lender shall be deemed to have irrevocably and unconditionally purchased and received from the Agent, without recourse or warranty, an undivided interest and participation to the extent of such Lender’s Commitment Percentage of the liability of the Agent with respect to such Letter of Credit, and each Lender thereby shall absolutely, unconditionally and irrevocably assume, as primary obligor and not as surety, and shall be unconditionally obligated to the Agent to pay and discharge when due, such Lender’s Commitment Percentage of the Agent’s liability under such Letter of Credit. In addition, upon the making of each payment by a Lender to the Agent in respect of any Letter of Credit pursuant to the immediately following subsection (j), such Lender shall, automatically and without any further action on the part of the Agent or such Lender, acquire (i) a participation in an amount equal to such payment in the Reimbursement Obligation owing to the Agent by the Borrower in respect of such Letter of Credit and (ii) a participation in a percentage equal to such Lender’s Commitment Percentage in any interest or other amounts payable by the Borrower in respect of such Reimbursement Obligation (other than the Fees payable to the Agent pursuant to the third and last sentences of Section 3.6.(b)).</w:t>
      </w:r>
    </w:p>
    <w:p>
      <w:pPr>
        <w:spacing w:after="0" w:line="122" w:lineRule="exact"/>
        <w:rPr>
          <w:rFonts w:ascii="Arial" w:cs="Arial" w:eastAsia="Arial" w:hAnsi="Arial"/>
          <w:sz w:val="16"/>
          <w:szCs w:val="16"/>
          <w:color w:val="auto"/>
        </w:rPr>
      </w:pPr>
    </w:p>
    <w:p>
      <w:pPr>
        <w:ind w:left="-464" w:right="160" w:firstLine="464"/>
        <w:spacing w:after="0" w:line="309" w:lineRule="auto"/>
        <w:tabs>
          <w:tab w:leader="none" w:pos="202"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Payment Obligation of Lenders</w:t>
      </w:r>
      <w:r>
        <w:rPr>
          <w:rFonts w:ascii="Arial" w:cs="Arial" w:eastAsia="Arial" w:hAnsi="Arial"/>
          <w:sz w:val="15"/>
          <w:szCs w:val="15"/>
          <w:color w:val="auto"/>
        </w:rPr>
        <w:t>. Each Lender severally agrees to pay to the Agent on demand in immediately available funds in Dollars the amount of such Lender’s Commitment Percentage of each drawing paid by the Agent under each Letter of Credit to the extent such amount is not reimbursed by the Borrower as contemplated by Section 2.4.(d) or Section 2.4.(e); provided, however, that in respect of any drawing under any Letter of Credit, the maximum amount that any Lender shall be required to fund, whether as a Revolving Loan or as a participation, shall not exceed such Lender’s Commitment Percentage of such drawing. If the notice referenced in the second sentence of Section 2.4.(e) is received by a Lender not later than 11:00 a.m., then such Lender shall make such payment available to the Agent not later than 2:00 p.m. on the date of demand therefor; otherwise, such payment shall be made available to the Agent not later than 1:00 p.m. on the next succeeding Business Day. Each such Lender’s obligation to make such payments to the Agent under this subsection, and the Agent’s right to receive the same, shall be absolute, irrevocable and unconditional and shall not be affected in any way by any circumstance whatsoever, including, without limitation, (i) the failure of any other Lender to make its payment under this subsection, (ii) the financial condition of the</w:t>
      </w:r>
    </w:p>
    <w:p>
      <w:pPr>
        <w:spacing w:after="0" w:line="94" w:lineRule="exact"/>
        <w:rPr>
          <w:rFonts w:ascii="Arial" w:cs="Arial" w:eastAsia="Arial" w:hAnsi="Arial"/>
          <w:sz w:val="15"/>
          <w:szCs w:val="15"/>
          <w:color w:val="auto"/>
        </w:rPr>
      </w:pPr>
    </w:p>
    <w:p>
      <w:pPr>
        <w:ind w:left="5036"/>
        <w:spacing w:after="0"/>
        <w:rPr>
          <w:rFonts w:ascii="Arial" w:cs="Arial" w:eastAsia="Arial" w:hAnsi="Arial"/>
          <w:sz w:val="15"/>
          <w:szCs w:val="15"/>
          <w:color w:val="auto"/>
        </w:rPr>
      </w:pPr>
      <w:r>
        <w:rPr>
          <w:rFonts w:ascii="Arial" w:cs="Arial" w:eastAsia="Arial" w:hAnsi="Arial"/>
          <w:sz w:val="18"/>
          <w:szCs w:val="18"/>
          <w:color w:val="auto"/>
        </w:rPr>
        <w:t>– 38 –</w:t>
      </w:r>
    </w:p>
    <w:p>
      <w:pPr>
        <w:sectPr>
          <w:pgSz w:w="11900" w:h="16838" w:orient="portrait"/>
          <w:cols w:equalWidth="0" w:num="1">
            <w:col w:w="10936"/>
          </w:cols>
          <w:pgMar w:left="704" w:top="280" w:right="259" w:bottom="1440" w:gutter="0" w:footer="0" w:header="0"/>
        </w:sectPr>
      </w:pPr>
    </w:p>
    <w:bookmarkStart w:id="48" w:name="page49"/>
    <w:bookmarkEnd w:id="48"/>
    <w:p>
      <w:pPr>
        <w:jc w:val="both"/>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or any other Loan Party, (iii) the existence of any Default or Event of Default, including any Event of Default described in Section 10.1.(f) or 10.1.(g), or (iv) the termination of the Commitments. Each such payment to the Agent shall be made without any offset, abatement, withholding or deduction whatsoever.</w:t>
      </w:r>
    </w:p>
    <w:p>
      <w:pPr>
        <w:spacing w:after="0" w:line="85" w:lineRule="exact"/>
        <w:rPr>
          <w:sz w:val="20"/>
          <w:szCs w:val="20"/>
          <w:color w:val="auto"/>
        </w:rPr>
      </w:pPr>
    </w:p>
    <w:p>
      <w:pPr>
        <w:ind w:right="100" w:firstLine="464"/>
        <w:spacing w:after="0" w:line="256"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Information to Lenders</w:t>
      </w:r>
      <w:r>
        <w:rPr>
          <w:rFonts w:ascii="Arial" w:cs="Arial" w:eastAsia="Arial" w:hAnsi="Arial"/>
          <w:sz w:val="18"/>
          <w:szCs w:val="18"/>
          <w:color w:val="auto"/>
        </w:rPr>
        <w:t>. Upon the request of any Lender from time to time, the Agent shall deliver to such Lender information reasonably requested by such Lender with respect to each Letter of Credit then outstanding. Other than as set forth in this subsection, the Agent shall have no duty to notify the Lenders regarding the issuance or other matters regarding Letters of Credit issued hereunder. The failure of the Agent to perform its requirements under this subsection shall not relieve any Lender from its obligations under Section 2.4.(j).</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Rates and Payment of Interest on Loans.</w:t>
      </w:r>
    </w:p>
    <w:p>
      <w:pPr>
        <w:spacing w:after="0" w:line="96" w:lineRule="exact"/>
        <w:rPr>
          <w:sz w:val="20"/>
          <w:szCs w:val="20"/>
          <w:color w:val="auto"/>
        </w:rPr>
      </w:pPr>
    </w:p>
    <w:p>
      <w:pPr>
        <w:ind w:right="20" w:firstLine="464"/>
        <w:spacing w:after="0" w:line="259"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during such periods as such Loan is a Base Rate Loan, at the Base Rate (as in effect from time to time) plus the Applicable Margin;</w:t>
      </w:r>
    </w:p>
    <w:p>
      <w:pPr>
        <w:spacing w:after="0" w:line="113" w:lineRule="exact"/>
        <w:rPr>
          <w:rFonts w:ascii="Arial" w:cs="Arial" w:eastAsia="Arial" w:hAnsi="Arial"/>
          <w:sz w:val="16"/>
          <w:szCs w:val="16"/>
          <w:color w:val="auto"/>
        </w:rPr>
      </w:pPr>
    </w:p>
    <w:p>
      <w:pPr>
        <w:ind w:left="460" w:right="560" w:firstLine="443"/>
        <w:spacing w:after="0" w:line="268" w:lineRule="auto"/>
        <w:tabs>
          <w:tab w:leader="none" w:pos="11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during such periods as such Loan is a LIBOR Loan, at the Adjusted Eurodollar Rate for such Loan for the Interest Period therefor plus the Applicable Margin;</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such Loan is an Absolute Rate Loan, at the Absolute Rate for such Loan, as applicable, for the Interest Period therefor quoted by the Lender making such Loan in accordance with Section 2.2.;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such Loan is a LIBOR Margin Loan, at LIBOR for such Loan for the Interest Period therefor, plus (or minus) the LIBOR Margin quoted by the Lender making such Loan in accordance with Section 2.2.</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Notwithstanding the foregoing, during the continuance of an Event of Default, the Borrower shall pay to the Agent for the account of each Lender interest at the Post-Default Rate on the outstanding principal amount of any Loan made by such Lender, on all due and unpaid Reimbursement Obligations and on any other amount payable by the Borrower hereunder or under the Notes held by such Lender to or for the account of such Lender (including, without limitation, accrued but unpaid interest to the extent permitted under Applicable Law).</w:t>
      </w:r>
    </w:p>
    <w:p>
      <w:pPr>
        <w:spacing w:after="0" w:line="143" w:lineRule="exact"/>
        <w:rPr>
          <w:sz w:val="20"/>
          <w:szCs w:val="20"/>
          <w:color w:val="auto"/>
        </w:rPr>
      </w:pPr>
    </w:p>
    <w:p>
      <w:pPr>
        <w:ind w:right="16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Accrued and unpaid interest on each Loan shall be payable (i) in the case of a Base Rate Loan, monthly in arrears on the first day of each calendar month, (ii) in the case of a LIBOR Loan or a Bid Rate Loan, in arrears on the</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39 –</w:t>
      </w:r>
    </w:p>
    <w:p>
      <w:pPr>
        <w:sectPr>
          <w:pgSz w:w="11900" w:h="16838" w:orient="portrait"/>
          <w:cols w:equalWidth="0" w:num="1">
            <w:col w:w="11420"/>
          </w:cols>
          <w:pgMar w:left="240" w:top="280" w:right="239" w:bottom="1440" w:gutter="0" w:footer="0" w:header="0"/>
        </w:sectPr>
      </w:pPr>
    </w:p>
    <w:bookmarkStart w:id="49" w:name="page50"/>
    <w:bookmarkEnd w:id="4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last day of each Interest Period therefor, and, if such Interest Period is longer than three months, at three-month intervals following the first day of such Interest Period, and (iii) in the case of any Loan, in arrears upon 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20" w:lineRule="exact"/>
        <w:rPr>
          <w:sz w:val="20"/>
          <w:szCs w:val="20"/>
          <w:color w:val="auto"/>
        </w:rPr>
      </w:pPr>
    </w:p>
    <w:p>
      <w:pPr>
        <w:ind w:firstLine="464"/>
        <w:spacing w:after="0" w:line="302" w:lineRule="auto"/>
        <w:tabs>
          <w:tab w:leader="none" w:pos="695"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Ratings Change</w:t>
      </w:r>
      <w:r>
        <w:rPr>
          <w:rFonts w:ascii="Arial" w:cs="Arial" w:eastAsia="Arial" w:hAnsi="Arial"/>
          <w:sz w:val="15"/>
          <w:szCs w:val="15"/>
          <w:color w:val="auto"/>
        </w:rPr>
        <w:t>.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 (x) any incremental interest expense with respect to the Loans the interest rate on which included the Applicable Margin and (y) any incremental Facility Fee expense and</w:t>
      </w:r>
    </w:p>
    <w:p>
      <w:pPr>
        <w:spacing w:after="0" w:line="2" w:lineRule="exact"/>
        <w:rPr>
          <w:rFonts w:ascii="Arial" w:cs="Arial" w:eastAsia="Arial" w:hAnsi="Arial"/>
          <w:sz w:val="15"/>
          <w:szCs w:val="15"/>
          <w:color w:val="auto"/>
        </w:rPr>
      </w:pPr>
    </w:p>
    <w:p>
      <w:pPr>
        <w:ind w:right="140" w:firstLine="8"/>
        <w:spacing w:after="0" w:line="255" w:lineRule="auto"/>
        <w:tabs>
          <w:tab w:leader="none" w:pos="2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initial change in the Applicable Margin was a decrease, then the Borrower shall promptly pay to the Agent for the ratable benefit of the Lenders for the period during which the increase existed determined as if such decrease had not occurred (x) additional interest with respect to the Loans the interest rate on which included the Applicable Margin and (y) additional Facility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Number of Interest Periods.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may be no more than 12 different Interest Periods for Revolving Loans and Bid Rate Loans, collectively, outstanding at the same time (for which purpose Interest Periods described in different lettered clauses of the definition of the term “Interest Period” shall be deemed to be different Interest Periods even if they are coterminous).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Repayment of Loans.</w:t>
      </w:r>
    </w:p>
    <w:p>
      <w:pPr>
        <w:spacing w:after="0" w:line="96" w:lineRule="exact"/>
        <w:rPr>
          <w:sz w:val="20"/>
          <w:szCs w:val="20"/>
          <w:color w:val="auto"/>
        </w:rPr>
      </w:pPr>
    </w:p>
    <w:p>
      <w:pPr>
        <w:ind w:right="140" w:firstLine="464"/>
        <w:spacing w:after="0" w:line="268"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the entire outstanding principal amount of, and all accrued but unpaid interest on, the Revolving Loans on the Termination Date.</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The Borrower shall repay the entire outstanding principal amount of, and all accrued but unpaid interest on, each Bid Rate Loan on the last day of the Interest Period of such Bid Rate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Prepayments.</w:t>
      </w:r>
    </w:p>
    <w:p>
      <w:pPr>
        <w:spacing w:after="0" w:line="96" w:lineRule="exact"/>
        <w:rPr>
          <w:sz w:val="20"/>
          <w:szCs w:val="20"/>
          <w:color w:val="auto"/>
        </w:rPr>
      </w:pPr>
    </w:p>
    <w:p>
      <w:pPr>
        <w:ind w:right="180" w:firstLine="464"/>
        <w:spacing w:after="0" w:line="268"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Subject to Section 4.4., the Borrower may prepay any Revolving Loan or Swingline Loan at any time without premium or penalty. Bid Rate Loans may not be prepaid without the prior written consent of the Lender to whom such</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40 –</w:t>
      </w:r>
    </w:p>
    <w:p>
      <w:pPr>
        <w:sectPr>
          <w:pgSz w:w="11900" w:h="16838" w:orient="portrait"/>
          <w:cols w:equalWidth="0" w:num="1">
            <w:col w:w="11420"/>
          </w:cols>
          <w:pgMar w:left="240" w:top="280" w:right="239" w:bottom="1440" w:gutter="0" w:footer="0" w:header="0"/>
        </w:sectPr>
      </w:pPr>
    </w:p>
    <w:bookmarkStart w:id="50" w:name="page51"/>
    <w:bookmarkEnd w:id="50"/>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Bid Rate Loan is owed; provided, however, subject to Section 4.4., the Borrower may prepay all outstanding Bid Rate Loans in connection with the Borrower’s termination of all Commitments pursuant to Section 2.12. and the repayment of all Obligations in full. The Borrower shall give the Agent at least one Business Day’s prior written notice of the prepayment of any Loan.</w:t>
      </w:r>
    </w:p>
    <w:p>
      <w:pPr>
        <w:spacing w:after="0" w:line="140" w:lineRule="exact"/>
        <w:rPr>
          <w:sz w:val="20"/>
          <w:szCs w:val="20"/>
          <w:color w:val="auto"/>
        </w:rPr>
      </w:pPr>
    </w:p>
    <w:p>
      <w:pPr>
        <w:ind w:firstLine="464"/>
        <w:spacing w:after="0" w:line="290"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If at any time the aggregate principal amount of all outstanding Revolving Loans, together with the aggregate amount of all Letter of Credit Liabilities, the aggregate principal amount of all outstanding Bid Rate Loans and the aggregate principal amount of all outstanding Swingline Loans, exceeds the aggregate amount of the Commitments in effect at such time, the Borrower shall immediately pay to the Agent for the accounts of the Lenders the amount of such excess. Such payment shall be applied to pay all amounts of principal outstanding on the Loans and any due and unpaid Reimbursement Obligations pro rata in accordance with Section 3.2. and if any Letters of Credit are outstanding at such time, the remainder, if any, shall be deposited into the Collateral Account for application to any Reimbursement Obligations. If the Borrower is required to pay any outstanding LIBOR Loans or Bid Rate Loans by reason of this Section prior to the end of the applicable Interest Period therefor, the Borrower shall pay all amounts due under Section 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Continuation.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2.10. or the Borrower’s failure to comply with any of the terms of such Section.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2.10. Conversion.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 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2.11. Notes.</w:t>
      </w:r>
    </w:p>
    <w:p>
      <w:pPr>
        <w:spacing w:after="0" w:line="96" w:lineRule="exact"/>
        <w:rPr>
          <w:sz w:val="20"/>
          <w:szCs w:val="20"/>
          <w:color w:val="auto"/>
        </w:rPr>
      </w:pPr>
    </w:p>
    <w:p>
      <w:pPr>
        <w:ind w:right="140"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Revolving Note</w:t>
      </w:r>
      <w:r>
        <w:rPr>
          <w:rFonts w:ascii="Arial" w:cs="Arial" w:eastAsia="Arial" w:hAnsi="Arial"/>
          <w:sz w:val="18"/>
          <w:szCs w:val="18"/>
          <w:color w:val="auto"/>
        </w:rPr>
        <w:t>. The Revolving Loans made by each Lender shall, in addition to this Agreement, also be evidenced by a promissory note of the Borrower substantially in the form of Exhibit K (each a “</w:t>
      </w:r>
      <w:r>
        <w:rPr>
          <w:rFonts w:ascii="Arial" w:cs="Arial" w:eastAsia="Arial" w:hAnsi="Arial"/>
          <w:sz w:val="18"/>
          <w:szCs w:val="18"/>
          <w:b w:val="1"/>
          <w:bCs w:val="1"/>
          <w:color w:val="auto"/>
        </w:rPr>
        <w:t>Revolving Note</w:t>
      </w:r>
      <w:r>
        <w:rPr>
          <w:rFonts w:ascii="Arial" w:cs="Arial" w:eastAsia="Arial" w:hAnsi="Arial"/>
          <w:sz w:val="18"/>
          <w:szCs w:val="18"/>
          <w:color w:val="auto"/>
        </w:rPr>
        <w:t>”), payable to the order of such Lender in a principal amount equal to the amount of its Commitment as originally in effect and otherwise duly completed.</w:t>
      </w:r>
    </w:p>
    <w:p>
      <w:pPr>
        <w:spacing w:after="0" w:line="140" w:lineRule="exact"/>
        <w:rPr>
          <w:rFonts w:ascii="Arial" w:cs="Arial" w:eastAsia="Arial" w:hAnsi="Arial"/>
          <w:sz w:val="18"/>
          <w:szCs w:val="18"/>
          <w:color w:val="auto"/>
        </w:rPr>
      </w:pPr>
    </w:p>
    <w:p>
      <w:pPr>
        <w:ind w:right="10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Bid Rate Notes</w:t>
      </w:r>
      <w:r>
        <w:rPr>
          <w:rFonts w:ascii="Arial" w:cs="Arial" w:eastAsia="Arial" w:hAnsi="Arial"/>
          <w:sz w:val="16"/>
          <w:szCs w:val="16"/>
          <w:color w:val="auto"/>
        </w:rPr>
        <w:t>. The Bid Rate Loans made by any Lender shall, in addition to this Agreement, also be evidenced by a promissory note of the Borrower substantially in the form of Exhibit L (each a “</w:t>
      </w:r>
      <w:r>
        <w:rPr>
          <w:rFonts w:ascii="Arial" w:cs="Arial" w:eastAsia="Arial" w:hAnsi="Arial"/>
          <w:sz w:val="16"/>
          <w:szCs w:val="16"/>
          <w:b w:val="1"/>
          <w:bCs w:val="1"/>
          <w:color w:val="auto"/>
        </w:rPr>
        <w:t>Bid Rate Note</w:t>
      </w:r>
      <w:r>
        <w:rPr>
          <w:rFonts w:ascii="Arial" w:cs="Arial" w:eastAsia="Arial" w:hAnsi="Arial"/>
          <w:sz w:val="16"/>
          <w:szCs w:val="16"/>
          <w:color w:val="auto"/>
        </w:rPr>
        <w:t>”), payable to the order of such Lender and otherwise duly completed.</w:t>
      </w:r>
    </w:p>
    <w:p>
      <w:pPr>
        <w:spacing w:after="0" w:line="85" w:lineRule="exact"/>
        <w:rPr>
          <w:rFonts w:ascii="Arial" w:cs="Arial" w:eastAsia="Arial" w:hAnsi="Arial"/>
          <w:sz w:val="16"/>
          <w:szCs w:val="16"/>
          <w:color w:val="auto"/>
        </w:rPr>
      </w:pPr>
    </w:p>
    <w:p>
      <w:pPr>
        <w:jc w:val="both"/>
        <w:ind w:right="160" w:firstLine="464"/>
        <w:spacing w:after="0" w:line="25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43"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Lost, Stolen, Destroyed or Mutilated Notes</w:t>
      </w:r>
      <w:r>
        <w:rPr>
          <w:rFonts w:ascii="Arial" w:cs="Arial" w:eastAsia="Arial" w:hAnsi="Arial"/>
          <w:sz w:val="18"/>
          <w:szCs w:val="18"/>
          <w:color w:val="auto"/>
        </w:rPr>
        <w:t>. Upon receipt by the Borrower of (i) written notice from a Lender that a Note of such Lender has been lost, stolen, destroyed or mutilated, and (ii) (A) in the case of loss, theft or destruction, an unsecured agreement of indemnity from such Lender in form reasonably satisfactory to the</w:t>
      </w:r>
    </w:p>
    <w:p>
      <w:pPr>
        <w:spacing w:after="0" w:line="12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42 –</w:t>
      </w:r>
    </w:p>
    <w:p>
      <w:pPr>
        <w:sectPr>
          <w:pgSz w:w="11900" w:h="16838" w:orient="portrait"/>
          <w:cols w:equalWidth="0" w:num="1">
            <w:col w:w="11400"/>
          </w:cols>
          <w:pgMar w:left="240" w:top="274" w:right="259" w:bottom="1440" w:gutter="0" w:footer="0" w:header="0"/>
        </w:sectPr>
      </w:pPr>
    </w:p>
    <w:bookmarkStart w:id="52" w:name="page53"/>
    <w:bookmarkEnd w:id="5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2.12. Voluntary Reductions of the Commitments.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Borrower shall have the right to terminate or reduce the aggregate unused amount of the Commitments (for which purpose use of the Commitments shall be deemed to include the aggregate amount of Letter of Credit Liabilities and the aggregate principal amount of all outstanding Swingline Loans and Bid Rate Loans) at any time and from time to time without penalty or premium upon not less than 5 Business Days prior written notice to the Agent of each such termination or reduction, which notice shall specify the effective date thereof and the amount of any such reduction and shall be irrevocable once given and effective only upon receipt by the Agent; provided, however, (i) no reduction of the Commitments shall be permitted if such reduction would result in a violation of Section 2.15. and (ii) if the Borrower seeks to reduce the aggregate amount of the Commitments below $150,000,000, then the Commitments, the L/C Commitment and the Swingline Commitment shall all automatically and permanently be reduced to zero. The Agent will promptly transmit such notice to each Lender. The Commitments, once terminated or reduced may not be increased or reinstated.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Extension of Termination Date.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Borrower shall have the right, exercisable one time, to extend the Termination Date for one year. The Borrower may exercise such right only by executing and delivering to the Agent at least 90 days but not more than 180 days prior to the current Termination Date, a written request for such extension (an “</w:t>
      </w:r>
      <w:r>
        <w:rPr>
          <w:rFonts w:ascii="Arial" w:cs="Arial" w:eastAsia="Arial" w:hAnsi="Arial"/>
          <w:sz w:val="16"/>
          <w:szCs w:val="16"/>
          <w:b w:val="1"/>
          <w:bCs w:val="1"/>
          <w:color w:val="auto"/>
        </w:rPr>
        <w:t>Extension Request</w:t>
      </w:r>
      <w:r>
        <w:rPr>
          <w:rFonts w:ascii="Arial" w:cs="Arial" w:eastAsia="Arial" w:hAnsi="Arial"/>
          <w:sz w:val="16"/>
          <w:szCs w:val="16"/>
          <w:color w:val="auto"/>
        </w:rPr>
        <w:t>”). The Agent shall forward to each Lender a copy of the Extension Request delivered to the Agent promptly upon receipt thereof. Subject to satisfaction of the following conditions, the Termination Date shall be extended for one year effective upon receipt of the Extension Request and payment of the fee referred to in the following clause (b): (a) immediately prior to such extension and immediately after giving effect thereto, (i) no Default or Event of Default shall exist and (ii) the representations and warranties made or deemed made by the Borrower and each other Loan Party in the Loan Documents to which any of them is a party shall be true and correct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and (b) the Borrower shall have paid the Fees payable under Section 3.6.(c).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Expiration or Maturity Date of Letters of Credit Past Termination Date.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on the date the Commitments are terminated or reduced to zero (whether voluntarily, by reason of the occurrence of an Event of Default or otherwise), there 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60"/>
          </w:cols>
          <w:pgMar w:left="240" w:top="280" w:right="299" w:bottom="1440" w:gutter="0" w:footer="0" w:header="0"/>
        </w:sectPr>
      </w:pPr>
    </w:p>
    <w:bookmarkStart w:id="53" w:name="page54"/>
    <w:bookmarkEnd w:id="5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Letters of Credit outstanding hereunder, the Borrower shall, on such date, pay to the Agent an amount of money equal to the Stated Amount of such Letter(s) of Credit for deposit into the Collateral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Amount Limitations.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any other term of this Agreement or any other Loan Document, no Lender shall be required to make a Loan (nor shall any Bid Rate Loan be made), the Agent shall not be required to issue a Letter of Credit and no reduction of the Commitments pursuant to Section 2.12. shall take effect, if immediately after the making of such Loan, the issuance of such Letter of Credit or such reduction in the Commitments:</w:t>
      </w:r>
    </w:p>
    <w:p>
      <w:pPr>
        <w:spacing w:after="0" w:line="107" w:lineRule="exact"/>
        <w:rPr>
          <w:sz w:val="20"/>
          <w:szCs w:val="20"/>
          <w:color w:val="auto"/>
        </w:rPr>
      </w:pPr>
    </w:p>
    <w:p>
      <w:pPr>
        <w:jc w:val="both"/>
        <w:ind w:firstLine="464"/>
        <w:spacing w:after="0" w:line="259"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principal amount of all outstanding Revolving Loans, together with the aggregate principal amount of all outstanding Bid Rate Loans, the aggregate principal amount of all outstanding Swingline Loans and the aggregate amount of all Letter of Credit Liabilities, would exceed the aggregate amount of the Commitments at such time; or</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all outstanding Bid Rate Loans would exceed 50% of the aggregate amount of the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Lenders may accept requests for Bid Rate Loans in an aggregate principal amount in excess of 50%, but not in excess of 75%, of the aggregate amount of the Commitments once per calendar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2.16. Increase of Commitments.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 the prior consent of the Agent, the Borrower shall have the right at any time and from time to time to request increases in the aggregate amount of the Commitments (provided that after giving effect to any increases in the Commitments pursuant to this Section, the aggregate amount of the Commitments may not exceed $500,000,000) by providing written notice to the Agent, which notice shall be irrevocable once given. Each such increase in the Commitments must be in an aggregate minimum amount of $10,000,000 and integral multiples of $1,000,000 in excess thereof. No Lender shall be required to increase its Commitment and any new Lender becoming a party to this Agreement in connection with any such requested increase must be an Eligible Assignee. If a new Lender becomes a party to this Agreement, or if any existing Lender agrees to increase its Commitment, such Lender shall on the date it becomes a Lender hereunder (or increases its Commitment, in the case of an existing Lender) (and as a condition thereto) purchase from the other Lenders its Commitment Percentage (or in the case of an existing Lender, the increase in the amount of its Commitment Percentage, in each case as determined after giving effect to the increase of Commitments) of any outstanding Revolving Loans and Letter of Credit Liabilities, by making available to the Agent for the account of such other Lenders at the Principal Office, in same day funds, an amount equal to the sum of (A) the portion of the outstanding principal amount of such Revolving Loans to be purchased by such Lender plus (B) the aggregate amount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80"/>
          </w:cols>
          <w:pgMar w:left="240" w:top="280" w:right="27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previously made by the other Lenders under Section 2.4.(j) which have not been repaid plus (C) interest accrued and unpaid to and as of such date on such portion of the outstanding principal amount of such Revolving Loans. The Borrower shall pay to the Lenders amounts payable, if any, to such Lenders under Section 4.4. as a result of the prepayment of any such Revolving Loans. In connection with any increase of the Commitments effected under this Section, (i) the Borrower shall deliver to the Agent such certificates, documents and opinions as the Agent on behalf of the Lenders may reasonably request to evidence the Borrower’s corporate authority to request such increase and each Guarantor’s corporate authority to guarantee such increase and (ii) (A) the Borrower shall certify to any Person to become a Lender or any Lender increasing the amount of its Commitment whether (x) a Default or Event of Default exists on the effective date of such increase and (y) any representation or warranty made or deemed made by the Borrower or any other Loan Party in any Loan Document to which any such Loan Party is a party is not true or correct on the effective date of such increase (except for representations or warranties which expressly relate solely to an earlier date) and (B) if a Default or Event of Default exists or any such representation or warranty is not true or correct on the effective date of such increase, any Person to become a Lender or any Lender to increase the amount of its Commitment may in its sole discretion elect not to do so. In connection with any increase in the aggregate amount of the Commitments pursuant to this subsection, (a) any Lender becoming a party hereto shall execute such documents and agreements as the Agent may reasonably request and (b) the Borrower shall make appropriate arrangements so that each new Lender, and any existing Lender increasing its Commitment, receives a new or replacement Note, as appropriate, in the amount of such Lender’s Commitment within 2 Business Days of the effectiveness of the applicable increase in the aggregate amount of Commitments.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right="60" w:firstLine="464"/>
        <w:spacing w:after="0" w:line="288"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 Borrower may, at the time of making each payment under this Agreement or any Note, specify to the Agent the amounts payable by the Borrower hereunder to which such payment is to be applied and if the Borrower fails to so specify, any such payment shall be applied as provided in the immediately following subsection (b).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w:t>
      </w:r>
    </w:p>
    <w:p>
      <w:pPr>
        <w:spacing w:after="0" w:line="106"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45 –</w:t>
      </w:r>
    </w:p>
    <w:p>
      <w:pPr>
        <w:sectPr>
          <w:pgSz w:w="11900" w:h="16838" w:orient="portrait"/>
          <w:cols w:equalWidth="0" w:num="1">
            <w:col w:w="11420"/>
          </w:cols>
          <w:pgMar w:left="240" w:top="280" w:right="239" w:bottom="1440" w:gutter="0" w:footer="0" w:header="0"/>
        </w:sectPr>
      </w:pPr>
    </w:p>
    <w:bookmarkStart w:id="55" w:name="page56"/>
    <w:bookmarkEnd w:id="5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32" w:lineRule="exact"/>
        <w:rPr>
          <w:sz w:val="20"/>
          <w:szCs w:val="20"/>
          <w:color w:val="auto"/>
        </w:rPr>
      </w:pPr>
    </w:p>
    <w:p>
      <w:pPr>
        <w:ind w:firstLine="464"/>
        <w:spacing w:after="0" w:line="256"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Order of Application of Principal Payments</w:t>
      </w:r>
      <w:r>
        <w:rPr>
          <w:rFonts w:ascii="Arial" w:cs="Arial" w:eastAsia="Arial" w:hAnsi="Arial"/>
          <w:sz w:val="18"/>
          <w:szCs w:val="18"/>
          <w:color w:val="auto"/>
        </w:rPr>
        <w:t>. Subject to Section 10.3., if at the time of the making of any principal payment hereunder the Borrower fails to specify to which amounts such principal payment is to be applied, such principal payment shall be applied in the following order and priority: first, to the Swingline Loans; second, to the Revolving Loans; and third, to the then outstanding Bid Rate Loans to the extent such Bid Rate Loans are then due and payable or may be prepaid pursuant to Section 2.8.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to the extent otherwise provided herein:</w:t>
      </w:r>
    </w:p>
    <w:p>
      <w:pPr>
        <w:spacing w:after="0" w:line="171" w:lineRule="exact"/>
        <w:rPr>
          <w:sz w:val="20"/>
          <w:szCs w:val="20"/>
          <w:color w:val="auto"/>
        </w:rPr>
      </w:pPr>
    </w:p>
    <w:p>
      <w:pPr>
        <w:ind w:right="400" w:firstLine="464"/>
        <w:spacing w:after="0" w:line="25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borrowing of Revolving Loans under Section 2.1.(a), 2.3.(e) and 2.4.(e) shall be made from the Lenders, each payment of the Fees under Section 3.6.(a), the first sentence of Section 3.6.(b) and Section 3.6.(c) shall be made for the account of the Lenders, and each termination or reduction of the amount of the Commitments under Section 2.12. shall be applied to the respective Commitments of the Lenders, pro rata according to the amounts of their respective Commitments;</w:t>
      </w:r>
    </w:p>
    <w:p>
      <w:pPr>
        <w:spacing w:after="0" w:line="143" w:lineRule="exact"/>
        <w:rPr>
          <w:rFonts w:ascii="Arial" w:cs="Arial" w:eastAsia="Arial" w:hAnsi="Arial"/>
          <w:sz w:val="18"/>
          <w:szCs w:val="18"/>
          <w:color w:val="auto"/>
        </w:rPr>
      </w:pPr>
    </w:p>
    <w:p>
      <w:pPr>
        <w:ind w:right="60" w:firstLine="464"/>
        <w:spacing w:after="0" w:line="318" w:lineRule="auto"/>
        <w:tabs>
          <w:tab w:leader="none" w:pos="705" w:val="left"/>
        </w:tabs>
        <w:numPr>
          <w:ilvl w:val="0"/>
          <w:numId w:val="45"/>
        </w:numPr>
        <w:rPr>
          <w:rFonts w:ascii="Arial" w:cs="Arial" w:eastAsia="Arial" w:hAnsi="Arial"/>
          <w:sz w:val="15"/>
          <w:szCs w:val="15"/>
          <w:color w:val="auto"/>
        </w:rPr>
      </w:pPr>
      <w:r>
        <w:rPr>
          <w:rFonts w:ascii="Arial" w:cs="Arial" w:eastAsia="Arial" w:hAnsi="Arial"/>
          <w:sz w:val="15"/>
          <w:szCs w:val="15"/>
          <w:color w:val="auto"/>
        </w:rPr>
        <w:t>each payment or prepayment of principal of Revolving Loans by the Borrower shall be made for the account of the Lenders pro rata in accordance with the respective unpaid principal amounts of the Revolving Loans held by them, provided that if immediately prior to giving effect to any such payment in respect of any Revolving Loans the outstanding principal amount of the Revolving Loans shall not be held by the Lenders pro rata in accordance with their respective Commitments in effect at the time such Loans were made, then such payment shall be applied to the Revolving Loans in such manner as shall result, as nearly as is practicable, in the outstanding principal amount of the Revolving Loans being held by the Lenders pro rata in accordance with their respective Commitments;</w:t>
      </w:r>
    </w:p>
    <w:p>
      <w:pPr>
        <w:spacing w:after="0" w:line="99" w:lineRule="exact"/>
        <w:rPr>
          <w:rFonts w:ascii="Arial" w:cs="Arial" w:eastAsia="Arial" w:hAnsi="Arial"/>
          <w:sz w:val="15"/>
          <w:szCs w:val="15"/>
          <w:color w:val="auto"/>
        </w:rPr>
      </w:pPr>
    </w:p>
    <w:p>
      <w:pPr>
        <w:ind w:right="120" w:firstLine="464"/>
        <w:spacing w:after="0" w:line="268"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payment of interest on Revolving Loans by the Borrower shall be made for the account of the Lenders pro rata in accordance with the amounts of interest on such Loans then due and payable to the respective Lenders;</w:t>
      </w:r>
    </w:p>
    <w:p>
      <w:pPr>
        <w:spacing w:after="0" w:line="131" w:lineRule="exact"/>
        <w:rPr>
          <w:rFonts w:ascii="Arial" w:cs="Arial" w:eastAsia="Arial" w:hAnsi="Arial"/>
          <w:sz w:val="18"/>
          <w:szCs w:val="18"/>
          <w:color w:val="auto"/>
        </w:rPr>
      </w:pPr>
    </w:p>
    <w:p>
      <w:pPr>
        <w:ind w:firstLine="464"/>
        <w:spacing w:after="0" w:line="256"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Conversion and Continuation of Revolving Loans of a particular Type (other than Conversions provided for by Section 4.5.) shall be made pro rata among the Lenders according to the amounts of their respective Commitments (in the case of making of Revolving Loans) or their respective Revolving Loans (in the case of Conversions and Continuations of Revolving Loans) and the then current Interest Period for each Lender’s portion of each Loan of such Type shall be coterminous;</w:t>
      </w:r>
    </w:p>
    <w:p>
      <w:pPr>
        <w:spacing w:after="0" w:line="12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46 –</w:t>
      </w:r>
    </w:p>
    <w:p>
      <w:pPr>
        <w:sectPr>
          <w:pgSz w:w="11900" w:h="16838" w:orient="portrait"/>
          <w:cols w:equalWidth="0" w:num="1">
            <w:col w:w="11420"/>
          </w:cols>
          <w:pgMar w:left="240" w:top="280" w:right="239" w:bottom="1440" w:gutter="0" w:footer="0" w:header="0"/>
        </w:sectPr>
      </w:pPr>
    </w:p>
    <w:bookmarkStart w:id="56" w:name="page57"/>
    <w:bookmarkEnd w:id="56"/>
    <w:p>
      <w:pPr>
        <w:ind w:right="420" w:firstLine="464"/>
        <w:spacing w:after="0" w:line="268"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Lenders’ participation in, and payment obligations in respect of, Letters of Credit under Section 2.4., shall be pro rata in accordance with their respective Commitments; and</w:t>
      </w:r>
    </w:p>
    <w:p>
      <w:pPr>
        <w:spacing w:after="0" w:line="131" w:lineRule="exact"/>
        <w:rPr>
          <w:rFonts w:ascii="Arial" w:cs="Arial" w:eastAsia="Arial" w:hAnsi="Arial"/>
          <w:sz w:val="18"/>
          <w:szCs w:val="18"/>
          <w:color w:val="auto"/>
        </w:rPr>
      </w:pPr>
    </w:p>
    <w:p>
      <w:pPr>
        <w:ind w:right="420" w:firstLine="464"/>
        <w:spacing w:after="0" w:line="268" w:lineRule="auto"/>
        <w:tabs>
          <w:tab w:leader="none" w:pos="6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Lenders’ participation in, and payment obligations in respect of, Swingline Loans under Section 2.3., shall be pro rata in accordance with their respective Commitments.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payments of principal, interest, fees and other amounts in respect of the Swingline Loans shall be for the account of the Swingline Lender only (except to the extent any Lender shall have acquired a participating interest in any such Swingline Loan pursuant to Section 2.3.(e), in which case such payments shall be pro rata in accordance with such participating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Lender shall obtain payment of any principal of, or interest on, any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 Lender shall be responsible for the failure of any other Lender to make a Loan or to perform any other obligation to be made or performed by such other Lender hereunder, and the failure of any Lender to make a Loan or to perform any other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60"/>
          </w:cols>
          <w:pgMar w:left="240" w:top="280" w:right="299" w:bottom="1440" w:gutter="0" w:footer="0" w:header="0"/>
        </w:sectPr>
      </w:pPr>
    </w:p>
    <w:bookmarkStart w:id="57" w:name="page58"/>
    <w:bookmarkEnd w:id="5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to be made or performed by it hereunder shall not relieve the obligation of any other Lender to make any Loan or to perform any other obligation to be made or performed by such other Lender.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Minimum Amounts.</w:t>
      </w:r>
    </w:p>
    <w:p>
      <w:pPr>
        <w:spacing w:after="0" w:line="96" w:lineRule="exact"/>
        <w:rPr>
          <w:sz w:val="20"/>
          <w:szCs w:val="20"/>
          <w:color w:val="auto"/>
        </w:rPr>
      </w:pPr>
    </w:p>
    <w:p>
      <w:pPr>
        <w:ind w:right="40" w:firstLine="464"/>
        <w:spacing w:after="0" w:line="306"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Borrowings and Conversions</w:t>
      </w:r>
      <w:r>
        <w:rPr>
          <w:rFonts w:ascii="Arial" w:cs="Arial" w:eastAsia="Arial" w:hAnsi="Arial"/>
          <w:sz w:val="16"/>
          <w:szCs w:val="16"/>
          <w:color w:val="auto"/>
        </w:rPr>
        <w:t>. Except as otherwise provided in Sections 2.3.(e) and 2.4.(e), each borrowing of Base Rate Loans shall be in an aggregate minimum amount of $1,000,000 and integral multiples of $500,000 in excess thereof. Each borrowing and each Conversion of LIBOR Loans shall be in an aggregate minimum amount of $1,000,000 and integral multiples of $1,000,000 in excess of that amount.</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Prepayments</w:t>
      </w:r>
      <w:r>
        <w:rPr>
          <w:rFonts w:ascii="Arial" w:cs="Arial" w:eastAsia="Arial" w:hAnsi="Arial"/>
          <w:sz w:val="16"/>
          <w:szCs w:val="16"/>
          <w:color w:val="auto"/>
        </w:rPr>
        <w:t>. Each voluntary prepayment of Revolving Loans shall be in an aggregate minimum amount of $1,000,000 and integral multiples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$100,000 in excess thereof (or, if less, the aggregate principal amount of Loans then outstanding).</w:t>
      </w:r>
    </w:p>
    <w:p>
      <w:pPr>
        <w:spacing w:after="0" w:line="165" w:lineRule="exact"/>
        <w:rPr>
          <w:sz w:val="20"/>
          <w:szCs w:val="20"/>
          <w:color w:val="auto"/>
        </w:rPr>
      </w:pPr>
    </w:p>
    <w:p>
      <w:pPr>
        <w:ind w:right="300" w:firstLine="464"/>
        <w:spacing w:after="0" w:line="268"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Reductions of Commitments</w:t>
      </w:r>
      <w:r>
        <w:rPr>
          <w:rFonts w:ascii="Arial" w:cs="Arial" w:eastAsia="Arial" w:hAnsi="Arial"/>
          <w:sz w:val="18"/>
          <w:szCs w:val="18"/>
          <w:color w:val="auto"/>
        </w:rPr>
        <w:t>. Each reduction of the Commitments under Section 2.12. shall be in an aggregate minimum amount of $5,000,000 and integral multiples of $1,000,000 in excess thereof.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The initial Stated Amount of each Letter of Credit shall be at least $50,000.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Fees.</w:t>
      </w:r>
    </w:p>
    <w:p>
      <w:pPr>
        <w:spacing w:after="0" w:line="96" w:lineRule="exact"/>
        <w:rPr>
          <w:sz w:val="20"/>
          <w:szCs w:val="20"/>
          <w:color w:val="auto"/>
        </w:rPr>
      </w:pPr>
    </w:p>
    <w:p>
      <w:pPr>
        <w:jc w:val="both"/>
        <w:ind w:right="60" w:firstLine="464"/>
        <w:spacing w:after="0" w:line="298"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Revolving Facility Fees</w:t>
      </w:r>
      <w:r>
        <w:rPr>
          <w:rFonts w:ascii="Arial" w:cs="Arial" w:eastAsia="Arial" w:hAnsi="Arial"/>
          <w:sz w:val="16"/>
          <w:szCs w:val="16"/>
          <w:color w:val="auto"/>
        </w:rPr>
        <w:t>. The Borrower agrees to pay to the Agent for the account of each Lender a facility fee equal to the average daily amount of the Commitment of such Lender (whether or not utilized) times the Facility Fee for the period from and including the Agreement Date to but excluding the date such Commitment is terminated or reduced to zero or the Termination Date, such fee to be paid in arrears on (i) the last day of March, June, September and December in each year, (ii) the date of each reduction in the Commitments (but only on the amount of the reduction) and (iii) on the Termination Date.</w:t>
      </w:r>
    </w:p>
    <w:p>
      <w:pPr>
        <w:spacing w:after="0" w:line="112" w:lineRule="exact"/>
        <w:rPr>
          <w:rFonts w:ascii="Arial" w:cs="Arial" w:eastAsia="Arial" w:hAnsi="Arial"/>
          <w:sz w:val="16"/>
          <w:szCs w:val="16"/>
          <w:color w:val="auto"/>
        </w:rPr>
      </w:pPr>
    </w:p>
    <w:p>
      <w:pPr>
        <w:ind w:firstLine="464"/>
        <w:spacing w:after="0" w:line="290"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agrees to pay to the Agent for the account of each Lender a letter of credit fee at a rate per annum equal to the Applicable Margin for LIBOR Loans times the daily average Stated Amount of each Letter of Credit for the period from and including the date of issuance of such Letter of Credit (x) through and including the date such Letter of Credit expires or is terminated or (y) to but excluding the date such Letter of Credit is drawn in full and is not subject to reinstatement, as the case may be. The fees provided for in the immediately preceding sentence shall be nonrefundable and payable in arrears on (i) the last day of March, June, September and December in each year, (ii) the Termination Date, (iii) the date the Commitments are terminated or reduced to zero and (iv) following the occurrence of the events referred to in either the preceding clause (ii) or (iii), from time to time on demand of the Agent. In addition, the Borrower shall pay to the Agent for its own account and</w:t>
      </w:r>
    </w:p>
    <w:p>
      <w:pPr>
        <w:spacing w:after="0" w:line="104"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48 –</w:t>
      </w:r>
    </w:p>
    <w:p>
      <w:pPr>
        <w:sectPr>
          <w:pgSz w:w="11900" w:h="16838" w:orient="portrait"/>
          <w:cols w:equalWidth="0" w:num="1">
            <w:col w:w="11380"/>
          </w:cols>
          <w:pgMar w:left="240" w:top="280" w:right="27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the account of any Lender, an issuance fee in respect of each Letter of Credit equal to the greater of (i) $500 or (ii) one-eighth of one percent (0.125%) per annum on the initial Stated Amount of such Letter of Credit payable (A) for the period from and including the date of issuance of such Letter of Credit through and including the expiration date of such Letter of Credit and (B) if the expiration date of any Letter of Credit is extended (whether as a result of the operation of an automatic extension clause or otherwise), for the period from but excluding the previous expiration date to and including the extended expiration date. The fees provided for in the immediately preceding sentence shall be nonrefundable and payable upon issuance (or in the case of an extension of the expiration date, on the previous expiration date). The Borrower shall pay directly to the Agent from time to time on demand all commissions, charges, costs and expenses in the amounts customarily charged by the Agent from time to time in like circumstances with respect to the issuance of each Letter of Credit, drawings, amendments and other transactions relating thereto.</w:t>
      </w:r>
    </w:p>
    <w:p>
      <w:pPr>
        <w:spacing w:after="0" w:line="118" w:lineRule="exact"/>
        <w:rPr>
          <w:sz w:val="20"/>
          <w:szCs w:val="20"/>
          <w:color w:val="auto"/>
        </w:rPr>
      </w:pPr>
    </w:p>
    <w:p>
      <w:pPr>
        <w:jc w:val="both"/>
        <w:ind w:right="260" w:firstLine="464"/>
        <w:spacing w:after="0" w:line="306"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Extension Fee</w:t>
      </w:r>
      <w:r>
        <w:rPr>
          <w:rFonts w:ascii="Arial" w:cs="Arial" w:eastAsia="Arial" w:hAnsi="Arial"/>
          <w:sz w:val="16"/>
          <w:szCs w:val="16"/>
          <w:color w:val="auto"/>
        </w:rPr>
        <w:t>. If the Borrower exercises its right to extend the Termination Date in accordance with Section 2.13., the Borrower agrees to pay to the Agent for the account of each Lender a fee equal to fifteen-one hundreths of one percent (0.15%) of the amount of such Lender’s Commitment (whether or not utilized) at the time of such extension. Such fee shall be due and payable in full on the date the Agent receives the Extension Request.</w:t>
      </w:r>
    </w:p>
    <w:p>
      <w:pPr>
        <w:spacing w:after="0" w:line="106" w:lineRule="exact"/>
        <w:rPr>
          <w:rFonts w:ascii="Arial" w:cs="Arial" w:eastAsia="Arial" w:hAnsi="Arial"/>
          <w:sz w:val="16"/>
          <w:szCs w:val="16"/>
          <w:color w:val="auto"/>
        </w:rPr>
      </w:pPr>
    </w:p>
    <w:p>
      <w:pPr>
        <w:ind w:right="60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Administrative and Other Fees</w:t>
      </w:r>
      <w:r>
        <w:rPr>
          <w:rFonts w:ascii="Arial" w:cs="Arial" w:eastAsia="Arial" w:hAnsi="Arial"/>
          <w:sz w:val="18"/>
          <w:szCs w:val="18"/>
          <w:color w:val="auto"/>
        </w:rPr>
        <w:t>. The Borrower agrees to pay the administrative and other fees of the Agent as may be agreed to in writing by the Borrower and the Agent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Computations.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Usury.</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3.9. Agreement Regarding Interest and Charges.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parties hereto hereby agree and stipulate that the only charge imposed upon the Borrower for the use of money in connection with this Agreement is and shall be the interest specifically described in Section 2.5.(a)(i) through (iv) and in Section 2.3.(c).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Statements of Account.</w:t>
      </w:r>
    </w:p>
    <w:p>
      <w:pPr>
        <w:spacing w:after="0" w:line="9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Agent will account to the Borrower monthly with a statement of Loans, Letters of Credit,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Defaulting Lenders.</w:t>
      </w:r>
    </w:p>
    <w:p>
      <w:pPr>
        <w:spacing w:after="0" w:line="90" w:lineRule="exact"/>
        <w:rPr>
          <w:sz w:val="20"/>
          <w:szCs w:val="20"/>
          <w:color w:val="auto"/>
        </w:rPr>
      </w:pPr>
    </w:p>
    <w:p>
      <w:pPr>
        <w:ind w:firstLine="464"/>
        <w:spacing w:after="0" w:line="288"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If for any reason any Lender (a “</w:t>
      </w:r>
      <w:r>
        <w:rPr>
          <w:rFonts w:ascii="Arial" w:cs="Arial" w:eastAsia="Arial" w:hAnsi="Arial"/>
          <w:sz w:val="16"/>
          <w:szCs w:val="16"/>
          <w:b w:val="1"/>
          <w:bCs w:val="1"/>
          <w:color w:val="auto"/>
        </w:rPr>
        <w:t>Defaulting Lender</w:t>
      </w:r>
      <w:r>
        <w:rPr>
          <w:rFonts w:ascii="Arial" w:cs="Arial" w:eastAsia="Arial" w:hAnsi="Arial"/>
          <w:sz w:val="16"/>
          <w:szCs w:val="16"/>
          <w:color w:val="auto"/>
        </w:rPr>
        <w:t>”) shall fail or refuse to perform any of its obligations under this Agreement or any other Loan Document to which it is a party within the time period specified for performance of such obligation or, if no time period is specified, if such failure or refusal continues for a period of two Business Days after notice from the Agent,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pendency of such failure or refusal. If a Lender is a Defaulting Lender because it has failed to make timely payment to the Agent of any amount required to be paid to the Agent hereunder (without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w:t>
      </w:r>
    </w:p>
    <w:p>
      <w:pPr>
        <w:spacing w:after="0" w:line="107"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50 –</w:t>
      </w:r>
    </w:p>
    <w:p>
      <w:pPr>
        <w:sectPr>
          <w:pgSz w:w="11900" w:h="16838" w:orient="portrait"/>
          <w:cols w:equalWidth="0" w:num="1">
            <w:col w:w="11400"/>
          </w:cols>
          <w:pgMar w:left="240" w:top="274" w:right="25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defaulted payment and any related interest, any amounts otherwise payable to such Defaulting Lender under this Agreement or any other Loan Document and</w:t>
      </w:r>
    </w:p>
    <w:p>
      <w:pPr>
        <w:spacing w:after="0" w:line="50" w:lineRule="exact"/>
        <w:rPr>
          <w:sz w:val="20"/>
          <w:szCs w:val="20"/>
          <w:color w:val="auto"/>
        </w:rPr>
      </w:pPr>
    </w:p>
    <w:p>
      <w:pPr>
        <w:ind w:right="180" w:firstLine="8"/>
        <w:spacing w:after="0" w:line="254" w:lineRule="auto"/>
        <w:tabs>
          <w:tab w:leader="none" w:pos="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bring an action or suit against such Defaulting Lender in a court of competent jurisdiction to recover the defaulted amount and any related interest. Any amounts received by the Agent in respect of a Defaulting Lender’s Loans shall not be paid to such Defaulting Lender and shall be held uninvested by the Agent and either applied against the purchase price of such Loans under the following subsection (b) or paid to such Defaulting Lender upon the Defaulting Lender’s curing of its default.</w:t>
      </w:r>
    </w:p>
    <w:p>
      <w:pPr>
        <w:spacing w:after="0" w:line="143" w:lineRule="exact"/>
        <w:rPr>
          <w:rFonts w:ascii="Arial" w:cs="Arial" w:eastAsia="Arial" w:hAnsi="Arial"/>
          <w:sz w:val="18"/>
          <w:szCs w:val="18"/>
          <w:color w:val="auto"/>
        </w:rPr>
      </w:pPr>
    </w:p>
    <w:p>
      <w:pPr>
        <w:ind w:firstLine="464"/>
        <w:spacing w:after="0" w:line="284" w:lineRule="auto"/>
        <w:tabs>
          <w:tab w:leader="none" w:pos="7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Purchase or Cancellation of Defaulting Lender’s Commitment</w:t>
      </w:r>
      <w:r>
        <w:rPr>
          <w:rFonts w:ascii="Arial" w:cs="Arial" w:eastAsia="Arial" w:hAnsi="Arial"/>
          <w:sz w:val="16"/>
          <w:szCs w:val="16"/>
          <w:color w:val="auto"/>
        </w:rPr>
        <w:t>. Any Lender who is not a Defaulting Lender shall have the right, but not the obligation, in its sole discretion, to acquire all of a Defaulting Lender’s Commitment. Any Lender desiring to exercise such right shall give written notice thereof to the Agent and the Borrower no sooner than 2 Business Days and not later than 5 Business Days after such Defaulting Lender became a Defaulting Lender. If more than one Lender exercises such right, each such Lender shall have the right to acquire an amount of such Defaulting Lender’s Commitment in proportion to the Commitments of the other Lenders exercising such right. If after such 5th Business Day, the Lenders have not elected to purchase all of the Commitment of such Defaulting Lender, then the Borrower may, by giving written notice thereof to the Agent, such Defaulting Lender and the other Lenders, either (i) demand that such Defaulting Lender assign its Commitment to an Eligible Assignee subject to and in accordance with the provisions of Section 12.5.(d) for the purchase price provided for below or (ii) terminate the Commitment of such Defaulting Lender, whereupon such Defaulting Lender shall no longer be a party hereto or have any rights or obligations hereunder or under any of the other Loan Documents. No party hereto shall have any obligation whatsoever to initiate any such replacement or to assist in finding an Eligible Assignee. Upon any such purchase or assignment, the Defaulting Lender’s interest in the Revolving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 12.5.(d), shall pay to the Agent an assignment fee in the amount of $7,000. The purchase price for the Commitment of a Defaulting Lender shall be equal to the amount of the principal balance of the Revolving Loans outstanding and owed by the Borrower to the Defaulting Lender. Prior to payment of such purchase price to a Defaulting Lender, the Agent shall apply against such purchase price any amounts retained by the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115"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51 –</w:t>
      </w:r>
    </w:p>
    <w:p>
      <w:pPr>
        <w:sectPr>
          <w:pgSz w:w="11900" w:h="16838" w:orient="portrait"/>
          <w:cols w:equalWidth="0" w:num="1">
            <w:col w:w="11400"/>
          </w:cols>
          <w:pgMar w:left="240" w:top="28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3.12. Taxes.</w:t>
      </w:r>
    </w:p>
    <w:p>
      <w:pPr>
        <w:spacing w:after="0" w:line="96" w:lineRule="exact"/>
        <w:rPr>
          <w:sz w:val="20"/>
          <w:szCs w:val="20"/>
          <w:color w:val="auto"/>
        </w:rPr>
      </w:pPr>
    </w:p>
    <w:p>
      <w:pPr>
        <w:ind w:right="20" w:firstLine="464"/>
        <w:spacing w:after="0" w:line="287"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Taxes Generally</w:t>
      </w:r>
      <w:r>
        <w:rPr>
          <w:rFonts w:ascii="Arial" w:cs="Arial" w:eastAsia="Arial" w:hAnsi="Arial"/>
          <w:sz w:val="16"/>
          <w:szCs w:val="16"/>
          <w:color w:val="auto"/>
        </w:rPr>
        <w:t>.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 (i) franchise taxes, (ii) any taxes (other than withholding taxes) with respect to the 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 (iii) 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 (v) any taxes arising after the Agreement Date solely as a result of or attributable to a Lender changing its designated Lending Office after the date such Lender becomes a party hereto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41" w:lineRule="exact"/>
        <w:rPr>
          <w:rFonts w:ascii="Arial" w:cs="Arial" w:eastAsia="Arial" w:hAnsi="Arial"/>
          <w:sz w:val="16"/>
          <w:szCs w:val="16"/>
          <w:color w:val="auto"/>
        </w:rPr>
      </w:pPr>
    </w:p>
    <w:p>
      <w:pPr>
        <w:ind w:left="460" w:right="460" w:firstLine="443"/>
        <w:spacing w:after="0" w:line="268" w:lineRule="auto"/>
        <w:tabs>
          <w:tab w:leader="none" w:pos="1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pay directly to the relevant Governmental Authority the full amount required to be so withheld or deducted prior to the date the same would become delinquent;</w:t>
      </w:r>
    </w:p>
    <w:p>
      <w:pPr>
        <w:spacing w:after="0" w:line="50" w:lineRule="exact"/>
        <w:rPr>
          <w:rFonts w:ascii="Arial" w:cs="Arial" w:eastAsia="Arial" w:hAnsi="Arial"/>
          <w:sz w:val="18"/>
          <w:szCs w:val="18"/>
          <w:color w:val="auto"/>
        </w:rPr>
      </w:pPr>
    </w:p>
    <w:p>
      <w:pPr>
        <w:ind w:left="460" w:right="980" w:firstLine="443"/>
        <w:spacing w:after="0" w:line="268" w:lineRule="auto"/>
        <w:tabs>
          <w:tab w:leader="none" w:pos="11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promptly forward to the Agent an official receipt or other documentation satisfactory to the Agent evidencing such payment to such Governmental Authority; and</w:t>
      </w:r>
    </w:p>
    <w:p>
      <w:pPr>
        <w:spacing w:after="0" w:line="50" w:lineRule="exact"/>
        <w:rPr>
          <w:rFonts w:ascii="Arial" w:cs="Arial" w:eastAsia="Arial" w:hAnsi="Arial"/>
          <w:sz w:val="18"/>
          <w:szCs w:val="18"/>
          <w:color w:val="auto"/>
        </w:rPr>
      </w:pPr>
    </w:p>
    <w:p>
      <w:pPr>
        <w:ind w:left="460" w:right="200" w:firstLine="443"/>
        <w:spacing w:after="0" w:line="335" w:lineRule="auto"/>
        <w:tabs>
          <w:tab w:leader="none" w:pos="1205" w:val="left"/>
        </w:tabs>
        <w:numPr>
          <w:ilvl w:val="1"/>
          <w:numId w:val="53"/>
        </w:numPr>
        <w:rPr>
          <w:rFonts w:ascii="Arial" w:cs="Arial" w:eastAsia="Arial" w:hAnsi="Arial"/>
          <w:sz w:val="15"/>
          <w:szCs w:val="15"/>
          <w:color w:val="auto"/>
        </w:rPr>
      </w:pPr>
      <w:r>
        <w:rPr>
          <w:rFonts w:ascii="Arial" w:cs="Arial" w:eastAsia="Arial" w:hAnsi="Arial"/>
          <w:sz w:val="15"/>
          <w:szCs w:val="15"/>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88" w:lineRule="exact"/>
        <w:rPr>
          <w:rFonts w:ascii="Arial" w:cs="Arial" w:eastAsia="Arial" w:hAnsi="Arial"/>
          <w:sz w:val="15"/>
          <w:szCs w:val="15"/>
          <w:color w:val="auto"/>
        </w:rPr>
      </w:pPr>
    </w:p>
    <w:p>
      <w:pPr>
        <w:jc w:val="both"/>
        <w:ind w:right="140" w:firstLine="464"/>
        <w:spacing w:after="0" w:line="303" w:lineRule="auto"/>
        <w:tabs>
          <w:tab w:leader="none" w:pos="705"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Tax Indemnification</w:t>
      </w:r>
      <w:r>
        <w:rPr>
          <w:rFonts w:ascii="Arial" w:cs="Arial" w:eastAsia="Arial" w:hAnsi="Arial"/>
          <w:sz w:val="15"/>
          <w:szCs w:val="15"/>
          <w:color w:val="auto"/>
        </w:rPr>
        <w:t>.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For purposes of this Section, a distribution hereunder by the Agent or any Lender to or for the account of any Lender shall be deemed a payment by the Borrower.</w:t>
      </w:r>
    </w:p>
    <w:p>
      <w:pPr>
        <w:spacing w:after="0" w:line="185" w:lineRule="exact"/>
        <w:rPr>
          <w:rFonts w:ascii="Arial" w:cs="Arial" w:eastAsia="Arial" w:hAnsi="Arial"/>
          <w:sz w:val="15"/>
          <w:szCs w:val="15"/>
          <w:color w:val="auto"/>
        </w:rPr>
      </w:pPr>
    </w:p>
    <w:p>
      <w:pPr>
        <w:ind w:left="5500"/>
        <w:spacing w:after="0"/>
        <w:rPr>
          <w:rFonts w:ascii="Arial" w:cs="Arial" w:eastAsia="Arial" w:hAnsi="Arial"/>
          <w:sz w:val="15"/>
          <w:szCs w:val="15"/>
          <w:color w:val="auto"/>
        </w:rPr>
      </w:pPr>
      <w:r>
        <w:rPr>
          <w:rFonts w:ascii="Arial" w:cs="Arial" w:eastAsia="Arial" w:hAnsi="Arial"/>
          <w:sz w:val="18"/>
          <w:szCs w:val="18"/>
          <w:color w:val="auto"/>
        </w:rPr>
        <w:t>– 52 –</w:t>
      </w:r>
    </w:p>
    <w:p>
      <w:pPr>
        <w:sectPr>
          <w:pgSz w:w="11900" w:h="16838" w:orient="portrait"/>
          <w:cols w:equalWidth="0" w:num="1">
            <w:col w:w="11400"/>
          </w:cols>
          <w:pgMar w:left="240" w:top="274" w:right="259" w:bottom="1440" w:gutter="0" w:footer="0" w:header="0"/>
        </w:sectPr>
      </w:pPr>
    </w:p>
    <w:bookmarkStart w:id="62" w:name="page63"/>
    <w:bookmarkEnd w:id="62"/>
    <w:p>
      <w:pPr>
        <w:ind w:firstLine="464"/>
        <w:spacing w:after="0" w:line="304" w:lineRule="auto"/>
        <w:tabs>
          <w:tab w:leader="none" w:pos="695"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Forms</w:t>
      </w:r>
      <w:r>
        <w:rPr>
          <w:rFonts w:ascii="Arial" w:cs="Arial" w:eastAsia="Arial" w:hAnsi="Arial"/>
          <w:sz w:val="15"/>
          <w:szCs w:val="15"/>
          <w:color w:val="auto"/>
        </w:rPr>
        <w:t>.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 shall, to the extent it may lawfully do so, (x) deliver further copies of such forms or other appropriate certifications on or before the date that any such forms expire or become obsolete 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the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 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 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the termination of the Commitments, repayment of all Obligations and the resignation or replacement of the Agent.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right="460" w:firstLine="464"/>
        <w:spacing w:after="0" w:line="298"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w:t>
      </w:r>
    </w:p>
    <w:p>
      <w:pPr>
        <w:spacing w:after="0" w:line="99"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53 –</w:t>
      </w:r>
    </w:p>
    <w:p>
      <w:pPr>
        <w:sectPr>
          <w:pgSz w:w="11900" w:h="16838" w:orient="portrait"/>
          <w:cols w:equalWidth="0" w:num="1">
            <w:col w:w="11400"/>
          </w:cols>
          <w:pgMar w:left="240" w:top="280" w:right="259" w:bottom="1440" w:gutter="0" w:footer="0" w:header="0"/>
        </w:sectPr>
      </w:pPr>
    </w:p>
    <w:bookmarkStart w:id="63" w:name="page64"/>
    <w:bookmarkEnd w:id="6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of capital in respect of its Loans or its Commitment (such increases in costs and reductions in amounts receivable being herein called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Costs</w:t>
      </w:r>
      <w:r>
        <w:rPr>
          <w:rFonts w:ascii="Arial" w:cs="Arial" w:eastAsia="Arial" w:hAnsi="Arial"/>
          <w:sz w:val="16"/>
          <w:szCs w:val="16"/>
          <w:color w:val="auto"/>
        </w:rPr>
        <w:t>”), to the extent resulting from any Regulatory Change that: (i) changes the basis of taxation of any amounts payable to such Lender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the other Loan Documents in respect of any of such Loans or its Commitment (other than taxes, fees, duties, levies, imposts, charges, deductions, withholdings or other charges which are excluded from the definition of Taxes pursuant to the first sentence of Section 3.12.(a) or payable as a result of failing to deliver forms required by 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(including, without limitation, the Commitment of such Lender hereunder);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121" w:lineRule="exact"/>
        <w:rPr>
          <w:sz w:val="20"/>
          <w:szCs w:val="20"/>
          <w:color w:val="auto"/>
        </w:rPr>
      </w:pPr>
    </w:p>
    <w:p>
      <w:pPr>
        <w:ind w:firstLine="464"/>
        <w:spacing w:after="0" w:line="290"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Agent), the obligation of such Lender to make or Continue, or to Convert any other Type of Loans into, LIBOR Loans hereunder shall be suspended until such Regulatory Change ceases to be in effect (in which case the provisions of Section 4.5. shall apply).</w:t>
      </w:r>
    </w:p>
    <w:p>
      <w:pPr>
        <w:spacing w:after="0" w:line="118" w:lineRule="exact"/>
        <w:rPr>
          <w:rFonts w:ascii="Arial" w:cs="Arial" w:eastAsia="Arial" w:hAnsi="Arial"/>
          <w:sz w:val="16"/>
          <w:szCs w:val="16"/>
          <w:color w:val="auto"/>
        </w:rPr>
      </w:pPr>
    </w:p>
    <w:p>
      <w:pPr>
        <w:ind w:firstLine="464"/>
        <w:spacing w:after="0" w:line="289"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Additional Costs in Respect of Letters of Credit</w:t>
      </w:r>
      <w:r>
        <w:rPr>
          <w:rFonts w:ascii="Arial" w:cs="Arial" w:eastAsia="Arial" w:hAnsi="Arial"/>
          <w:sz w:val="16"/>
          <w:szCs w:val="16"/>
          <w:color w:val="auto"/>
        </w:rPr>
        <w:t>. Without limiting the obligations of the Borrower under the preceding subsections of this Section (but without duplication), if as a result of any Regulatory Change or any risk-based capital guideline or other requirement issued by any Governmental Authority there shall be imposed, modified or deemed applicable after the Agreement Date any tax, reserve, special deposit, capital adequacy or similar requirement against or with respect to or measured by reference to Letters of Credit and the result shall be to increase the cost to the Agent of issuing (or any Lender of purchasing participations in) or maintaining its obligation hereunder to issue (or purchase participations in) any Letter of Credit or reduce any amount receivable by the Agent or any Lender hereunder in respect of any Letter of Credit, then, upon demand by the Agent or such Lender, the Borrower shall pay promptly, and in any event within 3 Business Days of demand, to the Agent for its account or the account of such Lender, as applicable, from time to time as specified by the Agent or a Lender, such additional amounts as shall be sufficient to compensate the Agent or such Lender for such increased costs or reductions in amount.</w:t>
      </w:r>
    </w:p>
    <w:p>
      <w:pPr>
        <w:spacing w:after="0" w:line="104"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54 –</w:t>
      </w:r>
    </w:p>
    <w:p>
      <w:pPr>
        <w:sectPr>
          <w:pgSz w:w="11900" w:h="16838" w:orient="portrait"/>
          <w:cols w:equalWidth="0" w:num="1">
            <w:col w:w="11380"/>
          </w:cols>
          <w:pgMar w:left="240" w:top="274" w:right="279" w:bottom="1440" w:gutter="0" w:footer="0" w:header="0"/>
        </w:sectPr>
      </w:pPr>
    </w:p>
    <w:bookmarkStart w:id="64" w:name="page65"/>
    <w:bookmarkEnd w:id="64"/>
    <w:p>
      <w:pPr>
        <w:ind w:firstLine="464"/>
        <w:spacing w:after="0" w:line="288"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Notification and Determination of Additional Costs</w:t>
      </w:r>
      <w:r>
        <w:rPr>
          <w:rFonts w:ascii="Arial" w:cs="Arial" w:eastAsia="Arial" w:hAnsi="Arial"/>
          <w:sz w:val="16"/>
          <w:szCs w:val="16"/>
          <w:color w:val="auto"/>
        </w:rPr>
        <w:t>.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Anything herein to the contrary notwithstanding, if, on or prior to the determination of any Adjusted Eurodollar Rate for any Interest Period:</w:t>
      </w:r>
    </w:p>
    <w:p>
      <w:pPr>
        <w:spacing w:after="0" w:line="113" w:lineRule="exact"/>
        <w:rPr>
          <w:sz w:val="20"/>
          <w:szCs w:val="20"/>
          <w:color w:val="auto"/>
        </w:rPr>
      </w:pPr>
    </w:p>
    <w:p>
      <w:pPr>
        <w:ind w:left="460" w:right="620" w:firstLine="443"/>
        <w:spacing w:after="0" w:line="332" w:lineRule="auto"/>
        <w:tabs>
          <w:tab w:leader="none" w:pos="113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Agent reasonably determines (which determination shall be conclusive) that the Adjusted Eurodollar Rate will not adequately and fairly reflect the cost to the Lenders of making or maintaining LIBOR Loans for such Interest Period;</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then the Agent shall give the Borrower and each Lender prompt notice thereof and, so long as such condition remains in effect, the Lenders shall be under no obligation to, and shall not, make additional LIBOR Loans, Continue LIBOR Loans or Convert Loans into LIBOR Loans and the Borrower shall, on the last day of each current Interest Period for each outstanding LIBOR Loan, either repay such Loan or Convert such Loan into a Base Rate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any other provision of this Agreement, if any Lender shall reasonably determine (which determination shall be conclusive and binding) that it has become unlawful after the Agreement Date for such Lender to honor its obligation to make or maintain LIBOR Loans hereunder, then such Lender shall promptly notify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20"/>
          </w:cols>
          <w:pgMar w:left="240" w:top="280" w:right="239" w:bottom="1440" w:gutter="0" w:footer="0" w:header="0"/>
        </w:sectPr>
      </w:pPr>
    </w:p>
    <w:bookmarkStart w:id="65" w:name="page66"/>
    <w:bookmarkEnd w:id="65"/>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thereof (with a copy to the Agent) and such Lender’s obligation to make or Continue, or to Convert Loans of any other Type into, LIBOR Loans shall be suspended until such time as such Lender may again make and maintain LIBOR Loans (in which case the provisions of Section 4.5. shall be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96"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ind w:left="460" w:firstLine="443"/>
        <w:spacing w:after="0" w:line="332" w:lineRule="auto"/>
        <w:tabs>
          <w:tab w:leader="none" w:pos="1137"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Bid Rate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failure by the Borrower for any reason (including, without limitation, the failure of any of the applicable conditions precedent specified in Article V. to be satisfied) to borrow a LIBOR Loan or Bid Rate Loan from such Lender on the requested date for such borrowing, or to Convert a Base Rate Loan into a LIBOR Loan or Continue a LIBOR Loan on the requested date of such Conversion or Continuation.</w:t>
      </w:r>
    </w:p>
    <w:p>
      <w:pPr>
        <w:spacing w:after="0" w:line="10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obligation of any Lender to make LIBOR Loans or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4.1.(b)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62" w:lineRule="exact"/>
        <w:rPr>
          <w:sz w:val="20"/>
          <w:szCs w:val="20"/>
          <w:color w:val="auto"/>
        </w:rPr>
      </w:pPr>
    </w:p>
    <w:p>
      <w:pPr>
        <w:ind w:left="460" w:right="500" w:firstLine="443"/>
        <w:spacing w:after="0" w:line="268" w:lineRule="auto"/>
        <w:tabs>
          <w:tab w:leader="none" w:pos="11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56 –</w:t>
      </w:r>
    </w:p>
    <w:p>
      <w:pPr>
        <w:sectPr>
          <w:pgSz w:w="11900" w:h="16838" w:orient="portrait"/>
          <w:cols w:equalWidth="0" w:num="1">
            <w:col w:w="11420"/>
          </w:cols>
          <w:pgMar w:left="240" w:top="280" w:right="239" w:bottom="1440" w:gutter="0" w:footer="0" w:header="0"/>
        </w:sectPr>
      </w:pPr>
    </w:p>
    <w:bookmarkStart w:id="66" w:name="page67"/>
    <w:bookmarkEnd w:id="66"/>
    <w:p>
      <w:pPr>
        <w:ind w:left="460" w:right="160" w:firstLine="443"/>
        <w:spacing w:after="0" w:line="332" w:lineRule="auto"/>
        <w:tabs>
          <w:tab w:leader="none" w:pos="1147"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Loans that would otherwise be made or Continued by such Lender as LIBOR Loans shall be made or Continued instead as Base Rate Loans, and all Base Rate Loans of such Lender that would otherwise be Converted into LIBOR Loans shall remain as Base Rate Loans.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their respective Commitments.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Change of Lending Office.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Assumptions Concerning Funding of LIBOR Loans.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Affected Lenders.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(a) a Lender requests compensation pursuant to Section 3.12. or 4.1., and the Requisite Lenders are not also doing the same, or (b) the obligation of any Lender to make LIBOR Loans or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and upon such demand the Affected Lender shall promptly, assign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280" w:right="259" w:bottom="1440" w:gutter="0" w:footer="0" w:header="0"/>
        </w:sectPr>
      </w:pPr>
    </w:p>
    <w:bookmarkStart w:id="67" w:name="page68"/>
    <w:bookmarkEnd w:id="6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Commitment to an Eligible Assignee subject to and in accordance with the provisions of Section 12.5.(d)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 of its rights under this Section shall be at the Borrower’s sole cost and expenses and at no cost or expense to the Agent, the Affected Lender or any of the other Lenders. Subject to the proviso to Section 4.1(d), the terms of this Section shall not in any way limit the Borrower’s obligation to pay to any Affected Lender compensation owing to such Affected Lender pursuant to Section 3.12. or 4.1. for periods up to the date of replacement.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the Lenders to effect or permit the occurrence of the first Credit Event hereunder, whether as the making of a Loan or the issuance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subject to the following conditions precedent:</w:t>
      </w:r>
    </w:p>
    <w:p>
      <w:pPr>
        <w:spacing w:after="0" w:line="165" w:lineRule="exact"/>
        <w:rPr>
          <w:sz w:val="20"/>
          <w:szCs w:val="20"/>
          <w:color w:val="auto"/>
        </w:rPr>
      </w:pPr>
    </w:p>
    <w:p>
      <w:pPr>
        <w:ind w:left="700" w:hanging="23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Agent shall have received each of the following, in form and substance satisfactory to the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57"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Revolving Notes and Bid Rate Notes executed by the Borrower and complying with the applicable provisions of Section 2.11., and the Swingline Note executed by the Borrower;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Guaranty executed by each Guarantor existing as of the Effective Date;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 opinion of counsel to the Loan Parties, addressed to the Agent and the Lenders, in substantially the form set forth in Exhibit M;</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declaration of trust of the Borrower certified as of a recent date by the Secretary of State of the state of its incorporation;</w:t>
      </w:r>
    </w:p>
    <w:p>
      <w:pPr>
        <w:spacing w:after="0" w:line="90" w:lineRule="exact"/>
        <w:rPr>
          <w:rFonts w:ascii="Arial" w:cs="Arial" w:eastAsia="Arial" w:hAnsi="Arial"/>
          <w:sz w:val="18"/>
          <w:szCs w:val="18"/>
          <w:color w:val="auto"/>
        </w:rPr>
      </w:pPr>
    </w:p>
    <w:p>
      <w:pPr>
        <w:jc w:val="both"/>
        <w:ind w:left="460" w:right="200" w:firstLine="443"/>
        <w:spacing w:after="0" w:line="259" w:lineRule="auto"/>
        <w:tabs>
          <w:tab w:leader="none" w:pos="11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w:t>
      </w:r>
    </w:p>
    <w:p>
      <w:pPr>
        <w:spacing w:after="0" w:line="12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58 –</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the failure to be so qualified could reasonably be expected to have a Material Adverse Effect;</w:t>
      </w:r>
    </w:p>
    <w:p>
      <w:pPr>
        <w:spacing w:after="0" w:line="90" w:lineRule="exact"/>
        <w:rPr>
          <w:sz w:val="20"/>
          <w:szCs w:val="20"/>
          <w:color w:val="auto"/>
        </w:rPr>
      </w:pPr>
    </w:p>
    <w:p>
      <w:pPr>
        <w:jc w:val="both"/>
        <w:ind w:right="60" w:firstLine="443"/>
        <w:spacing w:after="0" w:line="256" w:lineRule="auto"/>
        <w:tabs>
          <w:tab w:leader="none" w:pos="7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Notices of Borrowing, Notices of Swingline Borrowings, Bid Rate Quote Requests, Bid Rate Quote Acceptances, Notices of Continuation and Notices of Conversion and to request the issuance of Letters of Credit;</w:t>
      </w:r>
    </w:p>
    <w:p>
      <w:pPr>
        <w:spacing w:after="0" w:line="62" w:lineRule="exact"/>
        <w:rPr>
          <w:rFonts w:ascii="Arial" w:cs="Arial" w:eastAsia="Arial" w:hAnsi="Arial"/>
          <w:sz w:val="18"/>
          <w:szCs w:val="18"/>
          <w:color w:val="auto"/>
        </w:rPr>
      </w:pPr>
    </w:p>
    <w:p>
      <w:pPr>
        <w:ind w:right="160" w:firstLine="443"/>
        <w:spacing w:after="0" w:line="332" w:lineRule="auto"/>
        <w:tabs>
          <w:tab w:leader="none" w:pos="833"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4" w:lineRule="exact"/>
        <w:rPr>
          <w:rFonts w:ascii="Arial" w:cs="Arial" w:eastAsia="Arial" w:hAnsi="Arial"/>
          <w:sz w:val="16"/>
          <w:szCs w:val="16"/>
          <w:color w:val="auto"/>
        </w:rPr>
      </w:pPr>
    </w:p>
    <w:p>
      <w:pPr>
        <w:ind w:right="80" w:firstLine="443"/>
        <w:spacing w:after="0" w:line="268" w:lineRule="auto"/>
        <w:tabs>
          <w:tab w:leader="none" w:pos="7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50" w:lineRule="exact"/>
        <w:rPr>
          <w:rFonts w:ascii="Arial" w:cs="Arial" w:eastAsia="Arial" w:hAnsi="Arial"/>
          <w:sz w:val="18"/>
          <w:szCs w:val="18"/>
          <w:color w:val="auto"/>
        </w:rPr>
      </w:pPr>
    </w:p>
    <w:p>
      <w:pPr>
        <w:ind w:right="40" w:firstLine="443"/>
        <w:spacing w:after="0" w:line="255" w:lineRule="auto"/>
        <w:tabs>
          <w:tab w:leader="none" w:pos="68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each Guarantor issued as of a recent date by (or other comparable evidence from) the Secretary of State of the state of formation of each such Guarantor and certificates of qualification to transact business or other comparable certificates issued by (or other comparable evidence from)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61" w:lineRule="exact"/>
        <w:rPr>
          <w:rFonts w:ascii="Arial" w:cs="Arial" w:eastAsia="Arial" w:hAnsi="Arial"/>
          <w:sz w:val="18"/>
          <w:szCs w:val="18"/>
          <w:color w:val="auto"/>
        </w:rPr>
      </w:pPr>
    </w:p>
    <w:p>
      <w:pPr>
        <w:ind w:right="120" w:firstLine="443"/>
        <w:spacing w:after="0" w:line="332" w:lineRule="auto"/>
        <w:tabs>
          <w:tab w:leader="none" w:pos="736"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4" w:lineRule="exact"/>
        <w:rPr>
          <w:rFonts w:ascii="Arial" w:cs="Arial" w:eastAsia="Arial" w:hAnsi="Arial"/>
          <w:sz w:val="16"/>
          <w:szCs w:val="16"/>
          <w:color w:val="auto"/>
        </w:rPr>
      </w:pPr>
    </w:p>
    <w:p>
      <w:pPr>
        <w:ind w:firstLine="443"/>
        <w:spacing w:after="0" w:line="294" w:lineRule="auto"/>
        <w:tabs>
          <w:tab w:leader="none" w:pos="7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(ii) all corporate, partnership, member or other necessary action taken by such Guarantor to authorize the execution, delivery and performance of the Loan Documents to which it is a party and (iii) the articles of incorporation, articles of organization, certificate of limited partnership or other comparable organizational instrument (if any) of such Guarantor;</w:t>
      </w:r>
    </w:p>
    <w:p>
      <w:pPr>
        <w:spacing w:after="0" w:line="102"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59 –</w:t>
      </w:r>
    </w:p>
    <w:p>
      <w:pPr>
        <w:sectPr>
          <w:pgSz w:w="11900" w:h="16838" w:orient="portrait"/>
          <w:cols w:equalWidth="0" w:num="1">
            <w:col w:w="10940"/>
          </w:cols>
          <w:pgMar w:left="700" w:top="280" w:right="259" w:bottom="1440" w:gutter="0" w:footer="0" w:header="0"/>
        </w:sectPr>
      </w:pPr>
    </w:p>
    <w:bookmarkStart w:id="69" w:name="page70"/>
    <w:bookmarkEnd w:id="69"/>
    <w:p>
      <w:pPr>
        <w:ind w:firstLine="443"/>
        <w:spacing w:after="0" w:line="268" w:lineRule="auto"/>
        <w:tabs>
          <w:tab w:leader="none" w:pos="833"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Fees then due and payable under Section 3.6., and any other Fees payable to the Agent, the Titled Agents and the Lenders on or prior to the Effective Date;</w:t>
      </w:r>
    </w:p>
    <w:p>
      <w:pPr>
        <w:spacing w:after="0" w:line="50" w:lineRule="exact"/>
        <w:rPr>
          <w:rFonts w:ascii="Arial" w:cs="Arial" w:eastAsia="Arial" w:hAnsi="Arial"/>
          <w:sz w:val="18"/>
          <w:szCs w:val="18"/>
          <w:color w:val="auto"/>
        </w:rPr>
      </w:pPr>
    </w:p>
    <w:p>
      <w:pPr>
        <w:ind w:left="820" w:hanging="377"/>
        <w:spacing w:after="0"/>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Compliance Certificate calculated as of March 31, 2006; and</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Agent on behalf of the Lenders may reasonably request; and</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good faith judgment of the Agent and the Lenders:</w:t>
      </w:r>
    </w:p>
    <w:p>
      <w:pPr>
        <w:spacing w:after="0" w:line="90" w:lineRule="exact"/>
        <w:rPr>
          <w:rFonts w:ascii="Arial" w:cs="Arial" w:eastAsia="Arial" w:hAnsi="Arial"/>
          <w:sz w:val="18"/>
          <w:szCs w:val="18"/>
          <w:color w:val="auto"/>
        </w:rPr>
      </w:pPr>
    </w:p>
    <w:p>
      <w:pPr>
        <w:ind w:right="200" w:firstLine="443"/>
        <w:spacing w:after="0" w:line="306" w:lineRule="auto"/>
        <w:tabs>
          <w:tab w:leader="none" w:pos="648"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25" w:lineRule="exact"/>
        <w:rPr>
          <w:rFonts w:ascii="Arial" w:cs="Arial" w:eastAsia="Arial" w:hAnsi="Arial"/>
          <w:sz w:val="16"/>
          <w:szCs w:val="16"/>
          <w:color w:val="auto"/>
        </w:rPr>
      </w:pPr>
    </w:p>
    <w:p>
      <w:pPr>
        <w:ind w:firstLine="443"/>
        <w:spacing w:after="0" w:line="306" w:lineRule="auto"/>
        <w:tabs>
          <w:tab w:leader="none" w:pos="697"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25" w:lineRule="exact"/>
        <w:rPr>
          <w:rFonts w:ascii="Arial" w:cs="Arial" w:eastAsia="Arial" w:hAnsi="Arial"/>
          <w:sz w:val="16"/>
          <w:szCs w:val="16"/>
          <w:color w:val="auto"/>
        </w:rPr>
      </w:pPr>
    </w:p>
    <w:p>
      <w:pPr>
        <w:ind w:firstLine="443"/>
        <w:spacing w:after="0" w:line="305" w:lineRule="auto"/>
        <w:tabs>
          <w:tab w:leader="none" w:pos="745"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spacing w:after="0" w:line="295" w:lineRule="auto"/>
        <w:rPr>
          <w:rFonts w:ascii="Arial" w:cs="Arial" w:eastAsia="Arial" w:hAnsi="Arial"/>
          <w:sz w:val="15"/>
          <w:szCs w:val="15"/>
          <w:color w:val="auto"/>
        </w:rPr>
      </w:pPr>
      <w:r>
        <w:rPr>
          <w:rFonts w:ascii="Arial" w:cs="Arial" w:eastAsia="Arial" w:hAnsi="Arial"/>
          <w:sz w:val="16"/>
          <w:szCs w:val="16"/>
          <w:color w:val="auto"/>
        </w:rPr>
        <w:t>(1) 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34" w:lineRule="exact"/>
        <w:rPr>
          <w:rFonts w:ascii="Arial" w:cs="Arial" w:eastAsia="Arial" w:hAnsi="Arial"/>
          <w:sz w:val="15"/>
          <w:szCs w:val="15"/>
          <w:color w:val="auto"/>
        </w:rPr>
      </w:pPr>
    </w:p>
    <w:p>
      <w:pPr>
        <w:ind w:right="720" w:firstLine="443"/>
        <w:spacing w:after="0" w:line="268" w:lineRule="auto"/>
        <w:tabs>
          <w:tab w:leader="none" w:pos="73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118"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60 –</w:t>
      </w:r>
    </w:p>
    <w:p>
      <w:pPr>
        <w:sectPr>
          <w:pgSz w:w="11900" w:h="16838" w:orient="portrait"/>
          <w:cols w:equalWidth="0" w:num="1">
            <w:col w:w="10940"/>
          </w:cols>
          <w:pgMar w:left="700" w:top="280"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5.2. Conditions Precedent to All Loans and Letters of Credit.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obligations of the Lenders to make any Loans, of the Agent to issue Letters of Credit, and of the Swingline Lender to make any Swingline Loan are all subject to the further condition precedent that: (a) no Default or Event of Default shall exist as of the date of the making of such Loan or date of issuance of such Letter of Credit or would exist immediately after giving effect thereto; and (b) the representations and warranties made or deemed made by the Borrower and each other Loan Party in the Loan Documents to which any of them is a party shall be true and correct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Each Credit Event shall constitute a certification by the Borrower to the effect set forth in the preceding sentence (both as of the date of the giving of notice relating to such Credit Event and, unless the Borrower otherwise notifies the Agent prior to the date of such Credit Event, as of the date of the occurrence of such Credit Event).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order to induce the Agent and each Lender to enter into this Agreement and to make Loans and issue Letters of Credit, the Borrower represents and warrants to the Agent and each Lender as follows:</w:t>
      </w:r>
    </w:p>
    <w:p>
      <w:pPr>
        <w:spacing w:after="0" w:line="132" w:lineRule="exact"/>
        <w:rPr>
          <w:sz w:val="20"/>
          <w:szCs w:val="20"/>
          <w:color w:val="auto"/>
        </w:rPr>
      </w:pPr>
    </w:p>
    <w:p>
      <w:pPr>
        <w:ind w:right="20" w:firstLine="464"/>
        <w:spacing w:after="0" w:line="254"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44" w:lineRule="exact"/>
        <w:rPr>
          <w:rFonts w:ascii="Arial" w:cs="Arial" w:eastAsia="Arial" w:hAnsi="Arial"/>
          <w:sz w:val="18"/>
          <w:szCs w:val="18"/>
          <w:color w:val="auto"/>
        </w:rPr>
      </w:pPr>
    </w:p>
    <w:p>
      <w:pPr>
        <w:ind w:right="40" w:firstLine="464"/>
        <w:spacing w:after="0" w:line="255"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Ownership Structure</w:t>
      </w:r>
      <w:r>
        <w:rPr>
          <w:rFonts w:ascii="Arial" w:cs="Arial" w:eastAsia="Arial" w:hAnsi="Arial"/>
          <w:sz w:val="18"/>
          <w:szCs w:val="18"/>
          <w:color w:val="auto"/>
        </w:rPr>
        <w:t xml:space="preserve">. As of the Agreement Date, Part I of </w:t>
      </w:r>
      <w:r>
        <w:rPr>
          <w:rFonts w:ascii="Arial" w:cs="Arial" w:eastAsia="Arial" w:hAnsi="Arial"/>
          <w:sz w:val="18"/>
          <w:szCs w:val="18"/>
          <w:u w:val="single" w:color="auto"/>
          <w:color w:val="auto"/>
        </w:rPr>
        <w:t>Schedule 6.1.(b</w:t>
      </w:r>
      <w:r>
        <w:rPr>
          <w:rFonts w:ascii="Arial" w:cs="Arial" w:eastAsia="Arial" w:hAnsi="Arial"/>
          <w:sz w:val="18"/>
          <w:szCs w:val="18"/>
          <w:color w:val="auto"/>
        </w:rPr>
        <w:t>) is a true, complete and correct list of all Subsidiaries of the Borrower setting forth for each such 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w:t>
      </w:r>
    </w:p>
    <w:p>
      <w:pPr>
        <w:spacing w:after="0" w:line="12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61 –</w:t>
      </w:r>
    </w:p>
    <w:p>
      <w:pPr>
        <w:sectPr>
          <w:pgSz w:w="11900" w:h="16838" w:orient="portrait"/>
          <w:cols w:equalWidth="0" w:num="1">
            <w:col w:w="11420"/>
          </w:cols>
          <w:pgMar w:left="240" w:top="274" w:right="239" w:bottom="1440" w:gutter="0" w:footer="0" w:header="0"/>
        </w:sectPr>
      </w:pPr>
    </w:p>
    <w:bookmarkStart w:id="71" w:name="page72"/>
    <w:bookmarkEnd w:id="7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18" w:lineRule="exact"/>
        <w:rPr>
          <w:sz w:val="20"/>
          <w:szCs w:val="20"/>
          <w:color w:val="auto"/>
        </w:rPr>
      </w:pPr>
    </w:p>
    <w:p>
      <w:pPr>
        <w:ind w:right="40" w:firstLine="464"/>
        <w:spacing w:after="0" w:line="289"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 Etc</w:t>
      </w:r>
      <w:r>
        <w:rPr>
          <w:rFonts w:ascii="Arial" w:cs="Arial" w:eastAsia="Arial" w:hAnsi="Arial"/>
          <w:sz w:val="16"/>
          <w:szCs w:val="16"/>
          <w:color w:val="auto"/>
        </w:rPr>
        <w:t>.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18" w:lineRule="exact"/>
        <w:rPr>
          <w:rFonts w:ascii="Arial" w:cs="Arial" w:eastAsia="Arial" w:hAnsi="Arial"/>
          <w:sz w:val="16"/>
          <w:szCs w:val="16"/>
          <w:color w:val="auto"/>
        </w:rPr>
      </w:pPr>
    </w:p>
    <w:p>
      <w:pPr>
        <w:jc w:val="both"/>
        <w:ind w:firstLine="464"/>
        <w:spacing w:after="0" w:line="284" w:lineRule="auto"/>
        <w:tabs>
          <w:tab w:leader="none" w:pos="70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 Etc</w:t>
      </w:r>
      <w:r>
        <w:rPr>
          <w:rFonts w:ascii="Arial" w:cs="Arial" w:eastAsia="Arial" w:hAnsi="Arial"/>
          <w:sz w:val="16"/>
          <w:szCs w:val="16"/>
          <w:color w:val="auto"/>
        </w:rPr>
        <w:t>.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w:t>
      </w:r>
    </w:p>
    <w:p>
      <w:pPr>
        <w:spacing w:after="0" w:line="1" w:lineRule="exact"/>
        <w:rPr>
          <w:rFonts w:ascii="Arial" w:cs="Arial" w:eastAsia="Arial" w:hAnsi="Arial"/>
          <w:sz w:val="16"/>
          <w:szCs w:val="16"/>
          <w:color w:val="auto"/>
        </w:rPr>
      </w:pPr>
    </w:p>
    <w:p>
      <w:pPr>
        <w:ind w:right="500" w:firstLine="8"/>
        <w:spacing w:after="0" w:line="281" w:lineRule="auto"/>
        <w:tabs>
          <w:tab w:leader="none" w:pos="258"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conflict with, result in a breach of or constitute a default under the organizational documents of the Borrower or any other Loan Party, or any indenture, agreement or other instrument to which the Borrower or any other Loan Party is a party or by which it or any of its respective properties may be bound; or</w:t>
      </w:r>
    </w:p>
    <w:p>
      <w:pPr>
        <w:spacing w:after="0" w:line="1" w:lineRule="exact"/>
        <w:rPr>
          <w:rFonts w:ascii="Arial" w:cs="Arial" w:eastAsia="Arial" w:hAnsi="Arial"/>
          <w:sz w:val="16"/>
          <w:szCs w:val="16"/>
          <w:color w:val="auto"/>
        </w:rPr>
      </w:pPr>
    </w:p>
    <w:p>
      <w:pPr>
        <w:ind w:right="20" w:firstLine="8"/>
        <w:spacing w:after="0" w:line="261" w:lineRule="auto"/>
        <w:tabs>
          <w:tab w:leader="none" w:pos="3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upon or with respect to any property now owned or hereafter acquired by the Borrower or any other Loan Party.</w:t>
      </w:r>
    </w:p>
    <w:p>
      <w:pPr>
        <w:spacing w:after="0" w:line="137" w:lineRule="exact"/>
        <w:rPr>
          <w:rFonts w:ascii="Arial" w:cs="Arial" w:eastAsia="Arial" w:hAnsi="Arial"/>
          <w:sz w:val="18"/>
          <w:szCs w:val="18"/>
          <w:color w:val="auto"/>
        </w:rPr>
      </w:pPr>
    </w:p>
    <w:p>
      <w:pPr>
        <w:ind w:right="140" w:firstLine="464"/>
        <w:spacing w:after="0" w:line="268" w:lineRule="auto"/>
        <w:tabs>
          <w:tab w:leader="none" w:pos="69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The Borrower, each Subsidiary and each other Loan Party is in compliance with each Governmental Approval applicable to it and in compliance with all other Applicable Laws (including without</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62 –</w:t>
      </w:r>
    </w:p>
    <w:p>
      <w:pPr>
        <w:sectPr>
          <w:pgSz w:w="11900" w:h="16838" w:orient="portrait"/>
          <w:cols w:equalWidth="0" w:num="1">
            <w:col w:w="11400"/>
          </w:cols>
          <w:pgMar w:left="240" w:top="280" w:right="259" w:bottom="1440" w:gutter="0" w:footer="0" w:header="0"/>
        </w:sectPr>
      </w:pPr>
    </w:p>
    <w:bookmarkStart w:id="72" w:name="page73"/>
    <w:bookmarkEnd w:id="72"/>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85" w:lineRule="exact"/>
        <w:rPr>
          <w:sz w:val="20"/>
          <w:szCs w:val="20"/>
          <w:color w:val="auto"/>
        </w:rPr>
      </w:pPr>
    </w:p>
    <w:p>
      <w:pPr>
        <w:jc w:val="both"/>
        <w:ind w:right="120" w:firstLine="464"/>
        <w:spacing w:after="0" w:line="306" w:lineRule="auto"/>
        <w:tabs>
          <w:tab w:leader="none" w:pos="67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As of the Agreement Date, Part I of Schedule 6.1.(f)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106"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Existing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6.1.(g</w:t>
      </w:r>
      <w:r>
        <w:rPr>
          <w:rFonts w:ascii="Arial" w:cs="Arial" w:eastAsia="Arial" w:hAnsi="Arial"/>
          <w:sz w:val="16"/>
          <w:szCs w:val="16"/>
          <w:color w:val="auto"/>
        </w:rPr>
        <w:t>) is, as of June 30, 2006, a complete and correct listing of all Indebtedness of the Borrower and its Subsidiaries, including without limitation, Guarantees of the Borrower and its Subsidiaries, and indicating whether such Indebtedness is Secured Indebtedness or Unsecured Indebtedness. Except as set forth on such Schedule, from June 30, 2006 through the Agreement Date, neither the Borrower nor any of its Subsidiaries has incurred any Indebtedness having an outstanding principal balance in excess of $1,000,000 in the aggregate.</w:t>
      </w:r>
    </w:p>
    <w:p>
      <w:pPr>
        <w:spacing w:after="0" w:line="112" w:lineRule="exact"/>
        <w:rPr>
          <w:rFonts w:ascii="Arial" w:cs="Arial" w:eastAsia="Arial" w:hAnsi="Arial"/>
          <w:sz w:val="16"/>
          <w:szCs w:val="16"/>
          <w:color w:val="auto"/>
        </w:rPr>
      </w:pPr>
    </w:p>
    <w:p>
      <w:pPr>
        <w:ind w:firstLine="464"/>
        <w:spacing w:after="0" w:line="291"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6.1.(h</w:t>
      </w:r>
      <w:r>
        <w:rPr>
          <w:rFonts w:ascii="Arial" w:cs="Arial" w:eastAsia="Arial" w:hAnsi="Arial"/>
          <w:sz w:val="16"/>
          <w:szCs w:val="16"/>
          <w:color w:val="auto"/>
        </w:rPr>
        <w:t>),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 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20" w:lineRule="exact"/>
        <w:rPr>
          <w:rFonts w:ascii="Arial" w:cs="Arial" w:eastAsia="Arial" w:hAnsi="Arial"/>
          <w:sz w:val="16"/>
          <w:szCs w:val="16"/>
          <w:color w:val="auto"/>
        </w:rPr>
      </w:pPr>
    </w:p>
    <w:p>
      <w:pPr>
        <w:ind w:right="40" w:firstLine="464"/>
        <w:spacing w:after="0" w:line="291" w:lineRule="auto"/>
        <w:tabs>
          <w:tab w:leader="none" w:pos="66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120" w:lineRule="exact"/>
        <w:rPr>
          <w:rFonts w:ascii="Arial" w:cs="Arial" w:eastAsia="Arial" w:hAnsi="Arial"/>
          <w:sz w:val="16"/>
          <w:szCs w:val="16"/>
          <w:color w:val="auto"/>
        </w:rPr>
      </w:pPr>
    </w:p>
    <w:p>
      <w:pPr>
        <w:ind w:right="60" w:firstLine="464"/>
        <w:spacing w:after="0" w:line="268" w:lineRule="auto"/>
        <w:tabs>
          <w:tab w:leader="none" w:pos="66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Borrower has furnished to the Agent copies of (i) the audited consolidated balance sheet of the Borrower and its consolidated Subsidiaries for the fiscal year ending December 31, 2005, and the related audited</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63 –</w:t>
      </w:r>
    </w:p>
    <w:p>
      <w:pPr>
        <w:sectPr>
          <w:pgSz w:w="11900" w:h="16838" w:orient="portrait"/>
          <w:cols w:equalWidth="0" w:num="1">
            <w:col w:w="11400"/>
          </w:cols>
          <w:pgMar w:left="240" w:top="280" w:right="259" w:bottom="1440" w:gutter="0" w:footer="0" w:header="0"/>
        </w:sectPr>
      </w:pPr>
    </w:p>
    <w:bookmarkStart w:id="73" w:name="page74"/>
    <w:bookmarkEnd w:id="7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 cash flows and shareholders’ equity for the fiscal year ending on such dates, with the opinion thereon of Grant Thornton LLP, and (ii) the unaudited consolidated balance sheet of the Borrower and its consolidated Subsidiaries for the fiscal quarter ending March 31, 2006, and the related unaudited consolidated statements of operations, cash flows and shareholders’ equity of the Borrower and its consolidated Subsidiaries for the period of two fiscal quarters ending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120" w:lineRule="exact"/>
        <w:rPr>
          <w:sz w:val="20"/>
          <w:szCs w:val="20"/>
          <w:color w:val="auto"/>
        </w:rPr>
      </w:pPr>
    </w:p>
    <w:p>
      <w:pPr>
        <w:ind w:right="260" w:firstLine="464"/>
        <w:spacing w:after="0" w:line="259" w:lineRule="auto"/>
        <w:tabs>
          <w:tab w:leader="none" w:pos="70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2005,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140" w:lineRule="exact"/>
        <w:rPr>
          <w:rFonts w:ascii="Arial" w:cs="Arial" w:eastAsia="Arial" w:hAnsi="Arial"/>
          <w:sz w:val="18"/>
          <w:szCs w:val="18"/>
          <w:color w:val="auto"/>
        </w:rPr>
      </w:pPr>
    </w:p>
    <w:p>
      <w:pPr>
        <w:ind w:right="220" w:firstLine="464"/>
        <w:spacing w:after="0" w:line="302" w:lineRule="auto"/>
        <w:tabs>
          <w:tab w:leader="none" w:pos="666"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w:t>
      </w:r>
    </w:p>
    <w:p>
      <w:pPr>
        <w:spacing w:after="0" w:line="2" w:lineRule="exact"/>
        <w:rPr>
          <w:rFonts w:ascii="Arial" w:cs="Arial" w:eastAsia="Arial" w:hAnsi="Arial"/>
          <w:sz w:val="15"/>
          <w:szCs w:val="15"/>
          <w:color w:val="auto"/>
        </w:rPr>
      </w:pPr>
    </w:p>
    <w:p>
      <w:pPr>
        <w:ind w:right="60" w:firstLine="8"/>
        <w:spacing w:after="0" w:line="302" w:lineRule="auto"/>
        <w:tabs>
          <w:tab w:leader="none" w:pos="258" w:val="left"/>
        </w:tabs>
        <w:numPr>
          <w:ilvl w:val="0"/>
          <w:numId w:val="71"/>
        </w:numPr>
        <w:rPr>
          <w:rFonts w:ascii="Arial" w:cs="Arial" w:eastAsia="Arial" w:hAnsi="Arial"/>
          <w:sz w:val="16"/>
          <w:szCs w:val="16"/>
          <w:color w:val="auto"/>
        </w:rPr>
      </w:pPr>
      <w:r>
        <w:rPr>
          <w:rFonts w:ascii="Arial" w:cs="Arial" w:eastAsia="Arial" w:hAnsi="Arial"/>
          <w:sz w:val="16"/>
          <w:szCs w:val="16"/>
          <w:color w:val="auto"/>
        </w:rPr>
        <w:t>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09" w:lineRule="exact"/>
        <w:rPr>
          <w:rFonts w:ascii="Arial" w:cs="Arial" w:eastAsia="Arial" w:hAnsi="Arial"/>
          <w:sz w:val="16"/>
          <w:szCs w:val="16"/>
          <w:color w:val="auto"/>
        </w:rPr>
      </w:pPr>
    </w:p>
    <w:p>
      <w:pPr>
        <w:ind w:firstLine="464"/>
        <w:spacing w:after="0" w:line="256" w:lineRule="auto"/>
        <w:tabs>
          <w:tab w:leader="none" w:pos="75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w:t>
      </w:r>
      <w:r>
        <w:rPr>
          <w:rFonts w:ascii="Arial" w:cs="Arial" w:eastAsia="Arial" w:hAnsi="Arial"/>
          <w:sz w:val="18"/>
          <w:szCs w:val="18"/>
          <w:color w:val="auto"/>
        </w:rPr>
        <w:t>.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43" w:lineRule="exact"/>
        <w:rPr>
          <w:rFonts w:ascii="Arial" w:cs="Arial" w:eastAsia="Arial" w:hAnsi="Arial"/>
          <w:sz w:val="18"/>
          <w:szCs w:val="18"/>
          <w:color w:val="auto"/>
        </w:rPr>
      </w:pPr>
    </w:p>
    <w:p>
      <w:pPr>
        <w:ind w:right="40" w:firstLine="464"/>
        <w:spacing w:after="0" w:line="268" w:lineRule="auto"/>
        <w:tabs>
          <w:tab w:leader="none" w:pos="70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Absence of Defaults</w:t>
      </w:r>
      <w:r>
        <w:rPr>
          <w:rFonts w:ascii="Arial" w:cs="Arial" w:eastAsia="Arial" w:hAnsi="Arial"/>
          <w:sz w:val="18"/>
          <w:szCs w:val="18"/>
          <w:color w:val="auto"/>
        </w:rPr>
        <w:t>. Neither the Borrower, any Subsidiary nor any other Loan Party is in default under its articles of incorporation, bylaws, partnership agreement</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64 –</w:t>
      </w:r>
    </w:p>
    <w:p>
      <w:pPr>
        <w:sectPr>
          <w:pgSz w:w="11900" w:h="16838" w:orient="portrait"/>
          <w:cols w:equalWidth="0" w:num="1">
            <w:col w:w="11420"/>
          </w:cols>
          <w:pgMar w:left="240" w:top="280" w:right="239" w:bottom="1440" w:gutter="0" w:footer="0" w:header="0"/>
        </w:sectPr>
      </w:pPr>
    </w:p>
    <w:bookmarkStart w:id="74" w:name="page75"/>
    <w:bookmarkEnd w:id="7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 similar organizational documents, and no event has occurred, which has not been remedied, cured or waived, which in any such case: (i) constitutes a Default or an Event of Default; or (ii) constitutes, or which with the passage of time, the giving of notice, a determination of materiality, the satisfaction of any condition, or any combination of the foregoing, would constitute, a default or event of default by the Borrower, any Subsidiary or any other Loan Party under any material agreement (other than this Agreement) or judgment, decree or order to which the Borrower or any Subsidiary or other Loan Party is a party or by which the Borrower or any Subsidiary or other Loan Party or any of their respective properties may be bound where such default or event of default could, individually or in the aggregate, could reasonably be expected to have a Material Adverse Effect.</w:t>
      </w:r>
    </w:p>
    <w:p>
      <w:pPr>
        <w:spacing w:after="0" w:line="120" w:lineRule="exact"/>
        <w:rPr>
          <w:sz w:val="20"/>
          <w:szCs w:val="20"/>
          <w:color w:val="auto"/>
        </w:rPr>
      </w:pPr>
    </w:p>
    <w:p>
      <w:pPr>
        <w:ind w:right="20" w:firstLine="464"/>
        <w:spacing w:after="0" w:line="286"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(ii) 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127" w:lineRule="exact"/>
        <w:rPr>
          <w:rFonts w:ascii="Arial" w:cs="Arial" w:eastAsia="Arial" w:hAnsi="Arial"/>
          <w:sz w:val="16"/>
          <w:szCs w:val="16"/>
          <w:color w:val="auto"/>
        </w:rPr>
      </w:pPr>
    </w:p>
    <w:p>
      <w:pPr>
        <w:ind w:left="720" w:hanging="256"/>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Investment Company; Etc</w:t>
      </w:r>
      <w:r>
        <w:rPr>
          <w:rFonts w:ascii="Arial" w:cs="Arial" w:eastAsia="Arial" w:hAnsi="Arial"/>
          <w:sz w:val="16"/>
          <w:szCs w:val="16"/>
          <w:color w:val="auto"/>
        </w:rPr>
        <w:t>. Neither the Borrower nor any Subsidiary nor any other Loan Party is (i) an “investment company” or a company</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“controlled” by an “investment company” within the meaning of the Investment Company Act of 1940, as amended, or (ii)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44" w:lineRule="exact"/>
        <w:rPr>
          <w:rFonts w:ascii="Arial" w:cs="Arial" w:eastAsia="Arial" w:hAnsi="Arial"/>
          <w:sz w:val="16"/>
          <w:szCs w:val="16"/>
          <w:color w:val="auto"/>
        </w:rPr>
      </w:pPr>
    </w:p>
    <w:p>
      <w:pPr>
        <w:ind w:firstLine="464"/>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2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65 –</w:t>
      </w:r>
    </w:p>
    <w:p>
      <w:pPr>
        <w:sectPr>
          <w:pgSz w:w="11900" w:h="16838" w:orient="portrait"/>
          <w:cols w:equalWidth="0" w:num="1">
            <w:col w:w="11420"/>
          </w:cols>
          <w:pgMar w:left="240" w:top="280" w:right="239" w:bottom="1440" w:gutter="0" w:footer="0" w:header="0"/>
        </w:sectPr>
      </w:pPr>
    </w:p>
    <w:bookmarkStart w:id="75" w:name="page76"/>
    <w:bookmarkEnd w:id="75"/>
    <w:p>
      <w:pPr>
        <w:ind w:left="-464" w:firstLine="464"/>
        <w:spacing w:after="0" w:line="332" w:lineRule="auto"/>
        <w:tabs>
          <w:tab w:leader="none" w:pos="21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 Transactions</w:t>
      </w:r>
      <w:r>
        <w:rPr>
          <w:rFonts w:ascii="Arial" w:cs="Arial" w:eastAsia="Arial" w:hAnsi="Arial"/>
          <w:sz w:val="16"/>
          <w:szCs w:val="16"/>
          <w:color w:val="auto"/>
        </w:rPr>
        <w:t>.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85" w:lineRule="exact"/>
        <w:rPr>
          <w:rFonts w:ascii="Arial" w:cs="Arial" w:eastAsia="Arial" w:hAnsi="Arial"/>
          <w:sz w:val="16"/>
          <w:szCs w:val="16"/>
          <w:color w:val="auto"/>
        </w:rPr>
      </w:pPr>
    </w:p>
    <w:p>
      <w:pPr>
        <w:ind w:left="-464" w:right="60" w:firstLine="464"/>
        <w:spacing w:after="0" w:line="287" w:lineRule="auto"/>
        <w:tabs>
          <w:tab w:leader="none" w:pos="22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left="-464" w:right="380" w:firstLine="464"/>
        <w:spacing w:after="0" w:line="332" w:lineRule="auto"/>
        <w:tabs>
          <w:tab w:leader="none" w:pos="20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85" w:lineRule="exact"/>
        <w:rPr>
          <w:rFonts w:ascii="Arial" w:cs="Arial" w:eastAsia="Arial" w:hAnsi="Arial"/>
          <w:sz w:val="16"/>
          <w:szCs w:val="16"/>
          <w:color w:val="auto"/>
        </w:rPr>
      </w:pPr>
    </w:p>
    <w:p>
      <w:pPr>
        <w:ind w:left="-464" w:right="80" w:firstLine="464"/>
        <w:spacing w:after="0" w:line="259" w:lineRule="auto"/>
        <w:tabs>
          <w:tab w:leader="none" w:pos="24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140" w:lineRule="exact"/>
        <w:rPr>
          <w:rFonts w:ascii="Arial" w:cs="Arial" w:eastAsia="Arial" w:hAnsi="Arial"/>
          <w:sz w:val="18"/>
          <w:szCs w:val="18"/>
          <w:color w:val="auto"/>
        </w:rPr>
      </w:pPr>
    </w:p>
    <w:p>
      <w:pPr>
        <w:ind w:left="-464" w:right="40" w:firstLine="464"/>
        <w:spacing w:after="0" w:line="291" w:lineRule="auto"/>
        <w:tabs>
          <w:tab w:leader="none" w:pos="24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Accuracy and Completeness of Information</w:t>
      </w:r>
      <w:r>
        <w:rPr>
          <w:rFonts w:ascii="Arial" w:cs="Arial" w:eastAsia="Arial" w:hAnsi="Arial"/>
          <w:sz w:val="16"/>
          <w:szCs w:val="16"/>
          <w:color w:val="auto"/>
        </w:rPr>
        <w:t>. None of the written information, reports or other papers or data (excluding financial projections and other forward looking 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w:t>
      </w:r>
    </w:p>
    <w:p>
      <w:pPr>
        <w:spacing w:after="0" w:line="106" w:lineRule="exact"/>
        <w:rPr>
          <w:rFonts w:ascii="Arial" w:cs="Arial" w:eastAsia="Arial" w:hAnsi="Arial"/>
          <w:sz w:val="16"/>
          <w:szCs w:val="16"/>
          <w:color w:val="auto"/>
        </w:rPr>
      </w:pPr>
    </w:p>
    <w:p>
      <w:pPr>
        <w:ind w:left="5036"/>
        <w:spacing w:after="0"/>
        <w:rPr>
          <w:rFonts w:ascii="Arial" w:cs="Arial" w:eastAsia="Arial" w:hAnsi="Arial"/>
          <w:sz w:val="16"/>
          <w:szCs w:val="16"/>
          <w:color w:val="auto"/>
        </w:rPr>
      </w:pPr>
      <w:r>
        <w:rPr>
          <w:rFonts w:ascii="Arial" w:cs="Arial" w:eastAsia="Arial" w:hAnsi="Arial"/>
          <w:sz w:val="18"/>
          <w:szCs w:val="18"/>
          <w:color w:val="auto"/>
        </w:rPr>
        <w:t>– 66 –</w:t>
      </w:r>
    </w:p>
    <w:p>
      <w:pPr>
        <w:sectPr>
          <w:pgSz w:w="11900" w:h="16838" w:orient="portrait"/>
          <w:cols w:equalWidth="0" w:num="1">
            <w:col w:w="10956"/>
          </w:cols>
          <w:pgMar w:left="704" w:top="280" w:right="239" w:bottom="1440" w:gutter="0" w:footer="0" w:header="0"/>
        </w:sectPr>
      </w:pPr>
    </w:p>
    <w:bookmarkStart w:id="76" w:name="page77"/>
    <w:bookmarkEnd w:id="7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120" w:lineRule="exact"/>
        <w:rPr>
          <w:sz w:val="20"/>
          <w:szCs w:val="20"/>
          <w:color w:val="auto"/>
        </w:rPr>
      </w:pPr>
    </w:p>
    <w:p>
      <w:pPr>
        <w:ind w:firstLine="464"/>
        <w:spacing w:after="0" w:line="268" w:lineRule="auto"/>
        <w:tabs>
          <w:tab w:leader="none" w:pos="7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xml:space="preserve">. As of the Agreement Date, </w:t>
      </w:r>
      <w:r>
        <w:rPr>
          <w:rFonts w:ascii="Arial" w:cs="Arial" w:eastAsia="Arial" w:hAnsi="Arial"/>
          <w:sz w:val="16"/>
          <w:szCs w:val="16"/>
          <w:u w:val="single" w:color="auto"/>
          <w:color w:val="auto"/>
        </w:rPr>
        <w:t>Schedule 6.1.(x</w:t>
      </w:r>
      <w:r>
        <w:rPr>
          <w:rFonts w:ascii="Arial" w:cs="Arial" w:eastAsia="Arial" w:hAnsi="Arial"/>
          <w:sz w:val="16"/>
          <w:szCs w:val="16"/>
          <w:color w:val="auto"/>
        </w:rPr>
        <w:t>)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06" w:lineRule="exact"/>
        <w:rPr>
          <w:rFonts w:ascii="Arial" w:cs="Arial" w:eastAsia="Arial" w:hAnsi="Arial"/>
          <w:sz w:val="16"/>
          <w:szCs w:val="16"/>
          <w:color w:val="auto"/>
        </w:rPr>
      </w:pPr>
    </w:p>
    <w:p>
      <w:pPr>
        <w:ind w:right="180" w:firstLine="464"/>
        <w:spacing w:after="0" w:line="332"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Foreign Assets Control</w:t>
      </w:r>
      <w:r>
        <w:rPr>
          <w:rFonts w:ascii="Arial" w:cs="Arial" w:eastAsia="Arial" w:hAnsi="Arial"/>
          <w:sz w:val="16"/>
          <w:szCs w:val="16"/>
          <w:color w:val="auto"/>
        </w:rPr>
        <w:t>. None of the Borrower, any Subsidiary or any Affiliate of the Borrower: (i) is a Sanctioned Person, (ii) has any of its assets in Sanctioned Entities, or (iii) derives any of its operating income from investments in, or transactions with, Sanctioned Persons or Sanctioned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 and warranties made under this Agreement and the other Loan Documents shall be deemed to be made at and as of the Agreement Date, the Effective Date, the date on which any extension of the Termination Date is effectuated pursuant to Section 2.13. and the date of the occurrence of any Credit Event, except to the extent that such representations and warranties expressly relate solely to an earlier date (in which case such representations and warranties shall have been true and correct in all material respects on and as of such</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380"/>
          </w:cols>
          <w:pgMar w:left="240" w:top="280" w:right="279" w:bottom="1440" w:gutter="0" w:footer="0" w:header="0"/>
        </w:sectPr>
      </w:pPr>
    </w:p>
    <w:bookmarkStart w:id="77" w:name="page78"/>
    <w:bookmarkEnd w:id="77"/>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earlier date) and except for changes in factual circumstances not prohibited under the Loan Documents. All such representations and warranties shall survive the effectiveness of this Agreement, the execution and delivery of the Loan Documents and the making of the Loans and the issuance of the Letters of Credit.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w:t>
      </w:r>
    </w:p>
    <w:p>
      <w:pPr>
        <w:spacing w:after="0" w:line="38" w:lineRule="exact"/>
        <w:rPr>
          <w:sz w:val="20"/>
          <w:szCs w:val="20"/>
          <w:color w:val="auto"/>
        </w:rPr>
      </w:pPr>
    </w:p>
    <w:p>
      <w:pPr>
        <w:ind w:right="200" w:firstLine="8"/>
        <w:spacing w:after="0" w:line="331" w:lineRule="auto"/>
        <w:tabs>
          <w:tab w:leader="none" w:pos="239" w:val="left"/>
        </w:tabs>
        <w:numPr>
          <w:ilvl w:val="0"/>
          <w:numId w:val="75"/>
        </w:numPr>
        <w:rPr>
          <w:rFonts w:ascii="Arial" w:cs="Arial" w:eastAsia="Arial" w:hAnsi="Arial"/>
          <w:sz w:val="15"/>
          <w:szCs w:val="15"/>
          <w:color w:val="auto"/>
        </w:rPr>
      </w:pPr>
      <w:r>
        <w:rPr>
          <w:rFonts w:ascii="Arial" w:cs="Arial" w:eastAsia="Arial" w:hAnsi="Arial"/>
          <w:sz w:val="15"/>
          <w:szCs w:val="15"/>
          <w:color w:val="auto"/>
        </w:rPr>
        <w:t>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its Subsidiaries and the other Loan Parties to, carry on their respective businesses as described in Section 6.1.(t).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380"/>
          </w:cols>
          <w:pgMar w:left="240" w:top="280"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7.5. Insurance.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Visits and Inspections.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274"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7.8. Use of Proceeds; Letters of Credit.</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Borrower shall use the proceeds of the Loans and the Letters of Credit for general corporate purposes only. No part of the proceeds of any Loan or Letter of Credit will be used (a) for the purpose of buying or carrying “margin stock” within the meaning of Regulation U of the Board of Governors of the Federal Reserve System or to extend credit to others for the purpose of purchasing or carrying any such margin stock or (b) to fund any operations in, finance any investments or activities in, or make any payments to, a Sanctioned Person or Sanctioned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shall, and shall cause all of its Subsidiaries and the other Loan Parties to, comply with all Environmental Laws the failure with which to comply could reasonably be expected to have a Material Adverse Effect.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the matters referred to in such notices, individually or in the 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Books and Records.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Further Assurances.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carry out the provisions and purposes of this Agreement and the other Loan Documents.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New Subsidiaries/Guarantors.</w:t>
      </w:r>
    </w:p>
    <w:p>
      <w:pPr>
        <w:spacing w:after="0" w:line="96" w:lineRule="exact"/>
        <w:rPr>
          <w:sz w:val="20"/>
          <w:szCs w:val="20"/>
          <w:color w:val="auto"/>
        </w:rPr>
      </w:pPr>
    </w:p>
    <w:p>
      <w:pPr>
        <w:ind w:firstLine="464"/>
        <w:spacing w:after="0" w:line="289"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Requirement to Become Guarantor</w:t>
      </w:r>
      <w:r>
        <w:rPr>
          <w:rFonts w:ascii="Arial" w:cs="Arial" w:eastAsia="Arial" w:hAnsi="Arial"/>
          <w:sz w:val="16"/>
          <w:szCs w:val="16"/>
          <w:color w:val="auto"/>
        </w:rPr>
        <w:t xml:space="preserve">.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5.1.(a)(iv), (ix) through (xii) and (xv) if such Material Subsidiary had been one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Borrower shall send to each Lender copies of each of the foregoing items once the Agent has received all such items with respect to a Material Subsidiary.</w:t>
      </w:r>
    </w:p>
    <w:p>
      <w:pPr>
        <w:spacing w:after="0" w:line="118"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Guarantors</w:t>
      </w:r>
      <w:r>
        <w:rPr>
          <w:rFonts w:ascii="Arial" w:cs="Arial" w:eastAsia="Arial" w:hAnsi="Arial"/>
          <w:sz w:val="18"/>
          <w:szCs w:val="18"/>
          <w:color w:val="auto"/>
        </w:rPr>
        <w:t>. The Borrower may, at its option, cause any Subsidiary that is not already a Guarantor to become a Guarantor by executing and delivering to the Agent the items required to be delivered under the immediately preceding subsection (a).</w:t>
      </w:r>
    </w:p>
    <w:p>
      <w:pPr>
        <w:spacing w:after="0" w:line="131" w:lineRule="exact"/>
        <w:rPr>
          <w:rFonts w:ascii="Arial" w:cs="Arial" w:eastAsia="Arial" w:hAnsi="Arial"/>
          <w:sz w:val="18"/>
          <w:szCs w:val="18"/>
          <w:color w:val="auto"/>
        </w:rPr>
      </w:pPr>
    </w:p>
    <w:p>
      <w:pPr>
        <w:ind w:right="40" w:firstLine="464"/>
        <w:spacing w:after="0" w:line="288"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Release of a Guarantor</w:t>
      </w:r>
      <w:r>
        <w:rPr>
          <w:rFonts w:ascii="Arial" w:cs="Arial" w:eastAsia="Arial" w:hAnsi="Arial"/>
          <w:sz w:val="16"/>
          <w:szCs w:val="16"/>
          <w:color w:val="auto"/>
        </w:rPr>
        <w:t>.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9.7.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 REIT.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7.14. Exchange Listing.</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As soon as available and in any event within 5 days after the same is required to be filed with the Securities and Exchange Commission (but in no event later than 50 days after the end of each of the first, second and third fiscal quarters of the Borrower),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 which shall be in a form acceptable to the Securities and Exchange Commission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soon as available and in any event within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 (b) independent certified public accountants of recognized national standing acceptable to the Agent, whose certificate shall be unqualified and who shall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380"/>
          </w:cols>
          <w:pgMar w:left="240" w:top="274" w:right="27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authorized the Borrower to deliver such financial statements and certification thereof to the Agent and the Lenders pursuant to this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At the time financial statements are furnished pursuant to Sections 8.1. and 8.2., and, if the Requisite Lenders reasonably believe that an Event of Default specified in Section 10.1.(a), Section 10.1.(b), Section 10.1.(f) or Section 10.1.(g) or a Default under Section 10.1.(g) may occur, within 5 Business Days of the Agent’s request with respect to any other fiscal period, a certificate substantially in the form of Exhibit N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by the chief financial officer or chief accounting officer of the Borrower: (a) setting forth in reasonable detail as at the end of such quarterly accounting period, fiscal year, or other fiscal period, as the case may be, the calculations required to establish whether or not the Borrower was in compliance with the covenants contained in Sections 9.1. and 9.4.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Borrower with respect to such event, condition or failure; provided, however, for the fiscal quarter ending June 30, 2006, the Compliance Certificate to be delivered by the Borrower shall show on a pro forma basis whether the Borrower would have been in compliance with such covenants had they applied to the Borrower at such time. Together with each Compliance Certificate delivered in connection with quarterly or annual financial statements, the Borrower shall deliver a report, in form and detail reasonably satisfactory to the Agent, setting forth (x) a statement of Funds From Operations for the fiscal period then ending;</w:t>
      </w:r>
    </w:p>
    <w:p>
      <w:pPr>
        <w:spacing w:after="0" w:line="5" w:lineRule="exact"/>
        <w:rPr>
          <w:sz w:val="20"/>
          <w:szCs w:val="20"/>
          <w:color w:val="auto"/>
        </w:rPr>
      </w:pPr>
    </w:p>
    <w:p>
      <w:pPr>
        <w:ind w:right="160" w:firstLine="8"/>
        <w:spacing w:after="0" w:line="281"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Agent; and</w:t>
      </w:r>
    </w:p>
    <w:p>
      <w:pPr>
        <w:spacing w:after="0" w:line="1" w:lineRule="exact"/>
        <w:rPr>
          <w:rFonts w:ascii="Arial" w:cs="Arial" w:eastAsia="Arial" w:hAnsi="Arial"/>
          <w:sz w:val="16"/>
          <w:szCs w:val="16"/>
          <w:color w:val="auto"/>
        </w:rPr>
      </w:pPr>
    </w:p>
    <w:p>
      <w:pPr>
        <w:ind w:firstLine="8"/>
        <w:spacing w:after="0" w:line="261" w:lineRule="auto"/>
        <w:tabs>
          <w:tab w:leader="none" w:pos="2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listing of all Properties acquired by the Borrower or any Subsidiary since the delivery of the previous such list, including their net operating income, cost and related mortgage debt, if 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96" w:lineRule="exact"/>
        <w:rPr>
          <w:sz w:val="20"/>
          <w:szCs w:val="20"/>
          <w:color w:val="auto"/>
        </w:rPr>
      </w:pPr>
    </w:p>
    <w:p>
      <w:pPr>
        <w:ind w:right="60" w:firstLine="464"/>
        <w:spacing w:after="0" w:line="268"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Management Reports</w:t>
      </w:r>
      <w:r>
        <w:rPr>
          <w:rFonts w:ascii="Arial" w:cs="Arial" w:eastAsia="Arial" w:hAnsi="Arial"/>
          <w:sz w:val="18"/>
          <w:szCs w:val="18"/>
          <w:color w:val="auto"/>
        </w:rPr>
        <w:t>. Promptly upon receipt thereof, copies of all management reports, if any, submitted to the Borrower or its Board of Trustees by its independent public accountants;</w:t>
      </w:r>
    </w:p>
    <w:p>
      <w:pPr>
        <w:spacing w:after="0" w:line="13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Securities Filings</w:t>
      </w:r>
      <w:r>
        <w:rPr>
          <w:rFonts w:ascii="Arial" w:cs="Arial" w:eastAsia="Arial" w:hAnsi="Arial"/>
          <w:sz w:val="18"/>
          <w:szCs w:val="18"/>
          <w:color w:val="auto"/>
        </w:rPr>
        <w:t>.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2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73 –</w:t>
      </w:r>
    </w:p>
    <w:p>
      <w:pPr>
        <w:sectPr>
          <w:pgSz w:w="11900" w:h="16838" w:orient="portrait"/>
          <w:cols w:equalWidth="0" w:num="1">
            <w:col w:w="11420"/>
          </w:cols>
          <w:pgMar w:left="240" w:top="280" w:right="239" w:bottom="1440" w:gutter="0" w:footer="0" w:header="0"/>
        </w:sectPr>
      </w:pPr>
    </w:p>
    <w:bookmarkStart w:id="83" w:name="page84"/>
    <w:bookmarkEnd w:id="83"/>
    <w:p>
      <w:pPr>
        <w:ind w:left="-8" w:right="240" w:firstLine="464"/>
        <w:spacing w:after="0" w:line="259" w:lineRule="auto"/>
        <w:tabs>
          <w:tab w:leader="none" w:pos="68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Information</w:t>
      </w:r>
      <w:r>
        <w:rPr>
          <w:rFonts w:ascii="Arial" w:cs="Arial" w:eastAsia="Arial" w:hAnsi="Arial"/>
          <w:sz w:val="18"/>
          <w:szCs w:val="18"/>
          <w:color w:val="auto"/>
        </w:rPr>
        <w:t>.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40" w:lineRule="exact"/>
        <w:rPr>
          <w:rFonts w:ascii="Arial" w:cs="Arial" w:eastAsia="Arial" w:hAnsi="Arial"/>
          <w:sz w:val="18"/>
          <w:szCs w:val="18"/>
          <w:color w:val="auto"/>
        </w:rPr>
      </w:pPr>
    </w:p>
    <w:p>
      <w:pPr>
        <w:ind w:left="-8" w:right="20" w:firstLine="464"/>
        <w:spacing w:after="0" w:line="283" w:lineRule="auto"/>
        <w:tabs>
          <w:tab w:leader="none" w:pos="69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w:t>
      </w:r>
    </w:p>
    <w:p>
      <w:pPr>
        <w:spacing w:after="0" w:line="1" w:lineRule="exact"/>
        <w:rPr>
          <w:rFonts w:ascii="Arial" w:cs="Arial" w:eastAsia="Arial" w:hAnsi="Arial"/>
          <w:sz w:val="16"/>
          <w:szCs w:val="16"/>
          <w:color w:val="auto"/>
        </w:rPr>
      </w:pPr>
    </w:p>
    <w:p>
      <w:pPr>
        <w:ind w:left="-8" w:right="100" w:firstLine="8"/>
        <w:spacing w:after="0" w:line="290" w:lineRule="auto"/>
        <w:tabs>
          <w:tab w:leader="none" w:pos="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118" w:lineRule="exact"/>
        <w:rPr>
          <w:rFonts w:ascii="Arial" w:cs="Arial" w:eastAsia="Arial" w:hAnsi="Arial"/>
          <w:sz w:val="16"/>
          <w:szCs w:val="16"/>
          <w:color w:val="auto"/>
        </w:rPr>
      </w:pPr>
    </w:p>
    <w:p>
      <w:pPr>
        <w:ind w:left="-8" w:firstLine="464"/>
        <w:spacing w:after="0" w:line="255" w:lineRule="auto"/>
        <w:tabs>
          <w:tab w:leader="none" w:pos="68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 could reasonably be expected to have a Material Adverse Effect, and prompt notice of the receipt of notice that any United States income tax returns of the Borrower or any of its Subsidiaries are being audited;</w:t>
      </w:r>
    </w:p>
    <w:p>
      <w:pPr>
        <w:spacing w:after="0" w:line="142" w:lineRule="exact"/>
        <w:rPr>
          <w:rFonts w:ascii="Arial" w:cs="Arial" w:eastAsia="Arial" w:hAnsi="Arial"/>
          <w:sz w:val="18"/>
          <w:szCs w:val="18"/>
          <w:color w:val="auto"/>
        </w:rPr>
      </w:pPr>
    </w:p>
    <w:p>
      <w:pPr>
        <w:ind w:left="-8" w:right="440" w:firstLine="464"/>
        <w:spacing w:after="0" w:line="268" w:lineRule="auto"/>
        <w:tabs>
          <w:tab w:leader="none" w:pos="66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 A copy of any amendment to the declaration of trust, bylaws or other organizational documents of the Borrower within 15 Business Days after the effectiveness thereof;</w:t>
      </w:r>
    </w:p>
    <w:p>
      <w:pPr>
        <w:spacing w:after="0" w:line="131" w:lineRule="exact"/>
        <w:rPr>
          <w:rFonts w:ascii="Arial" w:cs="Arial" w:eastAsia="Arial" w:hAnsi="Arial"/>
          <w:sz w:val="18"/>
          <w:szCs w:val="18"/>
          <w:color w:val="auto"/>
        </w:rPr>
      </w:pPr>
    </w:p>
    <w:p>
      <w:pPr>
        <w:ind w:left="-8" w:right="20" w:firstLine="464"/>
        <w:spacing w:after="0" w:line="259" w:lineRule="auto"/>
        <w:tabs>
          <w:tab w:leader="none" w:pos="69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Change of Management or Financial Condition</w:t>
      </w:r>
      <w:r>
        <w:rPr>
          <w:rFonts w:ascii="Arial" w:cs="Arial" w:eastAsia="Arial" w:hAnsi="Arial"/>
          <w:sz w:val="18"/>
          <w:szCs w:val="18"/>
          <w:color w:val="auto"/>
        </w:rPr>
        <w:t>. Prompt notice of any change in the chief executive officer, chief financial officer, chief investment officer or general counsel of the Borrower, any Subsidiary or any other Loan Party and any change in the business, assets, liabilities, financial condition or results of operations of the</w:t>
      </w:r>
    </w:p>
    <w:p>
      <w:pPr>
        <w:spacing w:after="0" w:line="126" w:lineRule="exact"/>
        <w:rPr>
          <w:rFonts w:ascii="Arial" w:cs="Arial" w:eastAsia="Arial" w:hAnsi="Arial"/>
          <w:sz w:val="18"/>
          <w:szCs w:val="18"/>
          <w:color w:val="auto"/>
        </w:rPr>
      </w:pPr>
    </w:p>
    <w:p>
      <w:pPr>
        <w:ind w:left="5492"/>
        <w:spacing w:after="0"/>
        <w:rPr>
          <w:rFonts w:ascii="Arial" w:cs="Arial" w:eastAsia="Arial" w:hAnsi="Arial"/>
          <w:sz w:val="18"/>
          <w:szCs w:val="18"/>
          <w:color w:val="auto"/>
        </w:rPr>
      </w:pPr>
      <w:r>
        <w:rPr>
          <w:rFonts w:ascii="Arial" w:cs="Arial" w:eastAsia="Arial" w:hAnsi="Arial"/>
          <w:sz w:val="18"/>
          <w:szCs w:val="18"/>
          <w:color w:val="auto"/>
        </w:rPr>
        <w:t>– 74 –</w:t>
      </w:r>
    </w:p>
    <w:p>
      <w:pPr>
        <w:sectPr>
          <w:pgSz w:w="11900" w:h="16838" w:orient="portrait"/>
          <w:cols w:equalWidth="0" w:num="1">
            <w:col w:w="11372"/>
          </w:cols>
          <w:pgMar w:left="248" w:top="280"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any Subsidiary or any other Loan Party which has had or could reasonably be expected to have a Material Adverse Effect;</w:t>
      </w:r>
    </w:p>
    <w:p>
      <w:pPr>
        <w:spacing w:after="0" w:line="171" w:lineRule="exact"/>
        <w:rPr>
          <w:sz w:val="20"/>
          <w:szCs w:val="20"/>
          <w:color w:val="auto"/>
        </w:rPr>
      </w:pPr>
    </w:p>
    <w:p>
      <w:pPr>
        <w:ind w:right="40" w:firstLine="464"/>
        <w:spacing w:after="0" w:line="256"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Notice of the occurrence of any of the following promptly upon a Responsible Officer of the Borrower obtaining knowledge thereof: (i) 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right="200" w:firstLine="464"/>
        <w:spacing w:after="0" w:line="268"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Prompt notice of any order, judgment or decree in excess of $5,000,000 having been entered against the Borrower, any Subsidiary or any other Loan Party of any of their respective properties or assets;</w:t>
      </w:r>
    </w:p>
    <w:p>
      <w:pPr>
        <w:spacing w:after="0" w:line="131" w:lineRule="exact"/>
        <w:rPr>
          <w:rFonts w:ascii="Arial" w:cs="Arial" w:eastAsia="Arial" w:hAnsi="Arial"/>
          <w:sz w:val="18"/>
          <w:szCs w:val="18"/>
          <w:color w:val="auto"/>
        </w:rPr>
      </w:pPr>
    </w:p>
    <w:p>
      <w:pPr>
        <w:ind w:right="540" w:firstLine="464"/>
        <w:spacing w:after="0" w:line="259"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 of Violations of Law</w:t>
      </w:r>
      <w:r>
        <w:rPr>
          <w:rFonts w:ascii="Arial" w:cs="Arial" w:eastAsia="Arial" w:hAnsi="Arial"/>
          <w:sz w:val="18"/>
          <w:szCs w:val="18"/>
          <w:color w:val="auto"/>
        </w:rPr>
        <w:t>.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Material Subsidiary</w:t>
      </w:r>
      <w:r>
        <w:rPr>
          <w:rFonts w:ascii="Arial" w:cs="Arial" w:eastAsia="Arial" w:hAnsi="Arial"/>
          <w:sz w:val="18"/>
          <w:szCs w:val="18"/>
          <w:color w:val="auto"/>
        </w:rPr>
        <w:t>. Prompt notice of any Person becoming a Material Subsidiary;</w:t>
      </w:r>
    </w:p>
    <w:p>
      <w:pPr>
        <w:spacing w:after="0" w:line="171" w:lineRule="exact"/>
        <w:rPr>
          <w:rFonts w:ascii="Arial" w:cs="Arial" w:eastAsia="Arial" w:hAnsi="Arial"/>
          <w:sz w:val="18"/>
          <w:szCs w:val="18"/>
          <w:color w:val="auto"/>
        </w:rPr>
      </w:pPr>
    </w:p>
    <w:p>
      <w:pPr>
        <w:ind w:right="200" w:firstLine="464"/>
        <w:spacing w:after="0" w:line="268"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Material Asset Sales</w:t>
      </w:r>
      <w:r>
        <w:rPr>
          <w:rFonts w:ascii="Arial" w:cs="Arial" w:eastAsia="Arial" w:hAnsi="Arial"/>
          <w:sz w:val="18"/>
          <w:szCs w:val="18"/>
          <w:color w:val="auto"/>
        </w:rPr>
        <w:t>. Prompt notice of the sale, transfer or other disposition of any material assets of the Borrower, any Subsidiary or any other Loan Party to any Person other than the Borrower, any Subsidiary or any other Loan Party;</w:t>
      </w:r>
    </w:p>
    <w:p>
      <w:pPr>
        <w:spacing w:after="0" w:line="131" w:lineRule="exact"/>
        <w:rPr>
          <w:rFonts w:ascii="Arial" w:cs="Arial" w:eastAsia="Arial" w:hAnsi="Arial"/>
          <w:sz w:val="18"/>
          <w:szCs w:val="18"/>
          <w:color w:val="auto"/>
        </w:rPr>
      </w:pPr>
    </w:p>
    <w:p>
      <w:pPr>
        <w:ind w:right="40" w:firstLine="464"/>
        <w:spacing w:after="0" w:line="268" w:lineRule="auto"/>
        <w:tabs>
          <w:tab w:leader="none" w:pos="75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Patriot Act Information</w:t>
      </w:r>
      <w:r>
        <w:rPr>
          <w:rFonts w:ascii="Arial" w:cs="Arial" w:eastAsia="Arial" w:hAnsi="Arial"/>
          <w:sz w:val="18"/>
          <w:szCs w:val="18"/>
          <w:color w:val="auto"/>
        </w:rPr>
        <w:t>. From time to time and promptly upon each request, information identifying the Borrower as a Lender may request in order to comply with the USA Patriot Act (Title III of Pub. L. 107-56 (signed into law October 26, 2001)); and</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90" w:lineRule="exact"/>
        <w:rPr>
          <w:sz w:val="20"/>
          <w:szCs w:val="20"/>
          <w:color w:val="auto"/>
        </w:rPr>
      </w:pPr>
    </w:p>
    <w:p>
      <w:pPr>
        <w:jc w:val="both"/>
        <w:ind w:right="40" w:firstLine="464"/>
        <w:spacing w:after="0" w:line="258"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Borrower may deliver documents, materials and other information required to be delivered pursuant to Article VIII. (collectively, “</w:t>
      </w:r>
      <w:r>
        <w:rPr>
          <w:rFonts w:ascii="Arial" w:cs="Arial" w:eastAsia="Arial" w:hAnsi="Arial"/>
          <w:sz w:val="18"/>
          <w:szCs w:val="18"/>
          <w:b w:val="1"/>
          <w:bCs w:val="1"/>
          <w:color w:val="auto"/>
        </w:rPr>
        <w:t>Information</w:t>
      </w:r>
      <w:r>
        <w:rPr>
          <w:rFonts w:ascii="Arial" w:cs="Arial" w:eastAsia="Arial" w:hAnsi="Arial"/>
          <w:sz w:val="18"/>
          <w:szCs w:val="18"/>
          <w:color w:val="auto"/>
        </w:rPr>
        <w:t>”) in an electronic format acceptable to the Agent by e-mailing any such Information to an e-mail address of the Agent as specified by the Agent from time to time. The Agent shall promptly post such Information on the Borrower’s behalf on an internet or intranet website to which each Lender and the Agent has access, whether a commercial, third-</w:t>
      </w:r>
    </w:p>
    <w:p>
      <w:pPr>
        <w:spacing w:after="0" w:line="12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75 –</w:t>
      </w:r>
    </w:p>
    <w:p>
      <w:pPr>
        <w:sectPr>
          <w:pgSz w:w="11900" w:h="16838" w:orient="portrait"/>
          <w:cols w:equalWidth="0" w:num="1">
            <w:col w:w="11340"/>
          </w:cols>
          <w:pgMar w:left="240" w:top="280" w:right="319" w:bottom="1440" w:gutter="0" w:footer="0" w:header="0"/>
        </w:sectPr>
      </w:pPr>
    </w:p>
    <w:bookmarkStart w:id="85" w:name="page86"/>
    <w:bookmarkEnd w:id="85"/>
    <w:p>
      <w:pPr>
        <w:ind w:right="5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website (such as Intralinks or SyndTrak) or a website sponsored by the Agent (the “</w:t>
      </w:r>
      <w:r>
        <w:rPr>
          <w:rFonts w:ascii="Arial" w:cs="Arial" w:eastAsia="Arial" w:hAnsi="Arial"/>
          <w:sz w:val="18"/>
          <w:szCs w:val="18"/>
          <w:b w:val="1"/>
          <w:bCs w:val="1"/>
          <w:color w:val="auto"/>
        </w:rPr>
        <w:t>Platform</w:t>
      </w:r>
      <w:r>
        <w:rPr>
          <w:rFonts w:ascii="Arial" w:cs="Arial" w:eastAsia="Arial" w:hAnsi="Arial"/>
          <w:sz w:val="18"/>
          <w:szCs w:val="18"/>
          <w:color w:val="auto"/>
        </w:rPr>
        <w:t>”). Such Information shall only be deemed to have been delivered to the Lenders on the date on which such information is so posted. The Agent shall promptly notify each Lender by e-mail or otherwise when Information is posted to the Platform.</w:t>
      </w:r>
    </w:p>
    <w:p>
      <w:pPr>
        <w:spacing w:after="0" w:line="138" w:lineRule="exact"/>
        <w:rPr>
          <w:sz w:val="20"/>
          <w:szCs w:val="20"/>
          <w:color w:val="auto"/>
        </w:rPr>
      </w:pPr>
    </w:p>
    <w:p>
      <w:pPr>
        <w:ind w:firstLine="464"/>
        <w:spacing w:after="0" w:line="289"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addition, the Borrower may deliver Information required to be delivered pursuant to Sections 8.1., 8.2., and 8.4.(b) and (c) by posting any such Information to the Borrower’s internet website (as of the Agreement Date, www.federalrealty.com). Any such Information provided in such manner shall only be deemed to have been delivered to the Agent or a Lender (i) on the date on which the Agent or such Lender, as applicable, receives notice from the Borrower that such Information has been posted to the Borrower’s internet website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w:t>
      </w:r>
    </w:p>
    <w:p>
      <w:pPr>
        <w:spacing w:after="0" w:line="118" w:lineRule="exact"/>
        <w:rPr>
          <w:rFonts w:ascii="Arial" w:cs="Arial" w:eastAsia="Arial" w:hAnsi="Arial"/>
          <w:sz w:val="16"/>
          <w:szCs w:val="16"/>
          <w:color w:val="auto"/>
        </w:rPr>
      </w:pPr>
    </w:p>
    <w:p>
      <w:pPr>
        <w:ind w:right="180" w:firstLine="464"/>
        <w:spacing w:after="0" w:line="306"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Borrower shall deliver paper copies of Information to the Agent or any Lender that requests the Borrower to deliver such paper copies until a written request to cease delivering paper copies is given to the Borrower by the Agent or such Lender and (ii) in every instance the Borrower shall be required to provide to the Agent a paper original of the Compliance Certificate required by Section 8.3.</w:t>
      </w:r>
    </w:p>
    <w:p>
      <w:pPr>
        <w:spacing w:after="0" w:line="106" w:lineRule="exact"/>
        <w:rPr>
          <w:rFonts w:ascii="Arial" w:cs="Arial" w:eastAsia="Arial" w:hAnsi="Arial"/>
          <w:sz w:val="16"/>
          <w:szCs w:val="16"/>
          <w:color w:val="auto"/>
        </w:rPr>
      </w:pPr>
    </w:p>
    <w:p>
      <w:pPr>
        <w:ind w:right="120" w:firstLine="464"/>
        <w:spacing w:after="0" w:line="288"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Borrower acknowledges and agrees that the Agent may make Information, as well as any other written information, reports, data, certificates, documents, instruments, agreements and other materials relating to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w:t>
      </w:r>
      <w:r>
        <w:rPr>
          <w:rFonts w:ascii="Arial" w:cs="Arial" w:eastAsia="Arial" w:hAnsi="Arial"/>
          <w:sz w:val="16"/>
          <w:szCs w:val="16"/>
          <w:b w:val="1"/>
          <w:bCs w:val="1"/>
          <w:color w:val="auto"/>
        </w:rPr>
        <w:t>Communications</w:t>
      </w:r>
      <w:r>
        <w:rPr>
          <w:rFonts w:ascii="Arial" w:cs="Arial" w:eastAsia="Arial" w:hAnsi="Arial"/>
          <w:sz w:val="16"/>
          <w:szCs w:val="16"/>
          <w:color w:val="auto"/>
        </w:rPr>
        <w:t>”) available to the Lenders by posting the same on the Platform. The Borrower acknowledges that (i) the distribution of material through an electronic medium, such as the Platform,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The provisions of the immediately preceding clause (i) are not intended to limit the Lenders’ obligations under Section 12.8.</w:t>
      </w:r>
    </w:p>
    <w:p>
      <w:pPr>
        <w:spacing w:after="0" w:line="119" w:lineRule="exact"/>
        <w:rPr>
          <w:rFonts w:ascii="Arial" w:cs="Arial" w:eastAsia="Arial" w:hAnsi="Arial"/>
          <w:sz w:val="16"/>
          <w:szCs w:val="16"/>
          <w:color w:val="auto"/>
        </w:rPr>
      </w:pPr>
    </w:p>
    <w:p>
      <w:pPr>
        <w:ind w:left="700" w:hanging="236"/>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Agent shall have no obligation to request the delivery or to maintain copies of any of the Information or other materials referred to above, and in no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w:t>
      </w:r>
    </w:p>
    <w:p>
      <w:pPr>
        <w:spacing w:after="0" w:line="151"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76 –</w:t>
      </w:r>
    </w:p>
    <w:p>
      <w:pPr>
        <w:sectPr>
          <w:pgSz w:w="11900" w:h="16838" w:orient="portrait"/>
          <w:cols w:equalWidth="0" w:num="1">
            <w:col w:w="11400"/>
          </w:cols>
          <w:pgMar w:left="240" w:top="274" w:right="259" w:bottom="1440" w:gutter="0" w:footer="0" w:header="0"/>
        </w:sectPr>
      </w:pPr>
    </w:p>
    <w:bookmarkStart w:id="86" w:name="page87"/>
    <w:bookmarkEnd w:id="8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any responsibility to monitor compliance by the Borrower with any such requests. Each Lender shall be solely responsible for requesting delivery to it or maintaining its copies of such Information or other materials.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permit:</w:t>
      </w:r>
    </w:p>
    <w:p>
      <w:pPr>
        <w:spacing w:after="0" w:line="171" w:lineRule="exact"/>
        <w:rPr>
          <w:sz w:val="20"/>
          <w:szCs w:val="20"/>
          <w:color w:val="auto"/>
        </w:rPr>
      </w:pPr>
    </w:p>
    <w:p>
      <w:pPr>
        <w:ind w:firstLine="464"/>
        <w:spacing w:after="0" w:line="283" w:lineRule="auto"/>
        <w:tabs>
          <w:tab w:leader="none" w:pos="695"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xml:space="preserve">. The ratio of (i) Total Indebtedness to (ii) Total Asset Value, to exceed 0.60 to 1.0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ratio is greater than 0.60 to 1.0 but is not greater than 0.65 to 1.0, then such failure to comply with the foregoing covenant shall not constitute a Default or an Event of Default and the Borrower shall be deemed to be in compliance with this subsection (a) so long as (1) the Borrower’s failure to comply with the foregoing covenant resulted from the Borrower’s (or any Subsidiary’s) acquisition of a portfolio of Properties, (2) such acquisition is otherwise permitted hereunder,</w:t>
      </w:r>
    </w:p>
    <w:p>
      <w:pPr>
        <w:spacing w:after="0" w:line="2" w:lineRule="exact"/>
        <w:rPr>
          <w:rFonts w:ascii="Arial" w:cs="Arial" w:eastAsia="Arial" w:hAnsi="Arial"/>
          <w:sz w:val="16"/>
          <w:szCs w:val="16"/>
          <w:color w:val="auto"/>
        </w:rPr>
      </w:pPr>
    </w:p>
    <w:p>
      <w:pPr>
        <w:ind w:right="120" w:firstLine="8"/>
        <w:spacing w:after="0" w:line="261"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ratio does not exceed 0.60 to 1.0 for a period of more than two complete consecutive fiscal quarters and (4) the Borrower shall not have previously used the exception provided in clauses (1) through (3) on more than one occasion during the term of this Agreement.</w:t>
      </w:r>
    </w:p>
    <w:p>
      <w:pPr>
        <w:spacing w:after="0" w:line="137" w:lineRule="exact"/>
        <w:rPr>
          <w:rFonts w:ascii="Arial" w:cs="Arial" w:eastAsia="Arial" w:hAnsi="Arial"/>
          <w:sz w:val="18"/>
          <w:szCs w:val="18"/>
          <w:color w:val="auto"/>
        </w:rPr>
      </w:pPr>
    </w:p>
    <w:p>
      <w:pPr>
        <w:ind w:right="60" w:firstLine="464"/>
        <w:spacing w:after="0" w:line="332" w:lineRule="auto"/>
        <w:tabs>
          <w:tab w:leader="none" w:pos="705"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ratio of (i) Adjusted EBITDA of the Borrower and its Subsidiaries determined on a consolidated basis for the fiscal quarter of the Borrower most recently ending to (ii) Fixed Charges for such period, to be less than 1.50 to 1.00 at the end of any fiscal quarter.</w:t>
      </w:r>
    </w:p>
    <w:p>
      <w:pPr>
        <w:spacing w:after="0" w:line="85" w:lineRule="exact"/>
        <w:rPr>
          <w:rFonts w:ascii="Arial" w:cs="Arial" w:eastAsia="Arial" w:hAnsi="Arial"/>
          <w:sz w:val="16"/>
          <w:szCs w:val="16"/>
          <w:color w:val="auto"/>
        </w:rPr>
      </w:pPr>
    </w:p>
    <w:p>
      <w:pPr>
        <w:ind w:right="40" w:firstLine="464"/>
        <w:spacing w:after="0" w:line="268" w:lineRule="auto"/>
        <w:tabs>
          <w:tab w:leader="none" w:pos="695"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Maximum Secured Indebtedness Ratio</w:t>
      </w:r>
      <w:r>
        <w:rPr>
          <w:rFonts w:ascii="Arial" w:cs="Arial" w:eastAsia="Arial" w:hAnsi="Arial"/>
          <w:sz w:val="18"/>
          <w:szCs w:val="18"/>
          <w:color w:val="auto"/>
        </w:rPr>
        <w:t>. The ratio of (i) Secured Indebtedness of the Borrower and its Subsidiaries determined on a consolidated basis to (ii) Total Asset Value, to be greater than 0.350 to 1.00 at any time.</w:t>
      </w:r>
    </w:p>
    <w:p>
      <w:pPr>
        <w:spacing w:after="0" w:line="131" w:lineRule="exact"/>
        <w:rPr>
          <w:rFonts w:ascii="Arial" w:cs="Arial" w:eastAsia="Arial" w:hAnsi="Arial"/>
          <w:sz w:val="18"/>
          <w:szCs w:val="18"/>
          <w:color w:val="auto"/>
        </w:rPr>
      </w:pPr>
    </w:p>
    <w:p>
      <w:pPr>
        <w:ind w:right="780" w:firstLine="464"/>
        <w:spacing w:after="0" w:line="268" w:lineRule="auto"/>
        <w:tabs>
          <w:tab w:leader="none" w:pos="705"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Minimum Unencumbered Leverage Ratio</w:t>
      </w:r>
      <w:r>
        <w:rPr>
          <w:rFonts w:ascii="Arial" w:cs="Arial" w:eastAsia="Arial" w:hAnsi="Arial"/>
          <w:sz w:val="18"/>
          <w:szCs w:val="18"/>
          <w:color w:val="auto"/>
        </w:rPr>
        <w:t>. The ratio of (i) Unencumbered Asset Value to (ii) Unsecured Indebtedness of the Borrower and its Subsidiaries determined on a consolidated basis, to be less than 1.60 to 1.00 at the any time.</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Minimum Net Worth</w:t>
      </w:r>
      <w:r>
        <w:rPr>
          <w:rFonts w:ascii="Arial" w:cs="Arial" w:eastAsia="Arial" w:hAnsi="Arial"/>
          <w:sz w:val="18"/>
          <w:szCs w:val="18"/>
          <w:color w:val="auto"/>
        </w:rPr>
        <w:t xml:space="preserve">. Tangible Net Worth at any time to be less than (i) $870,000,000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75% of the Net Proceeds of all Equity Issuances effected by the Borrower or any Subsidiary after June 30, 2003 (other than Equity Issuances to the Borrower or any Subsidiary).</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77 –</w:t>
      </w:r>
    </w:p>
    <w:p>
      <w:pPr>
        <w:sectPr>
          <w:pgSz w:w="11900" w:h="16838" w:orient="portrait"/>
          <w:cols w:equalWidth="0" w:num="1">
            <w:col w:w="11420"/>
          </w:cols>
          <w:pgMar w:left="240" w:top="280" w:right="239" w:bottom="1440" w:gutter="0" w:footer="0" w:header="0"/>
        </w:sectPr>
      </w:pPr>
    </w:p>
    <w:bookmarkStart w:id="87" w:name="page88"/>
    <w:bookmarkEnd w:id="87"/>
    <w:p>
      <w:pPr>
        <w:ind w:right="240" w:firstLine="464"/>
        <w:spacing w:after="0" w:line="268" w:lineRule="auto"/>
        <w:tabs>
          <w:tab w:leader="none" w:pos="67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Owned by Borrower and Guarantors</w:t>
      </w:r>
      <w:r>
        <w:rPr>
          <w:rFonts w:ascii="Arial" w:cs="Arial" w:eastAsia="Arial" w:hAnsi="Arial"/>
          <w:sz w:val="18"/>
          <w:szCs w:val="18"/>
          <w:color w:val="auto"/>
        </w:rPr>
        <w:t>. The amount of Adjusted Total Asset Value attributable to assets directly owned by the Borrower and the Guarantors to be less than 95.0% of Adjusted Total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Restricted Payments.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Borrower shall not, and shall not permit any of its Subsidiaries to, declare or make any Restricted Payment if an Event of Default or a Major Default exists or a Default or Event of Default would result from the making of such Restricted Payment, except that the Borrower may, subject to the immediately following sentence, declare and make cash distributions to its shareholders during any fiscal year in an aggregate amount not to exceed the minimum amount necessary for the Borrower to remain in compliance with Section 7.13. If an Event of Default specified in Section 10.1.(a), Section 10.1.(b), Section 10.1.(f) or Section 10.1.(g) shall exist, or if as a result of the occurrence of any other Event of Default any of the Obligations have been accelerated pursuant to Section 10.2. (a), the Borrower shall not, and shall not permit any Subsidiary to, make any Restricted Payments to any Person other than to the Borrower or any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Indebtedness.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Certain Permitted Investments.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Borrower shall not, and shall not permit any Subsidiary to, make any Investment in or otherwise own the following items which would cause the aggregate value of such holdings of the Borrower and such other Subsidiaries to exceed 35.0% of Total Asset Value at any time:</w:t>
      </w:r>
    </w:p>
    <w:p>
      <w:pPr>
        <w:spacing w:after="0" w:line="85" w:lineRule="exact"/>
        <w:rPr>
          <w:sz w:val="20"/>
          <w:szCs w:val="20"/>
          <w:color w:val="auto"/>
        </w:rPr>
      </w:pPr>
    </w:p>
    <w:p>
      <w:pPr>
        <w:ind w:right="60"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Investments in Unconsolidated Affiliates and other Persons that are not Subsidiaries and Investments in Subsidiaries that own Non-Controlled Properties, with the aggregate value of such Investments determined in a manner consistent with the definition of Total Asset Value or, if not contemplated under the definition of Total Asset Value, as determined in accordance with GAAP;</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book value of all Mortgage Receivables;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Construction Budget for all real property under construction.</w:t>
      </w:r>
    </w:p>
    <w:p>
      <w:pPr>
        <w:spacing w:after="0" w:line="157"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78 –</w:t>
      </w:r>
    </w:p>
    <w:p>
      <w:pPr>
        <w:sectPr>
          <w:pgSz w:w="11900" w:h="16838" w:orient="portrait"/>
          <w:cols w:equalWidth="0" w:num="1">
            <w:col w:w="11380"/>
          </w:cols>
          <w:pgMar w:left="240" w:top="280"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9.5. Investments Generally.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132" w:lineRule="exact"/>
        <w:rPr>
          <w:sz w:val="20"/>
          <w:szCs w:val="20"/>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6.1.(b);</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permitted under Section 9.4.;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Section 9.3.;</w:t>
      </w:r>
    </w:p>
    <w:p>
      <w:pPr>
        <w:spacing w:after="0" w:line="131" w:lineRule="exact"/>
        <w:rPr>
          <w:rFonts w:ascii="Arial" w:cs="Arial" w:eastAsia="Arial" w:hAnsi="Arial"/>
          <w:sz w:val="18"/>
          <w:szCs w:val="18"/>
          <w:color w:val="auto"/>
        </w:rPr>
      </w:pPr>
    </w:p>
    <w:p>
      <w:pPr>
        <w:ind w:right="60" w:firstLine="464"/>
        <w:spacing w:after="0" w:line="259" w:lineRule="auto"/>
        <w:tabs>
          <w:tab w:leader="none" w:pos="6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Liens; Negative Pledges; Other Matters.</w:t>
      </w:r>
    </w:p>
    <w:p>
      <w:pPr>
        <w:spacing w:after="0" w:line="96" w:lineRule="exact"/>
        <w:rPr>
          <w:sz w:val="20"/>
          <w:szCs w:val="20"/>
          <w:color w:val="auto"/>
        </w:rPr>
      </w:pPr>
    </w:p>
    <w:p>
      <w:pPr>
        <w:ind w:right="20" w:firstLine="464"/>
        <w:spacing w:after="0" w:line="298"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99"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79 –</w:t>
      </w:r>
    </w:p>
    <w:p>
      <w:pPr>
        <w:sectPr>
          <w:pgSz w:w="11900" w:h="16838" w:orient="portrait"/>
          <w:cols w:equalWidth="0" w:num="1">
            <w:col w:w="11360"/>
          </w:cols>
          <w:pgMar w:left="240" w:top="274" w:right="299" w:bottom="1440" w:gutter="0" w:footer="0" w:header="0"/>
        </w:sectPr>
      </w:pPr>
    </w:p>
    <w:bookmarkStart w:id="89" w:name="page90"/>
    <w:bookmarkEnd w:id="89"/>
    <w:p>
      <w:pPr>
        <w:ind w:firstLine="464"/>
        <w:spacing w:after="0" w:line="298"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shall not, and shall not permit any Subsidiary or other Loan Party to, enter into, assume or otherwise be bound by any Negative Pledge except for a Negative Pledge contained in any agreement (i) evidencing Indebtedness which the Borrower or such Subsidiary may create, incur, assume, or permit or suffer to exist under Section 9.3.; (ii) which Indebtedness is secured by a Lien permitted to exist hereunder and (iii) which prohibits the creation of any other Lien on only the property securing such Indebtedness as of the date such agreement was entered into.</w:t>
      </w:r>
    </w:p>
    <w:p>
      <w:pPr>
        <w:spacing w:after="0" w:line="112"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 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Merger, Consolidation, Sales of Assets and Other Arrangements.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07" w:lineRule="exact"/>
        <w:rPr>
          <w:sz w:val="20"/>
          <w:szCs w:val="20"/>
          <w:color w:val="auto"/>
        </w:rPr>
      </w:pPr>
    </w:p>
    <w:p>
      <w:pPr>
        <w:ind w:firstLine="464"/>
        <w:spacing w:after="0" w:line="288"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 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w:t>
      </w:r>
    </w:p>
    <w:p>
      <w:pPr>
        <w:spacing w:after="0" w:line="106"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80 –</w:t>
      </w:r>
    </w:p>
    <w:p>
      <w:pPr>
        <w:sectPr>
          <w:pgSz w:w="11900" w:h="16838" w:orient="portrait"/>
          <w:cols w:equalWidth="0" w:num="1">
            <w:col w:w="11380"/>
          </w:cols>
          <w:pgMar w:left="240" w:top="280" w:right="279" w:bottom="1440" w:gutter="0" w:footer="0" w:header="0"/>
        </w:sectPr>
      </w:pPr>
    </w:p>
    <w:bookmarkStart w:id="90" w:name="page91"/>
    <w:bookmarkEnd w:id="9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Sections 5.1.(a)(ix) through (xii) 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120" w:lineRule="exact"/>
        <w:rPr>
          <w:sz w:val="20"/>
          <w:szCs w:val="20"/>
          <w:color w:val="auto"/>
        </w:rPr>
      </w:pPr>
    </w:p>
    <w:p>
      <w:pPr>
        <w:ind w:right="120" w:firstLine="464"/>
        <w:spacing w:after="0" w:line="268"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Borrower, its Subsidiaries and the other Loan Parties may lease and sublease their respective assets, as lessor or sublessor (as the case may be), in the ordinary course of their business;</w:t>
      </w:r>
    </w:p>
    <w:p>
      <w:pPr>
        <w:spacing w:after="0" w:line="131" w:lineRule="exact"/>
        <w:rPr>
          <w:rFonts w:ascii="Arial" w:cs="Arial" w:eastAsia="Arial" w:hAnsi="Arial"/>
          <w:sz w:val="18"/>
          <w:szCs w:val="18"/>
          <w:color w:val="auto"/>
        </w:rPr>
      </w:pPr>
    </w:p>
    <w:p>
      <w:pPr>
        <w:ind w:firstLine="464"/>
        <w:spacing w:after="0" w:line="256"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 and</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Borrower and each Subsidiary may transfer property as security for Indebtedness permitted by Section 9.3.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change its fiscal year from that in effect as of the Agreement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Modifications of Organizational Documents.</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Transactions with Affiliates.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Borrower shall not, and shall not permit any of its Subsidiaries or any other Loan Party to, permit to exist or enter into, any transaction (including the purchase, sale,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20"/>
          </w:cols>
          <w:pgMar w:left="240" w:top="280" w:right="339" w:bottom="1440" w:gutter="0" w:footer="0" w:header="0"/>
        </w:sectPr>
      </w:pPr>
    </w:p>
    <w:bookmarkStart w:id="91" w:name="page92"/>
    <w:bookmarkEnd w:id="91"/>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 or exchange of any property or the rendering of any service) with any Affiliate, except (a) compensation, bonus and benefit arrangements with employees and trustees as permitted by Applicable Law; (b) 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9.11. ERISA Exemptions.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Borrower shall not, and shall not permit any Subsidiary to, permit any of its respective assets to become or be deemed to be “plan assets” within the meaning of ERISA,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Non-Controlled Properties.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32" w:lineRule="exact"/>
        <w:rPr>
          <w:sz w:val="20"/>
          <w:szCs w:val="20"/>
          <w:color w:val="auto"/>
        </w:rPr>
      </w:pPr>
    </w:p>
    <w:p>
      <w:pPr>
        <w:ind w:right="140"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w:t>
      </w:r>
      <w:r>
        <w:rPr>
          <w:rFonts w:ascii="Arial" w:cs="Arial" w:eastAsia="Arial" w:hAnsi="Arial"/>
          <w:sz w:val="18"/>
          <w:szCs w:val="18"/>
          <w:color w:val="auto"/>
        </w:rPr>
        <w:t>. The Borrower shall fail to pay when due (whether upon demand, at maturity, by reason of acceleration or otherwise) the principal of any of the Loans, or any Reimbursement Obligation.</w:t>
      </w:r>
    </w:p>
    <w:p>
      <w:pPr>
        <w:spacing w:after="0" w:line="131" w:lineRule="exact"/>
        <w:rPr>
          <w:rFonts w:ascii="Arial" w:cs="Arial" w:eastAsia="Arial" w:hAnsi="Arial"/>
          <w:sz w:val="18"/>
          <w:szCs w:val="18"/>
          <w:color w:val="auto"/>
        </w:rPr>
      </w:pPr>
    </w:p>
    <w:p>
      <w:pPr>
        <w:ind w:right="100" w:firstLine="464"/>
        <w:spacing w:after="0" w:line="256"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Default in Payment of Interest and Other Obligations</w:t>
      </w:r>
      <w:r>
        <w:rPr>
          <w:rFonts w:ascii="Arial" w:cs="Arial" w:eastAsia="Arial" w:hAnsi="Arial"/>
          <w:sz w:val="18"/>
          <w:szCs w:val="18"/>
          <w:color w:val="auto"/>
        </w:rPr>
        <w:t>.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143" w:lineRule="exact"/>
        <w:rPr>
          <w:rFonts w:ascii="Arial" w:cs="Arial" w:eastAsia="Arial" w:hAnsi="Arial"/>
          <w:sz w:val="18"/>
          <w:szCs w:val="18"/>
          <w:color w:val="auto"/>
        </w:rPr>
      </w:pPr>
    </w:p>
    <w:p>
      <w:pPr>
        <w:ind w:right="2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Default in Performance</w:t>
      </w:r>
      <w:r>
        <w:rPr>
          <w:rFonts w:ascii="Arial" w:cs="Arial" w:eastAsia="Arial" w:hAnsi="Arial"/>
          <w:sz w:val="18"/>
          <w:szCs w:val="18"/>
          <w:color w:val="auto"/>
        </w:rPr>
        <w:t>. (i) The Borrower shall fail to perform or observe any term, covenant, condition or agreement contained in Section 8.4.(h) or in Article IX. or (ii) the Borrower or any other Loan Party shall fail to perform or observe any term, covenant, condition or agreement contained in this Agreement or any other Loan</w:t>
      </w:r>
    </w:p>
    <w:p>
      <w:pPr>
        <w:spacing w:after="0" w:line="12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82 –</w:t>
      </w:r>
    </w:p>
    <w:p>
      <w:pPr>
        <w:sectPr>
          <w:pgSz w:w="11900" w:h="16838" w:orient="portrait"/>
          <w:cols w:equalWidth="0" w:num="1">
            <w:col w:w="11340"/>
          </w:cols>
          <w:pgMar w:left="240" w:top="280" w:right="31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 to which it is a party and not otherwise mentioned in this Section and in the case of this clause (ii)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Agent.</w:t>
      </w:r>
    </w:p>
    <w:p>
      <w:pPr>
        <w:spacing w:after="0" w:line="140" w:lineRule="exact"/>
        <w:rPr>
          <w:sz w:val="20"/>
          <w:szCs w:val="20"/>
          <w:color w:val="auto"/>
        </w:rPr>
      </w:pPr>
    </w:p>
    <w:p>
      <w:pPr>
        <w:ind w:firstLine="464"/>
        <w:spacing w:after="0" w:line="298"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8" w:lineRule="auto"/>
        <w:tabs>
          <w:tab w:leader="none" w:pos="110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31" w:lineRule="exact"/>
        <w:rPr>
          <w:rFonts w:ascii="Arial" w:cs="Arial" w:eastAsia="Arial" w:hAnsi="Arial"/>
          <w:sz w:val="16"/>
          <w:szCs w:val="16"/>
          <w:color w:val="auto"/>
        </w:rPr>
      </w:pPr>
    </w:p>
    <w:p>
      <w:pPr>
        <w:ind w:left="460" w:right="80" w:firstLine="443"/>
        <w:spacing w:after="0" w:line="259" w:lineRule="auto"/>
        <w:tabs>
          <w:tab w:leader="none" w:pos="11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205"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84"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360"/>
          </w:cols>
          <w:pgMar w:left="240" w:top="280" w:right="299" w:bottom="1440" w:gutter="0" w:footer="0" w:header="0"/>
        </w:sectPr>
      </w:pPr>
    </w:p>
    <w:bookmarkStart w:id="93" w:name="page94"/>
    <w:bookmarkEnd w:id="93"/>
    <w:p>
      <w:pPr>
        <w:ind w:left="-464" w:right="40" w:firstLine="464"/>
        <w:spacing w:after="0" w:line="289" w:lineRule="auto"/>
        <w:tabs>
          <w:tab w:leader="none" w:pos="21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Voluntary Bankruptcy Proceeding</w:t>
      </w:r>
      <w:r>
        <w:rPr>
          <w:rFonts w:ascii="Arial" w:cs="Arial" w:eastAsia="Arial" w:hAnsi="Arial"/>
          <w:sz w:val="16"/>
          <w:szCs w:val="16"/>
          <w:color w:val="auto"/>
        </w:rPr>
        <w: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18" w:lineRule="exact"/>
        <w:rPr>
          <w:rFonts w:ascii="Arial" w:cs="Arial" w:eastAsia="Arial" w:hAnsi="Arial"/>
          <w:sz w:val="16"/>
          <w:szCs w:val="16"/>
          <w:color w:val="auto"/>
        </w:rPr>
      </w:pPr>
    </w:p>
    <w:p>
      <w:pPr>
        <w:ind w:left="-464" w:firstLine="464"/>
        <w:spacing w:after="0" w:line="290" w:lineRule="auto"/>
        <w:tabs>
          <w:tab w:leader="none" w:pos="24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118" w:lineRule="exact"/>
        <w:rPr>
          <w:rFonts w:ascii="Arial" w:cs="Arial" w:eastAsia="Arial" w:hAnsi="Arial"/>
          <w:sz w:val="16"/>
          <w:szCs w:val="16"/>
          <w:color w:val="auto"/>
        </w:rPr>
      </w:pPr>
    </w:p>
    <w:p>
      <w:pPr>
        <w:ind w:left="-464" w:firstLine="464"/>
        <w:spacing w:after="0" w:line="256" w:lineRule="auto"/>
        <w:tabs>
          <w:tab w:leader="none" w:pos="24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Litigation; Enforceability</w:t>
      </w:r>
      <w:r>
        <w:rPr>
          <w:rFonts w:ascii="Arial" w:cs="Arial" w:eastAsia="Arial" w:hAnsi="Arial"/>
          <w:sz w:val="18"/>
          <w:szCs w:val="18"/>
          <w:color w:val="auto"/>
        </w:rPr>
        <w: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143" w:lineRule="exact"/>
        <w:rPr>
          <w:rFonts w:ascii="Arial" w:cs="Arial" w:eastAsia="Arial" w:hAnsi="Arial"/>
          <w:sz w:val="18"/>
          <w:szCs w:val="18"/>
          <w:color w:val="auto"/>
        </w:rPr>
      </w:pPr>
    </w:p>
    <w:p>
      <w:pPr>
        <w:ind w:left="-464" w:right="140" w:firstLine="464"/>
        <w:spacing w:after="0" w:line="298" w:lineRule="auto"/>
        <w:tabs>
          <w:tab w:leader="none" w:pos="20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shall be entered against the Borrower, any Subsidiary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w:t>
      </w:r>
    </w:p>
    <w:p>
      <w:pPr>
        <w:spacing w:after="0" w:line="99" w:lineRule="exact"/>
        <w:rPr>
          <w:rFonts w:ascii="Arial" w:cs="Arial" w:eastAsia="Arial" w:hAnsi="Arial"/>
          <w:sz w:val="16"/>
          <w:szCs w:val="16"/>
          <w:color w:val="auto"/>
        </w:rPr>
      </w:pPr>
    </w:p>
    <w:p>
      <w:pPr>
        <w:ind w:left="5036"/>
        <w:spacing w:after="0"/>
        <w:rPr>
          <w:rFonts w:ascii="Arial" w:cs="Arial" w:eastAsia="Arial" w:hAnsi="Arial"/>
          <w:sz w:val="16"/>
          <w:szCs w:val="16"/>
          <w:color w:val="auto"/>
        </w:rPr>
      </w:pPr>
      <w:r>
        <w:rPr>
          <w:rFonts w:ascii="Arial" w:cs="Arial" w:eastAsia="Arial" w:hAnsi="Arial"/>
          <w:sz w:val="18"/>
          <w:szCs w:val="18"/>
          <w:color w:val="auto"/>
        </w:rPr>
        <w:t>– 84 –</w:t>
      </w:r>
    </w:p>
    <w:p>
      <w:pPr>
        <w:sectPr>
          <w:pgSz w:w="11900" w:h="16838" w:orient="portrait"/>
          <w:cols w:equalWidth="0" w:num="1">
            <w:col w:w="10916"/>
          </w:cols>
          <w:pgMar w:left="704" w:top="280" w:right="279" w:bottom="1440" w:gutter="0" w:footer="0" w:header="0"/>
        </w:sectPr>
      </w:pPr>
    </w:p>
    <w:bookmarkStart w:id="94" w:name="page95"/>
    <w:bookmarkEnd w:id="94"/>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such outstanding judgments or orders entered against the Borrower, such Subsidiaries and such other Loan Parties, $25,000,000 or (B) in the case of an injunction or other non-monetary judgment, such judgment could reasonably be expected to have a Material Adverse Effect.</w:t>
      </w:r>
    </w:p>
    <w:p>
      <w:pPr>
        <w:spacing w:after="0" w:line="85" w:lineRule="exact"/>
        <w:rPr>
          <w:sz w:val="20"/>
          <w:szCs w:val="20"/>
          <w:color w:val="auto"/>
        </w:rPr>
      </w:pPr>
    </w:p>
    <w:p>
      <w:pPr>
        <w:ind w:right="20" w:firstLine="464"/>
        <w:spacing w:after="0" w:line="291" w:lineRule="auto"/>
        <w:tabs>
          <w:tab w:leader="none" w:pos="66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A warrant, writ of attachment, execution or similar process shall be issued against any property of the Borrower, any Subsidiary or any other Loan Party which exceeds, individually or together with all other such warrants, writs, executions and processes, $25,000,000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20" w:lineRule="exact"/>
        <w:rPr>
          <w:rFonts w:ascii="Arial" w:cs="Arial" w:eastAsia="Arial" w:hAnsi="Arial"/>
          <w:sz w:val="16"/>
          <w:szCs w:val="16"/>
          <w:color w:val="auto"/>
        </w:rPr>
      </w:pPr>
    </w:p>
    <w:p>
      <w:pPr>
        <w:ind w:firstLine="464"/>
        <w:spacing w:after="0" w:line="288"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Any member of the ERISA Group shall fail to pay when due an amount or amounts aggregating in excess of $25,000,000 which it shall have become liable to pay under Title IV of ERISA; or notice of intent to terminate a Plan or Plans having Unfunded Liabilities in excess of $25,000,000 in the aggregate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$25,000,000 in the aggregate; or a condition shall exist by reason of which the PBGC would be entitled to obtain a decree adjudicating that any Plan or Plans having Unfunded Liabilities in excess of $25,000,000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$25,000,000.</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An Event of Default (as defined therein) shall occur under any of the other Loan Documents.</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firstLine="443"/>
        <w:spacing w:after="0" w:line="301" w:lineRule="auto"/>
        <w:tabs>
          <w:tab w:leader="none" w:pos="1108"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or becomes the “beneficial owner” (as defined in Rules 13d-3 and 13d-5 under the Exchange Act, except that a Person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95"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85 –</w:t>
      </w:r>
    </w:p>
    <w:p>
      <w:pPr>
        <w:sectPr>
          <w:pgSz w:w="11900" w:h="16838" w:orient="portrait"/>
          <w:cols w:equalWidth="0" w:num="1">
            <w:col w:w="11400"/>
          </w:cols>
          <w:pgMar w:left="240" w:top="280" w:right="259" w:bottom="1440" w:gutter="0" w:footer="0" w:header="0"/>
        </w:sectPr>
      </w:pPr>
    </w:p>
    <w:bookmarkStart w:id="95" w:name="page96"/>
    <w:bookmarkEnd w:id="95"/>
    <w:p>
      <w:pPr>
        <w:ind w:left="460" w:right="200" w:firstLine="443"/>
        <w:spacing w:after="0" w:line="255" w:lineRule="auto"/>
        <w:tabs>
          <w:tab w:leader="none" w:pos="1157"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171"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9" w:lineRule="auto"/>
        <w:tabs>
          <w:tab w:leader="none" w:pos="1108"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Automatic</w:t>
      </w:r>
      <w:r>
        <w:rPr>
          <w:rFonts w:ascii="Arial" w:cs="Arial" w:eastAsia="Arial" w:hAnsi="Arial"/>
          <w:sz w:val="16"/>
          <w:szCs w:val="16"/>
          <w:color w:val="auto"/>
        </w:rPr>
        <w:t>. Upon the occurrence of an Event of Default specified in Sections 10.1.(f) or 10.1.(g), (A)(i) the principal of, and all accrued interest on, the Loans and the Notes at the time outstanding, (ii) an amount equal to the Stated Amount of all Letters of Credit outstanding as of the date of the occurrence of such Event of Default for deposit into the Collateral Account pursuant to Section 10.4. and (iii) all of the other Obligations of the Borrower, including, but not limited to, the other amounts owed to the Lenders, the Swingline Lender and the Agent under this Agreement, the Notes or any of the other Loan Documents shall become immediately and automatically due and payable by the Borrower without presentment, demand, protest, or other notice of any kind, all of which are expressly waived by the Borrower and (B) the obligation of the Lenders to make Revolving Loans, the obligation of the Swingline Lender to make Swingline Loans, the obligation of the Agent to issue Letters of Credit hereunder, and all of the Commitments and the Swingline Commitment shall all immediately and automatically terminate.</w:t>
      </w:r>
    </w:p>
    <w:p>
      <w:pPr>
        <w:spacing w:after="0" w:line="37" w:lineRule="exact"/>
        <w:rPr>
          <w:rFonts w:ascii="Arial" w:cs="Arial" w:eastAsia="Arial" w:hAnsi="Arial"/>
          <w:sz w:val="16"/>
          <w:szCs w:val="16"/>
          <w:color w:val="auto"/>
        </w:rPr>
      </w:pPr>
    </w:p>
    <w:p>
      <w:pPr>
        <w:ind w:left="460" w:firstLine="443"/>
        <w:spacing w:after="0" w:line="253" w:lineRule="auto"/>
        <w:tabs>
          <w:tab w:leader="none" w:pos="11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If any other Event of Default shall exist, the Agent shall, at the direction of the Requisite Lenders: (A) declare (1) the principal of, and accrued interest on, the Loans and the Notes at the time outstanding, (2) an amount equal to the Stated Amount of all Letters of Credit outstanding as of the date of the occurrence of such other Event of Default for deposit into the Collateral Account pursuant to Section 10.4. and (3)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 and (B) terminate the Commitments, the Swingline Commitment and the obligation of the Lenders to</w:t>
      </w:r>
    </w:p>
    <w:p>
      <w:pPr>
        <w:spacing w:after="0" w:line="133"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86 –</w:t>
      </w:r>
    </w:p>
    <w:p>
      <w:pPr>
        <w:sectPr>
          <w:pgSz w:w="11900" w:h="16838" w:orient="portrait"/>
          <w:cols w:equalWidth="0" w:num="1">
            <w:col w:w="11400"/>
          </w:cols>
          <w:pgMar w:left="240" w:top="280" w:right="25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Loans hereunder and the obligation of the Agent to issue Letters of Credit hereunder.</w:t>
      </w:r>
    </w:p>
    <w:p>
      <w:pPr>
        <w:spacing w:after="0" w:line="171" w:lineRule="exact"/>
        <w:rPr>
          <w:sz w:val="20"/>
          <w:szCs w:val="20"/>
          <w:color w:val="auto"/>
        </w:rPr>
      </w:pPr>
    </w:p>
    <w:p>
      <w:pPr>
        <w:ind w:right="140" w:firstLine="464"/>
        <w:spacing w:after="0" w:line="268"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Agent to, and the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Agent to, and the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jc w:val="both"/>
        <w:ind w:right="360" w:firstLine="464"/>
        <w:spacing w:after="0" w:line="298"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Allocation of Proceeds.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59" w:lineRule="exact"/>
        <w:rPr>
          <w:sz w:val="20"/>
          <w:szCs w:val="20"/>
          <w:color w:val="auto"/>
        </w:rPr>
      </w:pPr>
    </w:p>
    <w:p>
      <w:pPr>
        <w:ind w:left="1140" w:hanging="237"/>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amounts due to the Agent in respect of fees and expenses due under Section 12.2.;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amounts due to the Lenders in respect of fees and expenses due under Section 12.2., pro rata in the amount then due each Lender;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payments of interest on Swingline Loans;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payments of interest on all other Loans and Reimbursement Obligations, to be applied for the ratable benefit of the Lenders;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payments of principal of Swingline Loans;</w:t>
      </w:r>
    </w:p>
    <w:p>
      <w:pPr>
        <w:spacing w:after="0" w:line="90" w:lineRule="exact"/>
        <w:rPr>
          <w:rFonts w:ascii="Arial" w:cs="Arial" w:eastAsia="Arial" w:hAnsi="Arial"/>
          <w:sz w:val="18"/>
          <w:szCs w:val="18"/>
          <w:color w:val="auto"/>
        </w:rPr>
      </w:pPr>
    </w:p>
    <w:p>
      <w:pPr>
        <w:ind w:left="460" w:right="80" w:firstLine="443"/>
        <w:spacing w:after="0" w:line="306" w:lineRule="auto"/>
        <w:tabs>
          <w:tab w:leader="none" w:pos="111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payments of principal of all other Loans, Reimbursement Obligations and other Letter of Credit Liabilities, to be applied for the ratable benefit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any amounts available for distribution pursuant to this subsection are attributable to the issued but undrawn amount of an outstanding Letters of Credit, such amounts shall be paid to the Agent for deposit into the Collateral Account;</w:t>
      </w:r>
    </w:p>
    <w:p>
      <w:pPr>
        <w:spacing w:after="0" w:line="93"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87 –</w:t>
      </w:r>
    </w:p>
    <w:p>
      <w:pPr>
        <w:sectPr>
          <w:pgSz w:w="11900" w:h="16838" w:orient="portrait"/>
          <w:cols w:equalWidth="0" w:num="1">
            <w:col w:w="11420"/>
          </w:cols>
          <w:pgMar w:left="240" w:top="280" w:right="239" w:bottom="1440" w:gutter="0" w:footer="0" w:header="0"/>
        </w:sectPr>
      </w:pPr>
    </w:p>
    <w:bookmarkStart w:id="97" w:name="page98"/>
    <w:bookmarkEnd w:id="97"/>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due the Agent and the Lenders from the Borrower or the other Loan Parties pursuant to Sections 11.7. and 12.9.;</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and owing by the Borrower and the other Loan Parties under any of the Loan Documents, if any, to be applied for the ratable benefit of the Lenders; and</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Collateral Account.</w:t>
      </w:r>
    </w:p>
    <w:p>
      <w:pPr>
        <w:spacing w:after="0" w:line="96" w:lineRule="exact"/>
        <w:rPr>
          <w:sz w:val="20"/>
          <w:szCs w:val="20"/>
          <w:color w:val="auto"/>
        </w:rPr>
      </w:pPr>
    </w:p>
    <w:p>
      <w:pPr>
        <w:ind w:right="60" w:firstLine="464"/>
        <w:spacing w:after="0" w:line="294"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collateral security for the prompt payment in full when due of all Letter of Credit Liabilities and the other Obligations, the Borrower hereby pledges and grants to the Agent, for the ratable benefit of the Agent and the Lenders as provided herein, a security interest in all of its right, title and interest in and to the Collateral Account and the balances from time to time in the Collateral Account (including the investments and reinvestments therein provided for below). The balances from time to time in the Collateral Account shall not constitute payment of any Letter of Credit Liabilities until applied by the Agent as provided herein. Anything in this Agreement to the contrary notwithstanding, funds held in the Collateral Account shall be subject to withdrawal only as provided in this Section.</w:t>
      </w:r>
    </w:p>
    <w:p>
      <w:pPr>
        <w:spacing w:after="0" w:line="115" w:lineRule="exact"/>
        <w:rPr>
          <w:rFonts w:ascii="Arial" w:cs="Arial" w:eastAsia="Arial" w:hAnsi="Arial"/>
          <w:sz w:val="16"/>
          <w:szCs w:val="16"/>
          <w:color w:val="auto"/>
        </w:rPr>
      </w:pPr>
    </w:p>
    <w:p>
      <w:pPr>
        <w:ind w:firstLine="464"/>
        <w:spacing w:after="0" w:line="254"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Amounts on deposit in the Collateral Account shall be invested and reinvested by the Agent in such Cash Equivalents as the Agent shall determine in its sole discretion. All such investments and reinvestments shall be held in the name of and be under the sole dominion and control of the Agent for the ratable benefit of the Lenders. The Agent shall exercise reasonable care in the custody and preservation of any funds held in the Collateral Account and shall be deemed to have exercised such care if such funds are accorded treatment substantially equivalent to that which the Agent accords other funds deposited with the Agent, it being understood that the Agent shall not have any responsibility for taking any necessary steps to preserve rights against any parties with respect to any funds held in the Collateral Account.</w:t>
      </w:r>
    </w:p>
    <w:p>
      <w:pPr>
        <w:spacing w:after="0" w:line="144" w:lineRule="exact"/>
        <w:rPr>
          <w:rFonts w:ascii="Arial" w:cs="Arial" w:eastAsia="Arial" w:hAnsi="Arial"/>
          <w:sz w:val="18"/>
          <w:szCs w:val="18"/>
          <w:color w:val="auto"/>
        </w:rPr>
      </w:pPr>
    </w:p>
    <w:p>
      <w:pPr>
        <w:ind w:right="200" w:firstLine="464"/>
        <w:spacing w:after="0" w:line="259"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 drawing pursuant to any Letter of Credit occurs on or prior to the expiration date of such Letter of Credit, the Borrower and the Lenders authorize the Agent to use the monies deposited in the Collateral Account and proceeds thereof to make payment to the beneficiary with respect to such drawing or the payee with respect to such presentment.</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Event of Default exists, the Requisite Lenders may, in their discretion, at any time and from time to time, instruct the Agent to liquidate any such investments and reinvestments and apply proceeds thereof to the Obligations in accordance with Section 10.3.</w:t>
      </w:r>
    </w:p>
    <w:p>
      <w:pPr>
        <w:spacing w:after="0" w:line="118"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88 –</w:t>
      </w:r>
    </w:p>
    <w:p>
      <w:pPr>
        <w:sectPr>
          <w:pgSz w:w="11900" w:h="16838" w:orient="portrait"/>
          <w:cols w:equalWidth="0" w:num="1">
            <w:col w:w="11420"/>
          </w:cols>
          <w:pgMar w:left="240" w:top="280" w:right="239" w:bottom="1440" w:gutter="0" w:footer="0" w:header="0"/>
        </w:sectPr>
      </w:pPr>
    </w:p>
    <w:bookmarkStart w:id="98" w:name="page99"/>
    <w:bookmarkEnd w:id="98"/>
    <w:p>
      <w:pPr>
        <w:ind w:right="200" w:firstLine="464"/>
        <w:spacing w:after="0" w:line="294"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 long as no Default or Event of Default exists, and to the extent amounts on deposit in or credited to the Collateral Account exceed the aggregate amount of the Letter of Credit Liabilities then due and owing, the Agent shall, from time to time, at the request of the Borrower, deliver to the Borrower within ten (10) Business Days after the Agent’s receipt of such request from the Borrower, against receipt but without any recourse, warranty or representation whatsoever (other than a warranty that the Agent did not create any consensual Lien in any such amounts), such of the balances in the Collateral Account as exceed the aggregate amount of Letter of Credit Liabilities at such time.</w:t>
      </w:r>
    </w:p>
    <w:p>
      <w:pPr>
        <w:spacing w:after="0" w:line="115" w:lineRule="exact"/>
        <w:rPr>
          <w:rFonts w:ascii="Arial" w:cs="Arial" w:eastAsia="Arial" w:hAnsi="Arial"/>
          <w:sz w:val="16"/>
          <w:szCs w:val="16"/>
          <w:color w:val="auto"/>
        </w:rPr>
      </w:pPr>
    </w:p>
    <w:p>
      <w:pPr>
        <w:ind w:right="380" w:firstLine="464"/>
        <w:spacing w:after="0" w:line="268" w:lineRule="auto"/>
        <w:tabs>
          <w:tab w:leader="none" w:pos="67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shall pay to the Agent from time to time such fees as the Agent normally charges for similar services in connection with the Agent’s administration of the Collateral Account and investments and reinvestments of funds therein.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Performance by Agent.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Rights Cumulative.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Authorization and Action.</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Each Lender hereby appoints and authorizes the Agent to take such action as contractual representative on such Lender’s behalf and to exercise such powers under this Agreement and the other Loan Documents as are specifically delegated to the Agent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380"/>
          </w:cols>
          <w:pgMar w:left="240" w:top="280" w:right="279" w:bottom="1440" w:gutter="0" w:footer="0" w:header="0"/>
        </w:sectPr>
      </w:pPr>
    </w:p>
    <w:bookmarkStart w:id="99" w:name="page100"/>
    <w:bookmarkEnd w:id="9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At the request of a Lender, the Agent will forward to such Lender copies or, where appropriate, originals of the documents delivered to the Agent pursuant to this Agreement or the other Loan Documents. The Agent will also furnish to any Lender, upon request of such Lender, a copy of any certificate or notice furnished to the Agent by the Borrower, any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Agent’s Reliance, Etc.</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280" w:right="259" w:bottom="1440" w:gutter="0" w:footer="0" w:header="0"/>
        </w:sectPr>
      </w:pPr>
    </w:p>
    <w:bookmarkStart w:id="100" w:name="page101"/>
    <w:bookmarkEnd w:id="10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Notice of Defaults.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Wachovia as Lender.</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00"/>
          </w:cols>
          <w:pgMar w:left="240" w:top="280" w:right="2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 obligations in favor of such Person) and acknowledge that the Agent shall be under no obligation to provide such information to them.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Approvals of Lenders.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 (d) shall include the Agent’s recommended course of action or determination in respect thereof. Each Lender shall reply promptly, but in any event within 10 Business Days (or such lesser or greater period as may be specifically required under the Loan Documents) of receipt of such communication. Except as otherwise provided in this Agreement, unless a Lender shall give written notice to the Agent that it specifically objects to the recommendation or 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Lender Credit Decision, Etc.</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20"/>
          </w:cols>
          <w:pgMar w:left="240" w:top="280" w:right="239" w:bottom="1440" w:gutter="0" w:footer="0" w:header="0"/>
        </w:sectPr>
      </w:pPr>
    </w:p>
    <w:bookmarkStart w:id="102" w:name="page103"/>
    <w:bookmarkEnd w:id="10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Indemnification of Agent.</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Lender agrees to indemnify the Agent (to the extent not reimbursed by the Borrower and without limiting the obligation of the Borrower to do so) pro rata in accordance with such Lender’s respective Commitment Percentage, from and against any and all liabilities, obligations, losses, damages, penalties, actions, judgments, suits, reasonable out-of-pocket costs and expenses, or disbursements of any kind or nature whatsoever which may at any time be imposed on, incurred by, or asserted against the Agent (in its capacity as Agent but not as a Lender) in any way relating to or arising out of the Loan Documents, any transaction contemplated hereby or thereby or any action taken or omitted by the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provided, however, that no Lender shall be liable for any portion of such Indemnifiable Amounts to the extent resulting from the Agent’s gross negligence or willful misconduct as determined by a court of competent jurisdiction in a 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00"/>
          </w:cols>
          <w:pgMar w:left="240" w:top="280" w:right="259" w:bottom="1440" w:gutter="0" w:footer="0" w:header="0"/>
        </w:sectPr>
      </w:pPr>
    </w:p>
    <w:bookmarkStart w:id="103" w:name="page104"/>
    <w:bookmarkEnd w:id="10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Agent.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Agent may resign at any time as Agent under the Loan Documents by giving written notice thereof to the Lenders and the Borrower. The Agent may be removed as Agent under the Loan Documents for good cause by all of the Lenders (other than the Lender then acting as Agent) upon 30 days’ prior written notice to the Agent.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 retiring or removed Agent, and the retiring or removed Agent shall be discharged from its duties and obligations under the Loan Documents. Such successor Agent shall issue letters of credit in substitution for the Letters of Credit, if any, outstanding at the time of such succession or shall make other arrangements satisfactory to the current Agent, in either case, to assume effectively the obligations of the current Agent with respect to such Letters of Credit. After any Agent’s resignation or removal hereunder as Agent, the provisions of this Article XI. shall continue to inure to its benefit as to any actions taken or omitted to be taken by it while it was Agent under the Loan Documents.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“Sole Lead Arranger,” “Sole Book Manager”, “Syndication Agent” and “Documentation Agent” are solely honorific and imply no fiduciary responsibility on the part of the Titled Agents to the Agent, the Borrower or any Lender and the use of such titles does not impose on the Titled Agents any duties or obligations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360"/>
          </w:cols>
          <w:pgMar w:left="240" w:top="280" w:right="2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greater than those of any other Lender or entitle the Titled Agents to any rights other than those to which any other Lender is entitled.</w:t>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herein, communications provided for hereunder shall be in writing and shall be mailed, telecopied or delivered as follows: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the Borrower: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Stuart Brown</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Telephone:</w:t>
        <w:tab/>
        <w:t>(301) 998-8143</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 998-3701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 998-3715</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Wendelin A. White, P.C.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Pillsbury Winthrop Shaw Pittman LLP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Telephone:</w:t>
        <w:tab/>
        <w:t>(202) 663-8360</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(202) 663-8007</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Rex E. Rudy</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Telephone:</w:t>
        <w:tab/>
        <w:t>(704) 383-6506</w:t>
      </w:r>
    </w:p>
    <w:p>
      <w:pPr>
        <w:spacing w:after="0" w:line="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(704) 383-6205</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0960"/>
          </w:cols>
          <w:pgMar w:left="240" w:top="280" w:right="699"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a Lender:</w:t>
      </w:r>
    </w:p>
    <w:p>
      <w:pPr>
        <w:spacing w:after="0" w:line="90"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To such Lender’s address or telecopy number, as applicable, set forth on its signature page hereto or in the applicable Assignment and Acceptance Agreement;</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Borrower agrees (a) to pay or reimburse the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 in connection with the use of IntraLinks, Inc., SyndTrak or other similar information transmission systems in connection with the Loan Documents, (b) to pay or reimburse the Agent and the Lenders for all their costs and expenses incurred in connection with the enforcement or preservation of any rights under the Loan Documents, including the reasonable fees and disbursements of counsel to the Agent and one separate counsel for the Lenders and any payments in indemnification or otherwise payable by the 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00"/>
          </w:cols>
          <w:pgMar w:left="240" w:top="280" w:right="259" w:bottom="1440" w:gutter="0" w:footer="0" w:header="0"/>
        </w:sectPr>
      </w:pPr>
    </w:p>
    <w:bookmarkStart w:id="106" w:name="page107"/>
    <w:bookmarkEnd w:id="106"/>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Setoff.</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Agent, each Lender and each affiliate of the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such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Litigation; Jurisdiction; Other Matters; Waivers.</w:t>
      </w:r>
    </w:p>
    <w:p>
      <w:pPr>
        <w:spacing w:after="0" w:line="96" w:lineRule="exact"/>
        <w:rPr>
          <w:sz w:val="20"/>
          <w:szCs w:val="20"/>
          <w:color w:val="auto"/>
        </w:rPr>
      </w:pPr>
    </w:p>
    <w:p>
      <w:pPr>
        <w:ind w:firstLine="464"/>
        <w:spacing w:after="0" w:line="253"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 ANY COURT OR TRIBUNAL IN WHICH AN ACTION MAY BE COMMENCED BY OR AGAINST ANY PARTY HERETO ARISING OUT OF THIS AGREEMENT, THE NOTES, OR ANY OTHER LOAN DOCUMENT OR BY REASON OF ANY OTHER SUIT, CAUSE OF ACTION OR DISPUTE WHATSOEVER BETWEEN OR AMONG THE BORROWER, THE AGENT OR ANY OF THE LENDERS OF ANY KIND OR NATURE RELATING TO ANY OF THE LOAN DOCUMENTS.</w:t>
      </w:r>
    </w:p>
    <w:p>
      <w:pPr>
        <w:spacing w:after="0" w:line="145"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THE BORROWER, THE AGENT AND EACH LENDER HEREBY AGREES THAT THE FEDERAL DISTRICT COURT FOR THE SOUTHERN DISTRICT OF NEW YORK, AND ANY STATE COURT LOCATED IN THE BOROUGH OF MANHATTAN OF NEW YORK, NEW YORK, SHALL HAVE</w:t>
      </w:r>
    </w:p>
    <w:p>
      <w:pPr>
        <w:spacing w:after="0" w:line="12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 97 –</w:t>
      </w:r>
    </w:p>
    <w:p>
      <w:pPr>
        <w:sectPr>
          <w:pgSz w:w="11900" w:h="16838" w:orient="portrait"/>
          <w:cols w:equalWidth="0" w:num="1">
            <w:col w:w="11300"/>
          </w:cols>
          <w:pgMar w:left="240" w:top="280" w:right="359" w:bottom="1440" w:gutter="0" w:footer="0" w:header="0"/>
        </w:sectPr>
      </w:pPr>
    </w:p>
    <w:bookmarkStart w:id="107" w:name="page108"/>
    <w:bookmarkEnd w:id="107"/>
    <w:p>
      <w:pPr>
        <w:ind w:right="1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TO HEAR AND DETERMINE ANY CLAIMS OR DISPUTES BETWEEN OR AMONG THE BORROWER, THE AGENT OR ANY OF THE LENDERS PERTAINING DIRECTLY OR INDIRECTLY TO THIS AGREEMENT, THE LOANS AND LETTERS OF CREDIT,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50" w:lineRule="exact"/>
        <w:rPr>
          <w:sz w:val="20"/>
          <w:szCs w:val="20"/>
          <w:color w:val="auto"/>
        </w:rPr>
      </w:pPr>
    </w:p>
    <w:p>
      <w:pPr>
        <w:ind w:right="80" w:firstLine="464"/>
        <w:spacing w:after="0" w:line="256"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Successors and Assigns.</w:t>
      </w:r>
    </w:p>
    <w:p>
      <w:pPr>
        <w:spacing w:after="0" w:line="96" w:lineRule="exact"/>
        <w:rPr>
          <w:sz w:val="20"/>
          <w:szCs w:val="20"/>
          <w:color w:val="auto"/>
        </w:rPr>
      </w:pPr>
    </w:p>
    <w:p>
      <w:pPr>
        <w:ind w:firstLine="464"/>
        <w:spacing w:after="0" w:line="306"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permitted assigns, except that the Borrower may not assign or otherwise transfer any of its rights or obligations under this Agreement without the prior written consent of all Lenders and any such assignment or other transfer to which all of the Lenders have not so consented shall be null and void.</w:t>
      </w:r>
    </w:p>
    <w:p>
      <w:pPr>
        <w:spacing w:after="0" w:line="106"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Lender may make, carry or transfer Loans at, to or for the account of any of its branch offices or the office of an affiliate of such Lender except to the extent such transfer would result in increased costs to the Borrower.</w:t>
      </w:r>
    </w:p>
    <w:p>
      <w:pPr>
        <w:spacing w:after="0" w:line="125" w:lineRule="exact"/>
        <w:rPr>
          <w:rFonts w:ascii="Arial" w:cs="Arial" w:eastAsia="Arial" w:hAnsi="Arial"/>
          <w:sz w:val="18"/>
          <w:szCs w:val="18"/>
          <w:color w:val="auto"/>
        </w:rPr>
      </w:pPr>
    </w:p>
    <w:p>
      <w:pPr>
        <w:ind w:right="20" w:firstLine="464"/>
        <w:spacing w:after="0" w:line="301"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Lender may at any time grant to one or more banks or other financial institutions (each a “</w:t>
      </w:r>
      <w:r>
        <w:rPr>
          <w:rFonts w:ascii="Arial" w:cs="Arial" w:eastAsia="Arial" w:hAnsi="Arial"/>
          <w:sz w:val="16"/>
          <w:szCs w:val="16"/>
          <w:b w:val="1"/>
          <w:bCs w:val="1"/>
          <w:color w:val="auto"/>
        </w:rPr>
        <w:t>Participant</w:t>
      </w:r>
      <w:r>
        <w:rPr>
          <w:rFonts w:ascii="Arial" w:cs="Arial" w:eastAsia="Arial" w:hAnsi="Arial"/>
          <w:sz w:val="16"/>
          <w:szCs w:val="16"/>
          <w:color w:val="auto"/>
        </w:rPr>
        <w:t>”) participating interests in its Commitment or the Loans or other Obligations owing to such Lender; provided, however, (i) any such participating interest must be for a constant and not a varying percentage interest and (ii) unless the Borrower and the Agent otherwise agree, after giving effect to the grant of a participating interest in a Lender’s Commitment, the amount of its Commitment in which it has not granted any participating interests must be equal to at least $10,000,000. No Participant</w:t>
      </w:r>
    </w:p>
    <w:p>
      <w:pPr>
        <w:spacing w:after="0" w:line="95"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98 –</w:t>
      </w:r>
    </w:p>
    <w:p>
      <w:pPr>
        <w:sectPr>
          <w:pgSz w:w="11900" w:h="16838" w:orient="portrait"/>
          <w:cols w:equalWidth="0" w:num="1">
            <w:col w:w="11420"/>
          </w:cols>
          <w:pgMar w:left="240" w:top="280" w:right="239" w:bottom="1440" w:gutter="0" w:footer="0" w:header="0"/>
        </w:sectPr>
      </w:pPr>
    </w:p>
    <w:bookmarkStart w:id="108" w:name="page109"/>
    <w:bookmarkEnd w:id="108"/>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any rights or benefits under this Agreement or any other Loan Document. In the event of any such grant by a Lender of a participating interest to a Participant, such Lender shall remain responsible for the performance of its obligations hereunder, and the Borrower and the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provided, however, such Lender may agree with the Participant that it will not, without the consent of the Participant, agree to (i) increase, or extend the term or extend the time or waive any requirement for the reduction or termination of, such Lender’s Commitment, (ii) extend the date fixed for the payment of principal of or interest on the Loans or portions thereof owing to such Lender, (iii) reduce the amount of any such payment of principal, (iv) reduce the rate at which interest is payable thereon or</w:t>
      </w:r>
    </w:p>
    <w:p>
      <w:pPr>
        <w:spacing w:after="0" w:line="6"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release any Guarantor (except as otherwise permitted under Section 7.12.(c)). An assignment or other transfer which is not permitted by subsection (d) or</w:t>
      </w:r>
    </w:p>
    <w:p>
      <w:pPr>
        <w:spacing w:after="0" w:line="32" w:lineRule="exact"/>
        <w:rPr>
          <w:rFonts w:ascii="Arial" w:cs="Arial" w:eastAsia="Arial" w:hAnsi="Arial"/>
          <w:sz w:val="16"/>
          <w:szCs w:val="16"/>
          <w:color w:val="auto"/>
        </w:rPr>
      </w:pPr>
    </w:p>
    <w:p>
      <w:pPr>
        <w:jc w:val="both"/>
        <w:ind w:right="220" w:firstLine="8"/>
        <w:spacing w:after="0" w:line="302" w:lineRule="auto"/>
        <w:tabs>
          <w:tab w:leader="none" w:pos="23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below shall be given effect for purposes of this Agreement only to the extent of a participating interest granted in accordance with this subsection (c). Upon request from the Agent, a Lender shall notify the Agent of the sale of any participation hereunder and, if requested by the Agent, certify to the Agent that such participation is permitted hereunder and that the requirements of Section 3.12.(c) have been satisfied.</w:t>
      </w:r>
    </w:p>
    <w:p>
      <w:pPr>
        <w:spacing w:after="0" w:line="109" w:lineRule="exact"/>
        <w:rPr>
          <w:rFonts w:ascii="Arial" w:cs="Arial" w:eastAsia="Arial" w:hAnsi="Arial"/>
          <w:sz w:val="16"/>
          <w:szCs w:val="16"/>
          <w:color w:val="auto"/>
        </w:rPr>
      </w:pPr>
    </w:p>
    <w:p>
      <w:pPr>
        <w:ind w:firstLine="464"/>
        <w:spacing w:after="0" w:line="286" w:lineRule="auto"/>
        <w:tabs>
          <w:tab w:leader="none" w:pos="70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Any Lender may with the prior written consent of the Agent and, so long as no Event of Default exists, the Borrower (which consent, in each case, shall not be unreasonably withheld (it being agreed that the Borrower’s withholding of consent to an assignment which would result in the Borrower having to pay amounts under Section 3.12. shall be deemed to be reasonable)), assign to one or more Eligible Assignees (each an “Assignee”) all or a portion of its rights and obligations under this Agreement and the Notes (including all or a portion of its Commitments and the Loans owing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 no such consent by the Borrower shall be required in the case of any assignment to another Lender or any affiliate of such Lender or another Lender and no such consent by the Agent shall be required in the case of any assignment by a Lender to any affiliate of such Lender; (ii) unless the Borrower and the Agent otherwise agree, after giving effect to any partial assignment by a Lender, the Assignee shall hold, and the assigning Lender shall retain, a Commitment, or if the Commitments have been terminated, Revolving Loans having an outstanding principal balance, of at least $5,000,000 and integral multiples of $1,000,000 in excess thereof; and (iii) each such assignment shall be effected by means of an Assignment and Acceptance Agreement. Upon execution and delivery of such instrument and payment by such Assignee to such transferor Lender of an amount equal to the purchase price agreed between such transferor Lender and such Assignee, such Assignee shall be a Lender party to this Agreement with respect to the assigned interest as of the effective date of the Assignment and Acceptance Agreement and shall have all the rights and obligations of a Lender with respect to the assigned interest as set forth in such Assignment and Acceptance Agreement, and the transferor Lender shall be released from its obligations</w:t>
      </w:r>
    </w:p>
    <w:p>
      <w:pPr>
        <w:spacing w:after="0" w:line="107"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 99 –</w:t>
      </w:r>
    </w:p>
    <w:p>
      <w:pPr>
        <w:sectPr>
          <w:pgSz w:w="11900" w:h="16838" w:orient="portrait"/>
          <w:cols w:equalWidth="0" w:num="1">
            <w:col w:w="11400"/>
          </w:cols>
          <w:pgMar w:left="240" w:top="280" w:right="259" w:bottom="1440" w:gutter="0" w:footer="0" w:header="0"/>
        </w:sectPr>
      </w:pPr>
    </w:p>
    <w:bookmarkStart w:id="109" w:name="page110"/>
    <w:bookmarkEnd w:id="10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with respect to the assigned interest to a corresponding extent, and no further consent or action by any party shall be required. Upon the consummation of any assignment pursuant to this subsection, the transferor Lender, the Agent and the Borrower shall make appropriate arrangements so that new Notes are issued to the Assignee and such transferor Lender, as appropriate. In connection with any such assignment, the transferor Lender shall pay to the Agent an administrative fee for processing such assignment in the amount of $3,500. Anything in this Section to the contrary notwithstanding, no Lender may assign, or grant a participating interest in, its Commitment or any Loan held by it to the Borrower, any Subsidiary or any Affiliate of the Borrower.</w:t>
      </w:r>
    </w:p>
    <w:p>
      <w:pPr>
        <w:spacing w:after="0" w:line="110" w:lineRule="exact"/>
        <w:rPr>
          <w:sz w:val="20"/>
          <w:szCs w:val="20"/>
          <w:color w:val="auto"/>
        </w:rPr>
      </w:pPr>
    </w:p>
    <w:p>
      <w:pPr>
        <w:ind w:firstLine="464"/>
        <w:spacing w:after="0" w:line="284"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Lender (each, a “</w:t>
      </w:r>
      <w:r>
        <w:rPr>
          <w:rFonts w:ascii="Arial" w:cs="Arial" w:eastAsia="Arial" w:hAnsi="Arial"/>
          <w:sz w:val="16"/>
          <w:szCs w:val="16"/>
          <w:b w:val="1"/>
          <w:bCs w:val="1"/>
          <w:color w:val="auto"/>
        </w:rPr>
        <w:t>Designating Lender</w:t>
      </w:r>
      <w:r>
        <w:rPr>
          <w:rFonts w:ascii="Arial" w:cs="Arial" w:eastAsia="Arial" w:hAnsi="Arial"/>
          <w:sz w:val="16"/>
          <w:szCs w:val="16"/>
          <w:color w:val="auto"/>
        </w:rPr>
        <w:t>”) may, at any time while the Borrower has been assigned an Investment Grade Rating from either S&amp;P or Moody’s, designate one Designated Lender to fund Bid Rate Loans on behalf of such Designating Lender subject to the terms of this subsection (e), and the provisions in the immediately preceding subsections (c) and (d) shall not apply to such designation. No Lender may designate more than one Designated Lender. The parties to each such designation shall execute and deliver to the Agent for its acceptance a Designation Agreement. Upon such receipt of an appropriately completed Designation Agreement executed by a Designating Lender and a designee representing that it is a Designated Lender, the Agent will accept such Designation Agreement and give prompt notice thereof to the Borrower, whereupon (i) the Borrower shall execute and deliver to the Designating Lender a Designated Lender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Agent and the Lenders for each and every of the obligations of the Designating Lender and its related Designated Lender with respect to this Agreement, including, without limitation, any indemnification obligations under Section 11.7. and any sums otherwise payable to the Borrower by the Designated Lender. Each Designating Lender shall serve as the administrative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administrative agent for the Designated Lender and shall not be signed by the Designated Lender on its own behalf and shall be binding on the Designated Lender to the same extent as if signed by the Designated Lender on its own behalf. The Borrower, the Agent and the Lenders may rely thereon without any</w:t>
      </w:r>
    </w:p>
    <w:p>
      <w:pPr>
        <w:spacing w:after="0" w:line="121"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 100 –</w:t>
      </w:r>
    </w:p>
    <w:p>
      <w:pPr>
        <w:sectPr>
          <w:pgSz w:w="11900" w:h="16838" w:orient="portrait"/>
          <w:cols w:equalWidth="0" w:num="1">
            <w:col w:w="11360"/>
          </w:cols>
          <w:pgMar w:left="240" w:top="280" w:right="299" w:bottom="1440" w:gutter="0" w:footer="0" w:header="0"/>
        </w:sectPr>
      </w:pPr>
    </w:p>
    <w:bookmarkStart w:id="110" w:name="page111"/>
    <w:bookmarkEnd w:id="11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Termination Date.</w:t>
      </w:r>
    </w:p>
    <w:p>
      <w:pPr>
        <w:spacing w:after="0" w:line="144" w:lineRule="exact"/>
        <w:rPr>
          <w:sz w:val="20"/>
          <w:szCs w:val="20"/>
          <w:color w:val="auto"/>
        </w:rPr>
      </w:pPr>
    </w:p>
    <w:p>
      <w:pPr>
        <w:ind w:firstLine="464"/>
        <w:spacing w:after="0" w:line="301" w:lineRule="auto"/>
        <w:tabs>
          <w:tab w:leader="none" w:pos="676"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The Agent shall maintain at the Principal Office a copy of each Assignment and Acceptance Agreement delivered to and accepted by it and a register for the recordation of the names and addresses of the Lenders and the Commitment of each Lender from time to time (the “</w:t>
      </w:r>
      <w:r>
        <w:rPr>
          <w:rFonts w:ascii="Arial" w:cs="Arial" w:eastAsia="Arial" w:hAnsi="Arial"/>
          <w:sz w:val="15"/>
          <w:szCs w:val="15"/>
          <w:b w:val="1"/>
          <w:bCs w:val="1"/>
          <w:color w:val="auto"/>
        </w:rPr>
        <w:t>Register</w:t>
      </w:r>
      <w:r>
        <w:rPr>
          <w:rFonts w:ascii="Arial" w:cs="Arial" w:eastAsia="Arial" w:hAnsi="Arial"/>
          <w:sz w:val="15"/>
          <w:szCs w:val="15"/>
          <w:color w:val="auto"/>
        </w:rPr>
        <w:t>”). The Agent shall give each Lender and the Borrower notice of the assignment by any Lender of its rights as contemplated by this Section. The Borrower, the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Agent. Upon its receipt of an Assignment and Acceptance Agreement executed by an assigning Lender, together with each Note subject to such assignment, the Agent shall, if such Assignment and Acceptance Agreement has been completed and if the Agent receives the processing and recording fee described in subsection (d) above, (i) accept such Assignment and Acceptance Agreement, (ii) record the information contained therein in the Register and</w:t>
      </w:r>
    </w:p>
    <w:p>
      <w:pPr>
        <w:spacing w:after="0" w:line="4" w:lineRule="exact"/>
        <w:rPr>
          <w:rFonts w:ascii="Arial" w:cs="Arial" w:eastAsia="Arial" w:hAnsi="Arial"/>
          <w:sz w:val="15"/>
          <w:szCs w:val="15"/>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give prompt notice thereof to the Borrower.</w:t>
      </w:r>
    </w:p>
    <w:p>
      <w:pPr>
        <w:spacing w:after="0" w:line="164" w:lineRule="exact"/>
        <w:rPr>
          <w:rFonts w:ascii="Arial" w:cs="Arial" w:eastAsia="Arial" w:hAnsi="Arial"/>
          <w:sz w:val="18"/>
          <w:szCs w:val="18"/>
          <w:color w:val="auto"/>
        </w:rPr>
      </w:pPr>
    </w:p>
    <w:p>
      <w:pPr>
        <w:jc w:val="both"/>
        <w:ind w:right="100" w:firstLine="464"/>
        <w:spacing w:after="0" w:line="256"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addition to the assignments and participations permitted under the foregoing provisions of this Section, any Lender may assign and pledge all or any portion of its Loans and its Notes to any Federal Reserve Bank as collateral security pursuant to Regulation A and any Operating Circular issued by such Federal Reserve Bank, and such Loans and Notes shall be fully transferable as provided therein. No such assignment shall release the assigning Lender from its obligations hereunder.</w:t>
      </w:r>
    </w:p>
    <w:p>
      <w:pPr>
        <w:spacing w:after="0" w:line="143" w:lineRule="exact"/>
        <w:rPr>
          <w:rFonts w:ascii="Arial" w:cs="Arial" w:eastAsia="Arial" w:hAnsi="Arial"/>
          <w:sz w:val="18"/>
          <w:szCs w:val="18"/>
          <w:color w:val="auto"/>
        </w:rPr>
      </w:pPr>
    </w:p>
    <w:p>
      <w:pPr>
        <w:ind w:right="140" w:firstLine="464"/>
        <w:spacing w:after="0" w:line="332" w:lineRule="auto"/>
        <w:tabs>
          <w:tab w:leader="none" w:pos="70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 with Section 12.8.</w:t>
      </w:r>
    </w:p>
    <w:p>
      <w:pPr>
        <w:spacing w:after="0" w:line="85" w:lineRule="exact"/>
        <w:rPr>
          <w:rFonts w:ascii="Arial" w:cs="Arial" w:eastAsia="Arial" w:hAnsi="Arial"/>
          <w:sz w:val="16"/>
          <w:szCs w:val="16"/>
          <w:color w:val="auto"/>
        </w:rPr>
      </w:pPr>
    </w:p>
    <w:p>
      <w:pPr>
        <w:ind w:right="540" w:firstLine="464"/>
        <w:spacing w:after="0" w:line="268" w:lineRule="auto"/>
        <w:tabs>
          <w:tab w:leader="none" w:pos="66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Anything in this Section to the contrary notwithstanding, no Lender may assign or participate any interest in any Loan held by it hereunder to the Borrower, any other Loan Party or any of their respective Affiliates or Subsidiaries.</w:t>
      </w:r>
    </w:p>
    <w:p>
      <w:pPr>
        <w:spacing w:after="0" w:line="131" w:lineRule="exact"/>
        <w:rPr>
          <w:rFonts w:ascii="Arial" w:cs="Arial" w:eastAsia="Arial" w:hAnsi="Arial"/>
          <w:sz w:val="18"/>
          <w:szCs w:val="18"/>
          <w:color w:val="auto"/>
        </w:rPr>
      </w:pPr>
    </w:p>
    <w:p>
      <w:pPr>
        <w:ind w:right="160" w:firstLine="464"/>
        <w:spacing w:after="0" w:line="268" w:lineRule="auto"/>
        <w:tabs>
          <w:tab w:leader="none" w:pos="66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Each Lender agrees that, without the prior written consent of the Borrower and the Agent, it will not make any assignment hereunder in any manner or under any</w:t>
      </w:r>
    </w:p>
    <w:p>
      <w:pPr>
        <w:spacing w:after="0" w:line="118"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101 –</w:t>
      </w:r>
    </w:p>
    <w:p>
      <w:pPr>
        <w:sectPr>
          <w:pgSz w:w="11900" w:h="16838" w:orient="portrait"/>
          <w:cols w:equalWidth="0" w:num="1">
            <w:col w:w="11420"/>
          </w:cols>
          <w:pgMar w:left="240" w:top="280" w:right="239" w:bottom="1440" w:gutter="0" w:footer="0" w:header="0"/>
        </w:sectPr>
      </w:pPr>
    </w:p>
    <w:bookmarkStart w:id="111" w:name="page112"/>
    <w:bookmarkEnd w:id="11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that would require registration or qualification of, or filings in respect of, any Loan or Note under the Securities Act or any other securities laws of the United States of America or of any other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Amendments.</w:t>
      </w:r>
    </w:p>
    <w:p>
      <w:pPr>
        <w:spacing w:after="0" w:line="96" w:lineRule="exact"/>
        <w:rPr>
          <w:sz w:val="20"/>
          <w:szCs w:val="20"/>
          <w:color w:val="auto"/>
        </w:rPr>
      </w:pPr>
    </w:p>
    <w:p>
      <w:pPr>
        <w:ind w:right="220" w:firstLine="464"/>
        <w:spacing w:after="0" w:line="294"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each Loan Party a party thereto).</w:t>
      </w:r>
    </w:p>
    <w:p>
      <w:pPr>
        <w:spacing w:after="0" w:line="115"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the foregoing, without the prior written consent of each Lender adversely affected thereby, no amendment, waiver or consent shall do any of the following:</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0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increase the Commitments of the Lenders (except for any increase in the Commitments effectuated pursuant to Section 2.16.) or subject the Lenders to any additional obligations;</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reduce the amount of any Fees payable hereunder or postpone any date fixed for payment thereof;</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9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modify the definition of the term “Termination Date” (except as contemplated under Section 2.13.) or otherwise postpone any date fixed for any payment of any principal of, or interest on, any Loans or any other Obligations (including the waiver of any Default or Event of Default as a result of the nonpayment of any such Obligations as and when due), or extend the expiration date of any Letter of Credit beyond the Termination Date;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amend or otherwise modify the provisions of Section 3.2.;</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126"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102 –</w:t>
      </w:r>
    </w:p>
    <w:p>
      <w:pPr>
        <w:sectPr>
          <w:pgSz w:w="11900" w:h="16838" w:orient="portrait"/>
          <w:cols w:equalWidth="0" w:num="1">
            <w:col w:w="11420"/>
          </w:cols>
          <w:pgMar w:left="240" w:top="280" w:right="239" w:bottom="1440" w:gutter="0" w:footer="0" w:header="0"/>
        </w:sectPr>
      </w:pPr>
    </w:p>
    <w:bookmarkStart w:id="112" w:name="page113"/>
    <w:bookmarkEnd w:id="112"/>
    <w:p>
      <w:pPr>
        <w:ind w:left="1240" w:hanging="337"/>
        <w:spacing w:after="0"/>
        <w:tabs>
          <w:tab w:leader="none" w:pos="1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release any Guarantor from its obligations under the Guaranty (except as otherwise permitted under Section 7.12.(c));</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amend or otherwise modify the provisions of Section 2.15.(a);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increase the number of Interest Periods permitted with respect to Loans under Section 2.6.</w:t>
      </w:r>
    </w:p>
    <w:p>
      <w:pPr>
        <w:spacing w:after="0" w:line="171" w:lineRule="exact"/>
        <w:rPr>
          <w:rFonts w:ascii="Arial" w:cs="Arial" w:eastAsia="Arial" w:hAnsi="Arial"/>
          <w:sz w:val="18"/>
          <w:szCs w:val="18"/>
          <w:color w:val="auto"/>
        </w:rPr>
      </w:pPr>
    </w:p>
    <w:p>
      <w:pPr>
        <w:jc w:val="both"/>
        <w:ind w:right="100" w:firstLine="464"/>
        <w:spacing w:after="0" w:line="256"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 Any amendment, waiver or consent relating to Section 2.3. or the obligations of the Swingline Lender under this Agreement or any other Loan Document shall, in addition to the Lenders required hereinabove to take such action, require the written consent of the Swingline Lender.</w:t>
      </w:r>
    </w:p>
    <w:p>
      <w:pPr>
        <w:spacing w:after="0" w:line="143" w:lineRule="exact"/>
        <w:rPr>
          <w:rFonts w:ascii="Arial" w:cs="Arial" w:eastAsia="Arial" w:hAnsi="Arial"/>
          <w:sz w:val="18"/>
          <w:szCs w:val="18"/>
          <w:color w:val="auto"/>
        </w:rPr>
      </w:pPr>
    </w:p>
    <w:p>
      <w:pPr>
        <w:ind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a Default or Event of Default may not be waived for purposes of Section 5.2. without the prior written consent of the Requisite Lenders.</w:t>
      </w:r>
    </w:p>
    <w:p>
      <w:pPr>
        <w:spacing w:after="0" w:line="131"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Except as otherwise provided in Section 11.5.,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Nonliability of Agent and Lenders.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relationship between the Borrower and the Lenders and the Agent shall be solely that of borrower and lender. Neither the Agent nor any Lender shall have any fiduciary responsibilities to the Borrower or any other Loan Party ,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Confidentiality.</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Agent and each Lender shall use reasonable efforts to assure that information about Borrower, the other Loan Parties and other Subsidiaries, and the Properties thereof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380"/>
          </w:cols>
          <w:pgMar w:left="240" w:top="280" w:right="279" w:bottom="1440" w:gutter="0" w:footer="0" w:header="0"/>
        </w:sectPr>
      </w:pPr>
    </w:p>
    <w:bookmarkStart w:id="113" w:name="page114"/>
    <w:bookmarkEnd w:id="1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the Agent or such Lender, as applicable, and the Borrower, but in any event the Agent 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Commitment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 of rights hereunder or under any of the other Loan Documents; (f) 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 (y) becomes available to the Agent or any Lender on a nonconfidential basis from a source other than the Borrower or any Affiliate unless the Agent or such Lender has actual knowledge that such information became nonconfidential as a result of a breach of a confidential arrangement with the Borrower or such Loan Party. Notwithstanding the foregoing, the Agent and each Lender may disclose any such confidential information, without notice to the Borrower or any other Loan Party, to Governmental Authorities in connection with any regulatory examination of the Agent or such Lender or in accordance with the regulatory compliance policy of the Agent or such Lender.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Indemnification.</w:t>
      </w:r>
    </w:p>
    <w:p>
      <w:pPr>
        <w:spacing w:after="0" w:line="96" w:lineRule="exact"/>
        <w:rPr>
          <w:sz w:val="20"/>
          <w:szCs w:val="20"/>
          <w:color w:val="auto"/>
        </w:rPr>
      </w:pPr>
    </w:p>
    <w:p>
      <w:pPr>
        <w:ind w:right="80" w:firstLine="464"/>
        <w:spacing w:after="0" w:line="291"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Agent, each of the Lenders, any affiliate of the Agent or any Lender,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w:t>
      </w:r>
    </w:p>
    <w:p>
      <w:pPr>
        <w:spacing w:after="0" w:line="106"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 104 –</w:t>
      </w:r>
    </w:p>
    <w:p>
      <w:pPr>
        <w:sectPr>
          <w:pgSz w:w="11900" w:h="16838" w:orient="portrait"/>
          <w:cols w:equalWidth="0" w:num="1">
            <w:col w:w="11420"/>
          </w:cols>
          <w:pgMar w:left="240" w:top="280" w:right="239" w:bottom="1440" w:gutter="0" w:footer="0" w:header="0"/>
        </w:sectPr>
      </w:pPr>
    </w:p>
    <w:bookmarkStart w:id="114" w:name="page115"/>
    <w:bookmarkEnd w:id="114"/>
    <w:p>
      <w:pPr>
        <w:ind w:right="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5"/>
          <w:szCs w:val="15"/>
          <w:b w:val="1"/>
          <w:bCs w:val="1"/>
          <w:color w:val="auto"/>
        </w:rPr>
        <w:t>Indemnity</w:t>
      </w:r>
      <w:r>
        <w:rPr>
          <w:rFonts w:ascii="Arial" w:cs="Arial" w:eastAsia="Arial" w:hAnsi="Arial"/>
          <w:sz w:val="15"/>
          <w:szCs w:val="15"/>
          <w:color w:val="auto"/>
        </w:rPr>
        <w:t xml:space="preserve"> </w:t>
      </w:r>
      <w:r>
        <w:rPr>
          <w:rFonts w:ascii="Arial" w:cs="Arial" w:eastAsia="Arial" w:hAnsi="Arial"/>
          <w:sz w:val="15"/>
          <w:szCs w:val="15"/>
          <w:b w:val="1"/>
          <w:bCs w:val="1"/>
          <w:color w:val="auto"/>
        </w:rPr>
        <w:t>Proceeding</w:t>
      </w:r>
      <w:r>
        <w:rPr>
          <w:rFonts w:ascii="Arial" w:cs="Arial" w:eastAsia="Arial" w:hAnsi="Arial"/>
          <w:sz w:val="15"/>
          <w:szCs w:val="15"/>
          <w:color w:val="auto"/>
        </w:rPr>
        <w:t>”) which is in any way related directly or indirectly to: (i) this Agreement or any other Loan Document or the transactions contemplated thereby;</w:t>
      </w:r>
    </w:p>
    <w:p>
      <w:pPr>
        <w:spacing w:after="0" w:line="1" w:lineRule="exact"/>
        <w:rPr>
          <w:sz w:val="20"/>
          <w:szCs w:val="20"/>
          <w:color w:val="auto"/>
        </w:rPr>
      </w:pPr>
    </w:p>
    <w:p>
      <w:pPr>
        <w:ind w:firstLine="8"/>
        <w:spacing w:after="0" w:line="284" w:lineRule="auto"/>
        <w:tabs>
          <w:tab w:leader="none" w:pos="25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making of any Loans or issuance of Letters of Credit hereunder; (iii) any actual or proposed use by the Borrower of the proceeds of the Loans or Letters of Credit;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Borrower and the Subsidiaries; (vii) the fact that the Agent and the Lenders are material creditors of the Borrower and are alleged to influence directly or indirectly the business decisions or affairs of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or threatens to violate a sanction enforced by the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129" w:lineRule="exact"/>
        <w:rPr>
          <w:rFonts w:ascii="Arial" w:cs="Arial" w:eastAsia="Arial" w:hAnsi="Arial"/>
          <w:sz w:val="16"/>
          <w:szCs w:val="16"/>
          <w:color w:val="auto"/>
        </w:rPr>
      </w:pPr>
    </w:p>
    <w:p>
      <w:pPr>
        <w:ind w:right="60" w:firstLine="464"/>
        <w:spacing w:after="0" w:line="291" w:lineRule="auto"/>
        <w:tabs>
          <w:tab w:leader="none" w:pos="70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w:t>
      </w:r>
    </w:p>
    <w:p>
      <w:pPr>
        <w:spacing w:after="0" w:line="106"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 105 –</w:t>
      </w:r>
    </w:p>
    <w:p>
      <w:pPr>
        <w:sectPr>
          <w:pgSz w:w="11900" w:h="16838" w:orient="portrait"/>
          <w:cols w:equalWidth="0" w:num="1">
            <w:col w:w="11400"/>
          </w:cols>
          <w:pgMar w:left="240" w:top="280" w:right="259" w:bottom="1440" w:gutter="0" w:footer="0" w:header="0"/>
        </w:sectPr>
      </w:pPr>
    </w:p>
    <w:bookmarkStart w:id="115" w:name="page116"/>
    <w:bookmarkEnd w:id="11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107" w:lineRule="exact"/>
        <w:rPr>
          <w:sz w:val="20"/>
          <w:szCs w:val="20"/>
          <w:color w:val="auto"/>
        </w:rPr>
      </w:pPr>
    </w:p>
    <w:p>
      <w:pPr>
        <w:ind w:right="580" w:firstLine="464"/>
        <w:spacing w:after="0" w:line="268"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0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12" w:lineRule="exact"/>
        <w:rPr>
          <w:rFonts w:ascii="Arial" w:cs="Arial" w:eastAsia="Arial" w:hAnsi="Arial"/>
          <w:sz w:val="16"/>
          <w:szCs w:val="16"/>
          <w:color w:val="auto"/>
        </w:rPr>
      </w:pPr>
    </w:p>
    <w:p>
      <w:pPr>
        <w:ind w:right="20" w:firstLine="464"/>
        <w:spacing w:after="0" w:line="286"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27" w:lineRule="exact"/>
        <w:rPr>
          <w:rFonts w:ascii="Arial" w:cs="Arial" w:eastAsia="Arial" w:hAnsi="Arial"/>
          <w:sz w:val="16"/>
          <w:szCs w:val="16"/>
          <w:color w:val="auto"/>
        </w:rPr>
      </w:pPr>
    </w:p>
    <w:p>
      <w:pPr>
        <w:ind w:right="240" w:firstLine="464"/>
        <w:spacing w:after="0" w:line="268" w:lineRule="auto"/>
        <w:tabs>
          <w:tab w:leader="none" w:pos="6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18"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106 –</w:t>
      </w:r>
    </w:p>
    <w:p>
      <w:pPr>
        <w:sectPr>
          <w:pgSz w:w="11900" w:h="16838" w:orient="portrait"/>
          <w:cols w:equalWidth="0" w:num="1">
            <w:col w:w="11360"/>
          </w:cols>
          <w:pgMar w:left="240" w:top="280" w:right="299" w:bottom="1440" w:gutter="0" w:footer="0" w:header="0"/>
        </w:sectPr>
      </w:pPr>
    </w:p>
    <w:bookmarkStart w:id="116" w:name="page117"/>
    <w:bookmarkEnd w:id="116"/>
    <w:p>
      <w:pPr>
        <w:ind w:firstLine="464"/>
        <w:spacing w:after="0" w:line="259"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Termination; Survival.</w:t>
      </w:r>
    </w:p>
    <w:p>
      <w:pPr>
        <w:spacing w:after="0" w:line="96"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At such time as (a) all of the Commitments have been terminated, (b) all Letters of Credit have terminated or expired, (c) none of the Lenders nor the Swingline Lender is obligated any longer under this Agreement to make any Loans and (d) all Obligations (other than obligations which survive as provided in the following sentence) have been paid and satisfied in full, this Agreement shall terminate. The indemnities to which the Agent, the Lenders and the Swingline Lender are entitled under the provisions of Sections 3.12., 4.1., 4.4., 11.7., 12.2. and 12.9. and any other provision of this Agreement and the other Loan Documents, and the provisions of Section 12.4., shall continue in full force and effect and shall protect the Agent, the Lenders and the Swingline Lender</w:t>
      </w:r>
    </w:p>
    <w:p>
      <w:pPr>
        <w:spacing w:after="0" w:line="2" w:lineRule="exact"/>
        <w:rPr>
          <w:sz w:val="20"/>
          <w:szCs w:val="20"/>
          <w:color w:val="auto"/>
        </w:rPr>
      </w:pPr>
    </w:p>
    <w:p>
      <w:pPr>
        <w:ind w:firstLine="8"/>
        <w:spacing w:after="0" w:line="255" w:lineRule="auto"/>
        <w:tabs>
          <w:tab w:leader="none" w:pos="2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Severability of Provisions.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GOVERNING LAW.</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Patriot Act.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Lenders and the Agent each hereby notifies the Borrower that pursuant to the requirements of the USA Patriot Act (Title III of Pub. L. 107-56 (signed into law October 26, 2001)), it is required to obtain, verify and record information that identifies the Borrower and the other Loan Parties, which information includes the name and address of the Borrower and the other Loan Parties and other information that will allow such Lender or the Agent, as applicable, to identify the Borrower and the other Loan Parties in accordance with such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360"/>
          </w:cols>
          <w:pgMar w:left="240" w:top="280" w:right="2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12.14. Counterparts.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Limitation of Liability.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Entire Agreement.</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Construction.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Borrower and each Lender.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108 –</w:t>
      </w:r>
    </w:p>
    <w:p>
      <w:pPr>
        <w:sectPr>
          <w:pgSz w:w="11900" w:h="16838" w:orient="portrait"/>
          <w:cols w:equalWidth="0" w:num="1">
            <w:col w:w="11360"/>
          </w:cols>
          <w:pgMar w:left="240" w:top="274" w:right="2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12.19. Limitation of Liability of Trustees, Etc.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240"/>
          </w:cols>
          <w:pgMar w:left="240" w:top="274" w:right="419" w:bottom="1440" w:gutter="0" w:footer="0" w:header="0"/>
        </w:sectPr>
      </w:pPr>
    </w:p>
    <w:bookmarkStart w:id="119" w:name="page120"/>
    <w:bookmarkEnd w:id="11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Dawn M. Becker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 –</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General Counsel and Secretary</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1260"/>
          </w:cols>
          <w:pgMar w:left="240" w:top="280" w:right="399" w:bottom="1440" w:gutter="0" w:footer="0" w:header="0"/>
        </w:sectPr>
      </w:pPr>
    </w:p>
    <w:bookmarkStart w:id="120" w:name="page121"/>
    <w:bookmarkEnd w:id="120"/>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WACHOVIA BANK, NATIONAL</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ASSOCIATION, as Agent, as a Lender and as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Swingline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Amit Khimji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Amit Khimji</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Wachovia Bank, National Association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Attn: Rex E. Rudy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(704) 383-6506</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(704) 383-6205</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20"/>
          </w:cols>
          <w:pgMar w:left="1440" w:top="274" w:right="1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EUROHYPO AG, NEW YORK BRANCH</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Lippmann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John Lippmann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Anthony L. Merolla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Anthony L. Merolla</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Eurohypo AG, New York Branch</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1114 Avenue of the Americas, 29th Floor</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John Lippmann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479-5827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(212) 479-5800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Timothy P.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Timothy P. Gleeson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Lending Office (all Types of Loans):</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PNC Real Estate Finance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808 17th Street NW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Timothy Gleeson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(412) 835-4349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(412) 835-5982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Gregory T. Horstman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Gregory T. Horstman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$30,000,000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8330 Boone Boulevard, 8th Floor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Vienna, VA 22182</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Attention: Gregory T. Horstman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(703) 442-1561</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(703) 442-1570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4" w:name="page125"/>
    <w:bookmarkEnd w:id="124"/>
    <w:p>
      <w:pPr>
        <w:jc w:val="center"/>
        <w:ind w:right="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 Jeffrey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 Jeffrey Jacobson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1650 Tysons Boulevard, Suite 1580</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Attention: Walter Whitt and Joann St. Peter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Telephone: (703) 442-5491 and (703) 442-5496</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(703) 442-5495</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220"/>
          </w:cols>
          <w:pgMar w:left="1440" w:top="274" w:right="1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CHEVY CHASE BANK, F.S.B.</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Sadhvi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Sadhvi Subramanian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Lending Office (all Types of Loans):</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Chevy Chase Bank, F.S.B.</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7501 Wisconsin Avenue, 12th Floor</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Bethesda, MD 20814-6519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Attention: Frederick H. Denecke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(240) 497-7735</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(240) 497-7714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CITICORP NORTH AMERICA,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Jeanne M.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Jeanne M. Craig</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Lending Office (all Types of Loans):</w:t>
      </w:r>
    </w:p>
    <w:p>
      <w:pPr>
        <w:spacing w:after="0" w:line="5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Citicorp North America, Inc.</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390 Greenwich Street, 1st Floor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Jeanne Craig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723-9229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(646) 291-1996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Kimberly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Kimberly L. Turner</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JPMorgan Chase Bank, N.A.</w:t>
      </w:r>
    </w:p>
    <w:p>
      <w:pPr>
        <w:ind w:left="5880"/>
        <w:spacing w:after="0" w:line="220" w:lineRule="auto"/>
        <w:rPr>
          <w:sz w:val="20"/>
          <w:szCs w:val="20"/>
          <w:color w:val="auto"/>
        </w:rPr>
      </w:pPr>
      <w:r>
        <w:rPr>
          <w:rFonts w:ascii="Arial" w:cs="Arial" w:eastAsia="Arial" w:hAnsi="Arial"/>
          <w:sz w:val="18"/>
          <w:szCs w:val="18"/>
          <w:color w:val="auto"/>
        </w:rPr>
        <w:t>277 Park Avenue,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10172</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Kimberly L. Turner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622-8177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(646) 534-0574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SOVEREIGN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Erin T. Aslakson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Erin T. Aslakson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Sovereign Bank</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75 State Street, MA1 SST 04-11</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Erin Aslakson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(617) 757-554</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(617) 757-5852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W. Edwards</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$15,000,000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Mail Code IL1-231-10-35</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231 S. LaSalle Street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Chicago, IL 60697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Cheryl Sneor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(312) 828-5215</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(312) 974-4970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30" w:name="page131"/>
    <w:bookmarkEnd w:id="130"/>
    <w:p>
      <w:pPr>
        <w:jc w:val="center"/>
        <w:ind w:right="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74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CHANG HWA COMMERCIAL BANK, LTD.,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BRANCH</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Jim C. 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Jim C. Y. Chen</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&amp; General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$15,000,000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Chang Hwa Commercial Bank, Ltd., New York Branch</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685 Third Avenue, 29th Floor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Danielle Tsai</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651-9770 ext.29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(212) 651-9785</w:t>
      </w:r>
    </w:p>
    <w:p>
      <w:pPr>
        <w:spacing w:after="0" w:line="15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760"/>
          </w:cols>
          <w:pgMar w:left="1440" w:top="274" w:right="6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Adam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Adam Sheets</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Account Officer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$15,000,000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Comerica Bank</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500 Woodward Avenue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Detroit, MI 48226</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Adam Sheets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(313) 222-4718</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(313) 222-9295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ROYAL BANK OF CANADA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Gordon C. MacArthur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Gordon C. MacArthur</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$15,000,000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Royal Bank of Canada</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One Liberty Plaza, 6th Floor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165 Broadway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10006-1404</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Gordon MacArthur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428-2324</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(212) 428-6459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33" w:name="page134"/>
    <w:bookmarkEnd w:id="133"/>
    <w:p>
      <w:pPr>
        <w:jc w:val="center"/>
        <w:ind w:right="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FIRST COMMERCIAL BANK, NEW YORK AGENCY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M. J.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M. J. Ju</w:t>
      </w:r>
    </w:p>
    <w:p>
      <w:pPr>
        <w:spacing w:after="0" w:line="9"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&amp; General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$10,000,000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First Commercial Bank, New York Agency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750 3rd Avenue, 34th Floor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Bruce M. J. Ju</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880-9384</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(212) 599-6133</w:t>
      </w:r>
    </w:p>
    <w:p>
      <w:pPr>
        <w:sectPr>
          <w:pgSz w:w="11900" w:h="16838" w:orient="portrait"/>
          <w:cols w:equalWidth="0" w:num="1">
            <w:col w:w="9720"/>
          </w:cols>
          <w:pgMar w:left="1440" w:top="274" w:right="7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60" w:type="dxa"/>
            <w:vAlign w:val="bottom"/>
            <w:gridSpan w:val="2"/>
          </w:tcPr>
          <w:p>
            <w:pPr>
              <w:jc w:val="center"/>
              <w:ind w:left="1852"/>
              <w:spacing w:after="0"/>
              <w:rPr>
                <w:sz w:val="20"/>
                <w:szCs w:val="20"/>
                <w:color w:val="auto"/>
              </w:rPr>
            </w:pPr>
            <w:r>
              <w:rPr>
                <w:rFonts w:ascii="Arial" w:cs="Arial" w:eastAsia="Arial" w:hAnsi="Arial"/>
                <w:sz w:val="18"/>
                <w:szCs w:val="18"/>
                <w:color w:val="auto"/>
              </w:rPr>
              <w:t>EXHIBIT A</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78"/>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100" w:type="dxa"/>
            <w:vAlign w:val="bottom"/>
            <w:gridSpan w:val="6"/>
          </w:tcPr>
          <w:p>
            <w:pPr>
              <w:jc w:val="center"/>
              <w:ind w:right="2700"/>
              <w:spacing w:after="0"/>
              <w:rPr>
                <w:sz w:val="20"/>
                <w:szCs w:val="20"/>
                <w:color w:val="auto"/>
              </w:rPr>
            </w:pPr>
            <w:r>
              <w:rPr>
                <w:rFonts w:ascii="Arial" w:cs="Arial" w:eastAsia="Arial" w:hAnsi="Arial"/>
                <w:sz w:val="18"/>
                <w:szCs w:val="18"/>
                <w:color w:val="auto"/>
                <w:w w:val="94"/>
              </w:rPr>
              <w:t>FORM OF ASSIGNMENT AND ACCEPTANCE AGREEMENT</w:t>
            </w:r>
          </w:p>
        </w:tc>
      </w:tr>
      <w:tr>
        <w:trPr>
          <w:trHeight w:val="340"/>
        </w:trPr>
        <w:tc>
          <w:tcPr>
            <w:tcW w:w="5600" w:type="dxa"/>
            <w:vAlign w:val="bottom"/>
            <w:gridSpan w:val="3"/>
          </w:tcPr>
          <w:p>
            <w:pPr>
              <w:ind w:left="460"/>
              <w:spacing w:after="0"/>
              <w:rPr>
                <w:sz w:val="20"/>
                <w:szCs w:val="20"/>
                <w:color w:val="auto"/>
              </w:rPr>
            </w:pPr>
            <w:r>
              <w:rPr>
                <w:rFonts w:ascii="Arial" w:cs="Arial" w:eastAsia="Arial" w:hAnsi="Arial"/>
                <w:sz w:val="18"/>
                <w:szCs w:val="18"/>
                <w:color w:val="auto"/>
                <w:w w:val="93"/>
              </w:rPr>
              <w:t>THIS ASSIGNMENT AND ACCEPTANCE AGREEMENT dated as of</w:t>
            </w:r>
          </w:p>
        </w:tc>
        <w:tc>
          <w:tcPr>
            <w:tcW w:w="880" w:type="dxa"/>
            <w:vAlign w:val="bottom"/>
          </w:tcPr>
          <w:p>
            <w:pPr>
              <w:spacing w:after="0"/>
              <w:rPr>
                <w:sz w:val="24"/>
                <w:szCs w:val="24"/>
                <w:color w:val="auto"/>
              </w:rPr>
            </w:pPr>
          </w:p>
        </w:tc>
        <w:tc>
          <w:tcPr>
            <w:tcW w:w="4640" w:type="dxa"/>
            <w:vAlign w:val="bottom"/>
            <w:gridSpan w:val="4"/>
          </w:tcPr>
          <w:p>
            <w:pPr>
              <w:spacing w:after="0"/>
              <w:rPr>
                <w:sz w:val="20"/>
                <w:szCs w:val="20"/>
                <w:color w:val="auto"/>
              </w:rPr>
            </w:pPr>
            <w:r>
              <w:rPr>
                <w:rFonts w:ascii="Arial" w:cs="Arial" w:eastAsia="Arial" w:hAnsi="Arial"/>
                <w:sz w:val="18"/>
                <w:szCs w:val="18"/>
                <w:color w:val="auto"/>
              </w:rPr>
              <w:t>, 20   (the “Agreement”) by and among</w:t>
            </w:r>
          </w:p>
        </w:tc>
      </w:tr>
      <w:tr>
        <w:trPr>
          <w:trHeight w:val="20"/>
        </w:trPr>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w w:val="96"/>
              </w:rPr>
              <w:t>(the “Assignor”),</w:t>
            </w:r>
          </w:p>
        </w:tc>
        <w:tc>
          <w:tcPr>
            <w:tcW w:w="1760" w:type="dxa"/>
            <w:vAlign w:val="bottom"/>
            <w:tcBorders>
              <w:bottom w:val="single" w:sz="8" w:color="auto"/>
            </w:tcBorders>
          </w:tcPr>
          <w:p>
            <w:pPr>
              <w:spacing w:after="0"/>
              <w:rPr>
                <w:sz w:val="17"/>
                <w:szCs w:val="17"/>
                <w:color w:val="auto"/>
              </w:rPr>
            </w:pPr>
          </w:p>
        </w:tc>
        <w:tc>
          <w:tcPr>
            <w:tcW w:w="810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(the “Assignee”), and WACHOVIA BANK, NATIONAL ASSOCIATION, as Agent (the “Agent”).</w:t>
            </w: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firstLine="456"/>
        <w:spacing w:after="0" w:line="306" w:lineRule="auto"/>
        <w:rPr>
          <w:sz w:val="20"/>
          <w:szCs w:val="20"/>
          <w:color w:val="auto"/>
        </w:rPr>
      </w:pPr>
      <w:r>
        <w:rPr>
          <w:rFonts w:ascii="Arial" w:cs="Arial" w:eastAsia="Arial" w:hAnsi="Arial"/>
          <w:sz w:val="16"/>
          <w:szCs w:val="16"/>
          <w:color w:val="auto"/>
        </w:rPr>
        <w:t>WHEREAS, the Assignor is a Lender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Assignor desires to assign to the Assignee, among other things, all or a portion of the Assignor’s rights under the Credit Agreement, all on the terms and conditions set forth herein;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assignment on the terms and conditions set forth herein;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Subject to the terms and conditions of this Agreement and in consideration of the payment to be made by the Assignee to the Assignor pursuant to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auto"/>
                <w:w w:val="89"/>
              </w:rPr>
              <w:t>Section 2 of this Agreement, effective as of</w:t>
            </w:r>
          </w:p>
        </w:tc>
        <w:tc>
          <w:tcPr>
            <w:tcW w:w="880" w:type="dxa"/>
            <w:vAlign w:val="bottom"/>
          </w:tcPr>
          <w:p>
            <w:pPr>
              <w:spacing w:after="0"/>
              <w:rPr>
                <w:sz w:val="17"/>
                <w:szCs w:val="17"/>
                <w:color w:val="auto"/>
              </w:rPr>
            </w:pPr>
          </w:p>
        </w:tc>
        <w:tc>
          <w:tcPr>
            <w:tcW w:w="7420" w:type="dxa"/>
            <w:vAlign w:val="bottom"/>
            <w:gridSpan w:val="7"/>
          </w:tcPr>
          <w:p>
            <w:pPr>
              <w:spacing w:after="0"/>
              <w:rPr>
                <w:sz w:val="20"/>
                <w:szCs w:val="20"/>
                <w:color w:val="auto"/>
              </w:rPr>
            </w:pPr>
            <w:r>
              <w:rPr>
                <w:rFonts w:ascii="Arial" w:cs="Arial" w:eastAsia="Arial" w:hAnsi="Arial"/>
                <w:sz w:val="18"/>
                <w:szCs w:val="18"/>
                <w:color w:val="auto"/>
                <w:w w:val="95"/>
              </w:rPr>
              <w:t>, 200  (the “Assignment Date”), the Assignor hereby irrevocably sells, transfers and assigns to the</w:t>
            </w:r>
          </w:p>
        </w:tc>
      </w:tr>
      <w:tr>
        <w:trPr>
          <w:trHeight w:val="20"/>
        </w:trPr>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220" w:type="dxa"/>
            <w:vAlign w:val="bottom"/>
          </w:tcPr>
          <w:p>
            <w:pPr>
              <w:spacing w:after="0" w:line="196" w:lineRule="exact"/>
              <w:rPr>
                <w:sz w:val="20"/>
                <w:szCs w:val="20"/>
                <w:color w:val="auto"/>
              </w:rPr>
            </w:pPr>
            <w:r>
              <w:rPr>
                <w:rFonts w:ascii="Arial" w:cs="Arial" w:eastAsia="Arial" w:hAnsi="Arial"/>
                <w:sz w:val="18"/>
                <w:szCs w:val="18"/>
                <w:color w:val="auto"/>
                <w:w w:val="87"/>
              </w:rPr>
              <w:t>Assignee, without recourse, a $</w:t>
            </w:r>
          </w:p>
        </w:tc>
        <w:tc>
          <w:tcPr>
            <w:tcW w:w="520" w:type="dxa"/>
            <w:vAlign w:val="bottom"/>
            <w:tcBorders>
              <w:bottom w:val="single" w:sz="8" w:color="auto"/>
            </w:tcBorders>
          </w:tcPr>
          <w:p>
            <w:pPr>
              <w:spacing w:after="0"/>
              <w:rPr>
                <w:sz w:val="17"/>
                <w:szCs w:val="17"/>
                <w:color w:val="auto"/>
              </w:rPr>
            </w:pPr>
          </w:p>
        </w:tc>
        <w:tc>
          <w:tcPr>
            <w:tcW w:w="8660" w:type="dxa"/>
            <w:vAlign w:val="bottom"/>
            <w:gridSpan w:val="9"/>
          </w:tcPr>
          <w:p>
            <w:pPr>
              <w:ind w:left="40"/>
              <w:spacing w:after="0" w:line="196" w:lineRule="exact"/>
              <w:rPr>
                <w:sz w:val="20"/>
                <w:szCs w:val="20"/>
                <w:color w:val="auto"/>
              </w:rPr>
            </w:pPr>
            <w:r>
              <w:rPr>
                <w:rFonts w:ascii="Arial" w:cs="Arial" w:eastAsia="Arial" w:hAnsi="Arial"/>
                <w:sz w:val="18"/>
                <w:szCs w:val="18"/>
                <w:color w:val="auto"/>
                <w:w w:val="89"/>
              </w:rPr>
              <w:t>interest (such interest being the “Assigned Commitment”) in and to the Assignor’s Commitment and all of the other rights</w:t>
            </w:r>
          </w:p>
        </w:tc>
      </w:tr>
      <w:tr>
        <w:trPr>
          <w:trHeight w:val="196"/>
        </w:trPr>
        <w:tc>
          <w:tcPr>
            <w:tcW w:w="9820" w:type="dxa"/>
            <w:vAlign w:val="bottom"/>
            <w:gridSpan w:val="7"/>
          </w:tcPr>
          <w:p>
            <w:pPr>
              <w:spacing w:after="0" w:line="196" w:lineRule="exact"/>
              <w:rPr>
                <w:sz w:val="20"/>
                <w:szCs w:val="20"/>
                <w:color w:val="auto"/>
              </w:rPr>
            </w:pPr>
            <w:r>
              <w:rPr>
                <w:rFonts w:ascii="Arial" w:cs="Arial" w:eastAsia="Arial" w:hAnsi="Arial"/>
                <w:sz w:val="18"/>
                <w:szCs w:val="18"/>
                <w:color w:val="auto"/>
                <w:w w:val="89"/>
              </w:rPr>
              <w:t>and obligations of the Assignor under the Credit Agreement, such Assignor’s Revolving Note and the other Loan Documents (representing</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w w:val="87"/>
              </w:rPr>
              <w:t>% in respect of</w:t>
            </w:r>
          </w:p>
        </w:tc>
      </w:tr>
      <w:tr>
        <w:trPr>
          <w:trHeight w:val="196"/>
        </w:trPr>
        <w:tc>
          <w:tcPr>
            <w:tcW w:w="10200" w:type="dxa"/>
            <w:vAlign w:val="bottom"/>
            <w:gridSpan w:val="8"/>
          </w:tcPr>
          <w:p>
            <w:pPr>
              <w:spacing w:after="0" w:line="196" w:lineRule="exact"/>
              <w:rPr>
                <w:sz w:val="20"/>
                <w:szCs w:val="20"/>
                <w:color w:val="auto"/>
              </w:rPr>
            </w:pPr>
            <w:r>
              <w:rPr>
                <w:rFonts w:ascii="Arial" w:cs="Arial" w:eastAsia="Arial" w:hAnsi="Arial"/>
                <w:sz w:val="18"/>
                <w:szCs w:val="18"/>
                <w:color w:val="auto"/>
                <w:w w:val="89"/>
              </w:rPr>
              <w:t>the aggregate amount of all Lenders’ Commitments), including without limitation, a principal amount of outstanding Revolving Loans equal to $</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Pr>
          <w:p>
            <w:pPr>
              <w:ind w:left="40"/>
              <w:spacing w:after="0" w:line="196" w:lineRule="exact"/>
              <w:rPr>
                <w:sz w:val="20"/>
                <w:szCs w:val="20"/>
                <w:color w:val="auto"/>
              </w:rPr>
            </w:pPr>
            <w:r>
              <w:rPr>
                <w:rFonts w:ascii="Arial" w:cs="Arial" w:eastAsia="Arial" w:hAnsi="Arial"/>
                <w:sz w:val="18"/>
                <w:szCs w:val="18"/>
                <w:color w:val="auto"/>
              </w:rPr>
              <w:t>and all</w:t>
            </w:r>
          </w:p>
        </w:tc>
      </w:tr>
    </w:tbl>
    <w:p>
      <w:pPr>
        <w:spacing w:after="0" w:line="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voting rights of the Assignor associated with the Assigned Commitment, all rights to receive interest on such amount of Revolving Loans and all commitment and other Fees with respect to the Assigned Commitment and other rights of the Assignor under the Credit Agreement and the other Loan Documents with respect to the Assigned Commitment, all as if the Assignee were an original Lender under and signatory to the Credit Agreement having a Commitment equal to the amount of the Assigned Commitment. The Assignee, subject to the terms and conditions hereof, hereby assumes all obligations of the Assignor with respect to the Assigned Commitment as if the Assignee were an original Lender under and signatory to the Credit Agreement having a Commitment equal to the Assigned Commitment, which obligations shall include, but shall not be limited to, the obligation of the Assignor to make Revolving Loans to the Borrower with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35" w:name="page136"/>
    <w:bookmarkEnd w:id="135"/>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Assigned Commitment, the obligation to pay the Agent amounts due in respect of draws under Letters of Credit as required under Section 2.4.(i) of the Credit Agreement and the obligation to indemnify the Agent as provided therein (the foregoing enumerated obligations, together with all other similar obligations more particularly set forth in the Credit Agreement and the other Loan Documents, collectively, the “Assigned Obligations”). [In addition, the</w:t>
      </w:r>
    </w:p>
    <w:tbl>
      <w:tblPr>
        <w:tblLayout w:type="fixed"/>
        <w:tblInd w:w="0" w:type="dxa"/>
        <w:tblCellMar>
          <w:top w:w="0" w:type="dxa"/>
          <w:left w:w="0" w:type="dxa"/>
          <w:bottom w:w="0" w:type="dxa"/>
          <w:right w:w="0" w:type="dxa"/>
        </w:tblCellMar>
      </w:tblPr>
      <w:tr>
        <w:trPr>
          <w:trHeight w:val="179"/>
        </w:trPr>
        <w:tc>
          <w:tcPr>
            <w:tcW w:w="6600" w:type="dxa"/>
            <w:vAlign w:val="bottom"/>
          </w:tcPr>
          <w:p>
            <w:pPr>
              <w:spacing w:after="0" w:line="179" w:lineRule="exact"/>
              <w:rPr>
                <w:sz w:val="20"/>
                <w:szCs w:val="20"/>
                <w:color w:val="auto"/>
              </w:rPr>
            </w:pPr>
            <w:r>
              <w:rPr>
                <w:rFonts w:ascii="Arial" w:cs="Arial" w:eastAsia="Arial" w:hAnsi="Arial"/>
                <w:sz w:val="18"/>
                <w:szCs w:val="18"/>
                <w:color w:val="auto"/>
                <w:w w:val="87"/>
              </w:rPr>
              <w:t>Assignor hereby irrevocably sells, transfers and assigns to the Assignee, without recourse, a $</w:t>
            </w:r>
          </w:p>
        </w:tc>
        <w:tc>
          <w:tcPr>
            <w:tcW w:w="520" w:type="dxa"/>
            <w:vAlign w:val="bottom"/>
            <w:tcBorders>
              <w:bottom w:val="single" w:sz="8" w:color="auto"/>
            </w:tcBorders>
          </w:tcPr>
          <w:p>
            <w:pPr>
              <w:spacing w:after="0"/>
              <w:rPr>
                <w:sz w:val="15"/>
                <w:szCs w:val="15"/>
                <w:color w:val="auto"/>
              </w:rPr>
            </w:pPr>
          </w:p>
        </w:tc>
        <w:tc>
          <w:tcPr>
            <w:tcW w:w="4300" w:type="dxa"/>
            <w:vAlign w:val="bottom"/>
            <w:gridSpan w:val="3"/>
          </w:tcPr>
          <w:p>
            <w:pPr>
              <w:ind w:left="40"/>
              <w:spacing w:after="0" w:line="179" w:lineRule="exact"/>
              <w:rPr>
                <w:sz w:val="20"/>
                <w:szCs w:val="20"/>
                <w:color w:val="auto"/>
              </w:rPr>
            </w:pPr>
            <w:r>
              <w:rPr>
                <w:rFonts w:ascii="Arial" w:cs="Arial" w:eastAsia="Arial" w:hAnsi="Arial"/>
                <w:sz w:val="18"/>
                <w:szCs w:val="18"/>
                <w:color w:val="auto"/>
                <w:w w:val="94"/>
              </w:rPr>
              <w:t>interest in and to the Assignor’s Bid Rate Note, including</w:t>
            </w:r>
          </w:p>
        </w:tc>
      </w:tr>
      <w:tr>
        <w:trPr>
          <w:trHeight w:val="196"/>
        </w:trPr>
        <w:tc>
          <w:tcPr>
            <w:tcW w:w="8880" w:type="dxa"/>
            <w:vAlign w:val="bottom"/>
            <w:gridSpan w:val="3"/>
          </w:tcPr>
          <w:p>
            <w:pPr>
              <w:spacing w:after="0" w:line="196" w:lineRule="exact"/>
              <w:rPr>
                <w:sz w:val="20"/>
                <w:szCs w:val="20"/>
                <w:color w:val="auto"/>
              </w:rPr>
            </w:pPr>
            <w:r>
              <w:rPr>
                <w:rFonts w:ascii="Arial" w:cs="Arial" w:eastAsia="Arial" w:hAnsi="Arial"/>
                <w:sz w:val="18"/>
                <w:szCs w:val="18"/>
                <w:color w:val="auto"/>
                <w:w w:val="89"/>
              </w:rPr>
              <w:t>without limitation, a principal amount of outstanding Bid Rate Loans owing to the Assignor in an aggregate amount equal to $</w:t>
            </w:r>
          </w:p>
        </w:tc>
        <w:tc>
          <w:tcPr>
            <w:tcW w:w="540" w:type="dxa"/>
            <w:vAlign w:val="bottom"/>
            <w:tcBorders>
              <w:bottom w:val="single" w:sz="8" w:color="auto"/>
            </w:tcBorders>
          </w:tcPr>
          <w:p>
            <w:pPr>
              <w:spacing w:after="0"/>
              <w:rPr>
                <w:sz w:val="17"/>
                <w:szCs w:val="17"/>
                <w:color w:val="auto"/>
              </w:rPr>
            </w:pPr>
          </w:p>
        </w:tc>
        <w:tc>
          <w:tcPr>
            <w:tcW w:w="2000" w:type="dxa"/>
            <w:vAlign w:val="bottom"/>
          </w:tcPr>
          <w:p>
            <w:pPr>
              <w:spacing w:after="0" w:line="196" w:lineRule="exact"/>
              <w:rPr>
                <w:sz w:val="20"/>
                <w:szCs w:val="20"/>
                <w:color w:val="auto"/>
              </w:rPr>
            </w:pPr>
            <w:r>
              <w:rPr>
                <w:rFonts w:ascii="Arial" w:cs="Arial" w:eastAsia="Arial" w:hAnsi="Arial"/>
                <w:sz w:val="18"/>
                <w:szCs w:val="18"/>
                <w:color w:val="auto"/>
                <w:w w:val="88"/>
              </w:rPr>
              <w:t>, all rights to receive interest</w:t>
            </w:r>
          </w:p>
        </w:tc>
      </w:tr>
    </w:tbl>
    <w:p>
      <w:pPr>
        <w:spacing w:after="0" w:line="1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on such amount of Bid Rate Loans and other rights of the Assignor under the Credit Agreement and the other Loan Documents with respect to such Bid Rate Loans, all as if the Assignee had originally made such amount of Bid Rate Loans to the Borrower. The obligations assigned pursuant to the immediately preceding sentence shall constitute Assigned Obligations hereunder.] The Assignor shall have no further duties or obligations with respect to, and shall have no further interest in, the Assigned Obligations or the Assigned Commitment from and after the Assignment Date.</w:t>
      </w:r>
    </w:p>
    <w:p>
      <w:pPr>
        <w:spacing w:after="0" w:line="113" w:lineRule="exact"/>
        <w:rPr>
          <w:sz w:val="20"/>
          <w:szCs w:val="20"/>
          <w:color w:val="auto"/>
        </w:rPr>
      </w:pPr>
    </w:p>
    <w:p>
      <w:pPr>
        <w:ind w:right="40" w:firstLine="464"/>
        <w:spacing w:after="0" w:line="284"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assignment by the Assignor to the Assignee hereunder is without recourse to the Assignor. The Assignee makes and confirms to the Agent, the Assignor, and the other Lenders all of the representations, warranties and covenants of a Lender under Article XI. of the Credit Agreement. Not in limitation of the foregoing, the Assignee acknowledges and agrees that, except as set forth in Section 4 below, the Assignor is making no representations or warranties with respect to, and the Assignee hereby releases and discharges the Assignor for any responsibility or liability for: (i) the present or future solvency or financial condition of the Borrower, any Subsidiary or any other Loan Party, (ii) any representations, warranties, statements or information made or furnished by the Borrower, any Subsidiary or any other Loan Party in connection with the Credit Agreement or otherwise, (iii) the validity, efficacy, sufficiency, or enforceability of the Credit Agreement, any other Loan Document or any other document or instrument executed in connection therewith, or the collectibility of the Assigned Obligations, (iv) the perfection, priority or validity of any Lien with respect to any collateral at any time securing the Obligations or the Assigned Obligations under the Notes or the Credit Agreement and (v) the performance or failure to perform by the Borrower or any other Loan Party of any obligation under the Credit Agreement or any other Loan Document to which it is a party. Further, the Assignee acknowledges that it has, independently and without reliance upon the Agent, or on any affiliate or subsidiary thereof, the Assignor or any other Lender and based on the financial statements supplied by the Borrower and such other documents and information as it has deemed appropriate, made its own credit and legal analysis and decision to become a Lender under the Credit Agreement. The Assignee also acknowledges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or any other Loan Documents or pursuant to any other obligation. Except as expressly provided in the Credit Agreement, the Agent shall have no duty or responsibility whatsoever, either initially or on a continuing basis, to provide the Assignee with any credit or other information with respect to the Borrower or any other Loan Party or to notify the Assignee of any Default or Event of Default. The Assignee has not relied on the Agent as to any legal or factual matter in connection therewith or in connection with the transactions contemplated thereunder.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36" w:name="page137"/>
    <w:bookmarkEnd w:id="136"/>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8"/>
          <w:szCs w:val="18"/>
          <w:u w:val="single" w:color="auto"/>
          <w:color w:val="auto"/>
        </w:rPr>
        <w:t>Payment by Assignee</w:t>
      </w:r>
      <w:r>
        <w:rPr>
          <w:rFonts w:ascii="Arial" w:cs="Arial" w:eastAsia="Arial" w:hAnsi="Arial"/>
          <w:sz w:val="18"/>
          <w:szCs w:val="18"/>
          <w:color w:val="auto"/>
        </w:rPr>
        <w:t>. In consideration of the assignment made pursuant to Section 1 of this Agreement, the Assignee agrees to pay to the Assignor on the Assignment Date, such amount as they may agree.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Payments by Assignor</w:t>
      </w:r>
      <w:r>
        <w:rPr>
          <w:rFonts w:ascii="Arial" w:cs="Arial" w:eastAsia="Arial" w:hAnsi="Arial"/>
          <w:sz w:val="18"/>
          <w:szCs w:val="18"/>
          <w:color w:val="auto"/>
        </w:rPr>
        <w:t>. The Assignor agrees to pay to the Agent on the Assignment Date the administration fee, if any, payable under the applicable provisions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Representations and Warranties of Assignor</w:t>
      </w:r>
      <w:r>
        <w:rPr>
          <w:rFonts w:ascii="Arial" w:cs="Arial" w:eastAsia="Arial" w:hAnsi="Arial"/>
          <w:sz w:val="15"/>
          <w:szCs w:val="15"/>
          <w:color w:val="auto"/>
        </w:rPr>
        <w:t>. The Assignor hereby represents and warrants to the Assignee that (a) as of the Assignment Date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 the Assignor is a Lender under the Credit Agreement having a Commitment under the Credit Agreement [and the outstanding principal balance of Bid Rate</w:t>
      </w:r>
    </w:p>
    <w:p>
      <w:pPr>
        <w:spacing w:after="0" w:line="32" w:lineRule="exact"/>
        <w:rPr>
          <w:sz w:val="20"/>
          <w:szCs w:val="20"/>
          <w:color w:val="auto"/>
        </w:rPr>
      </w:pPr>
    </w:p>
    <w:p>
      <w:pPr>
        <w:spacing w:after="0"/>
        <w:tabs>
          <w:tab w:leader="none" w:pos="9520" w:val="left"/>
          <w:tab w:leader="none" w:pos="10500" w:val="left"/>
        </w:tabs>
        <w:rPr>
          <w:sz w:val="20"/>
          <w:szCs w:val="20"/>
          <w:color w:val="auto"/>
        </w:rPr>
      </w:pPr>
      <w:r>
        <w:rPr>
          <w:rFonts w:ascii="Arial" w:cs="Arial" w:eastAsia="Arial" w:hAnsi="Arial"/>
          <w:sz w:val="16"/>
          <w:szCs w:val="16"/>
          <w:color w:val="auto"/>
        </w:rPr>
        <w:t>Loans owing to the Assignor] (without reduction by any assignments thereof which have not yet become effective)[,] equal to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-17780</wp:posOffset>
            </wp:positionV>
            <wp:extent cx="3346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-17780</wp:posOffset>
            </wp:positionV>
            <wp:extent cx="3346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respectively], and that the Assignor is not in default of its obligations under the Credit Agreement; and (ii) the outstanding balance of Revolving Loans owing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20"/>
                <w:szCs w:val="20"/>
                <w:color w:val="auto"/>
              </w:rPr>
            </w:pPr>
            <w:r>
              <w:rPr>
                <w:rFonts w:ascii="Arial" w:cs="Arial" w:eastAsia="Arial" w:hAnsi="Arial"/>
                <w:sz w:val="18"/>
                <w:szCs w:val="18"/>
                <w:color w:val="auto"/>
                <w:w w:val="88"/>
              </w:rPr>
              <w:t>the Assignor (without reduction by any assignments thereof which have not yet become effective) is $</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88"/>
              </w:rPr>
              <w:t>; and (b) it is the legal and beneficial owner of the</w:t>
            </w:r>
          </w:p>
        </w:tc>
      </w:tr>
      <w:tr>
        <w:trPr>
          <w:trHeight w:val="235"/>
        </w:trPr>
        <w:tc>
          <w:tcPr>
            <w:tcW w:w="7440" w:type="dxa"/>
            <w:vAlign w:val="bottom"/>
            <w:gridSpan w:val="2"/>
          </w:tcPr>
          <w:p>
            <w:pPr>
              <w:spacing w:after="0"/>
              <w:rPr>
                <w:sz w:val="20"/>
                <w:szCs w:val="20"/>
                <w:color w:val="auto"/>
              </w:rPr>
            </w:pPr>
            <w:r>
              <w:rPr>
                <w:rFonts w:ascii="Arial" w:cs="Arial" w:eastAsia="Arial" w:hAnsi="Arial"/>
                <w:sz w:val="18"/>
                <w:szCs w:val="18"/>
                <w:color w:val="auto"/>
              </w:rPr>
              <w:t>Assigned Commitment which is free and clear of any adverse claim created by the Assignor.</w:t>
            </w: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15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Representations, Warranties and Agreements of Assignee</w:t>
      </w:r>
      <w:r>
        <w:rPr>
          <w:rFonts w:ascii="Arial" w:cs="Arial" w:eastAsia="Arial" w:hAnsi="Arial"/>
          <w:sz w:val="15"/>
          <w:szCs w:val="15"/>
          <w:color w:val="auto"/>
        </w:rPr>
        <w:t>. The Assignee (a) represents and warrants that it is (i) legally authorized to enter into this Agreement, (ii) an “accredited investor” (as such term is used in Regulation D of the Securities Act) and (iii) an Eligible Assignee; (b) confirms that it has received a copy of the Credit Agreement, together with copies of the most recent financial statements delivered in connection therewith or pursuant thereto and such other documents and information (including without limitation the Loan Documents) as it has deemed appropriate to make its own credit analysis and decision to enter into this Agreement; (c) appoints and authorizes the Agent to take such action as contractual representative on its behalf and to exercise such powers under the Loan Documents as are delegated to the Agent by the terms thereof together with such powers as are reasonably incidental thereto; and</w:t>
      </w:r>
    </w:p>
    <w:p>
      <w:pPr>
        <w:spacing w:after="0" w:line="1" w:lineRule="exact"/>
        <w:rPr>
          <w:sz w:val="20"/>
          <w:szCs w:val="20"/>
          <w:color w:val="auto"/>
        </w:rPr>
      </w:pPr>
    </w:p>
    <w:p>
      <w:pPr>
        <w:jc w:val="both"/>
        <w:ind w:firstLine="8"/>
        <w:spacing w:after="0" w:line="255"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agrees that, if not already a Lender and to the extent of the Assigned Commitment, it will become a party to and shall be bound by the Credit Agreement and the other Loan Documents to which the other Lenders are a party on the Assignment Date and will perform in accordance therewith all of the obligations which are required to be performed by it as a Lender.</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Recording and Acknowledgment by the Agent</w:t>
      </w:r>
      <w:r>
        <w:rPr>
          <w:rFonts w:ascii="Arial" w:cs="Arial" w:eastAsia="Arial" w:hAnsi="Arial"/>
          <w:sz w:val="16"/>
          <w:szCs w:val="16"/>
          <w:color w:val="auto"/>
        </w:rPr>
        <w:t>. Following the execution of this Agreement, the Assignor will deliver to the Agent (a) a duly executed copy of this Agreement for acknowledgment and recording by the Agent and (b) the Assignor’s [Revolving Note [and Bid Rate Note]]. Upon such acknowledgment and recording, from and after the Assignment Date, the Agent shall make all payments in respect of the interest assigned hereby (including payments of principal, interest, Fees and other amounts) to the Assignee. The Assignor and Assignee shall make all appropriate adjustments in payments under the Credit Agreement for periods prior to the Assignment Date directly between themselves.</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80"/>
          </w:cols>
          <w:pgMar w:left="240" w:top="280" w:right="379" w:bottom="1440" w:gutter="0" w:footer="0" w:header="0"/>
        </w:sectPr>
      </w:pPr>
    </w:p>
    <w:bookmarkStart w:id="137" w:name="page138"/>
    <w:bookmarkEnd w:id="137"/>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8"/>
          <w:szCs w:val="18"/>
          <w:u w:val="single" w:color="auto"/>
          <w:color w:val="auto"/>
        </w:rPr>
        <w:t>Addresses</w:t>
      </w:r>
      <w:r>
        <w:rPr>
          <w:rFonts w:ascii="Arial" w:cs="Arial" w:eastAsia="Arial" w:hAnsi="Arial"/>
          <w:sz w:val="18"/>
          <w:szCs w:val="18"/>
          <w:color w:val="auto"/>
        </w:rPr>
        <w:t>. The Assignee specifies as its address for notices and its Lending Office for all Loans, the offices set forth on Schedule 1 attached hereto.</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Instructions</w:t>
      </w:r>
      <w:r>
        <w:rPr>
          <w:rFonts w:ascii="Arial" w:cs="Arial" w:eastAsia="Arial" w:hAnsi="Arial"/>
          <w:sz w:val="18"/>
          <w:szCs w:val="18"/>
          <w:color w:val="auto"/>
        </w:rPr>
        <w:t>. All payments to be made to the Assignee under this Agreement by the Assignor, and all payments to be made to the Assignee under the Credit Agreement, shall be made as provided in the Credit Agreement in accordance with the following instructions set forth on Schedule 1 attached hereto or as the Assignee may otherwise notify the Agent.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Effectiveness of Assignment</w:t>
      </w:r>
      <w:r>
        <w:rPr>
          <w:rFonts w:ascii="Arial" w:cs="Arial" w:eastAsia="Arial" w:hAnsi="Arial"/>
          <w:sz w:val="16"/>
          <w:szCs w:val="16"/>
          <w:color w:val="auto"/>
        </w:rPr>
        <w:t xml:space="preserve">. This Agreement, and the assignment and assumption contemplated herein, shall not be effective until (a) this Agreement is executed and delivered by each of the Assignor, the Assignee, the Agent, and if required under Section 12.5.(d) of the Credit Agreement, the Borrower, and (b) the payment to the Assignor of the amounts, if any, owing by the Assignee pursuant to Section 2 hereof and (c) the payment to the Agent of the amounts, if any, owing by the Assignor pursuant to Section 3 hereof. Upon recording and acknowledgment of this Agreement by the Agent, from and after the Assignment Date, (i) the Assignee shall be a party to the Credit Agreement and, to the extent provided in this Agreement, have the rights and obligations of a Lender thereunder to the extent of the Assigned Commitment and (ii) the Assignor shall, to the extent provided in this Agreement, relinquish its rights (except as otherwise provided in Section 12.10. of the Credit Agreement) and be released from its obligations under the Credit Agreement with respect to the Assigned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Assignor does not assign its entire interest under the Loan Documents, it shall remain a Lender entitled to all of the benefits and subject to all of the obligations thereunder with respect to its Commitment.</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amended, changed, waived or modified except by a writing executed by the Assignee and the Assignor;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amendment, waiver or consent which shall affect the rights or duties of the Agent under this Agreement shall not be effective unless signed by the Agent.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Assignor and the Assignee with respect to the subject matter hereof and supersedes all other prior arrangements and understandings relating to the subject matter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80" w:right="279" w:bottom="1440" w:gutter="0" w:footer="0" w:header="0"/>
        </w:sectPr>
      </w:pPr>
    </w:p>
    <w:bookmarkStart w:id="138" w:name="page139"/>
    <w:bookmarkEnd w:id="138"/>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are used herein with the respective meanings given them in the Credit Agreement.</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[Include this Section only if Borrower’s consent is required under Section 12.5.(d) </w:t>
      </w:r>
      <w:r>
        <w:rPr>
          <w:rFonts w:ascii="Arial" w:cs="Arial" w:eastAsia="Arial" w:hAnsi="Arial"/>
          <w:sz w:val="16"/>
          <w:szCs w:val="16"/>
          <w:color w:val="auto"/>
        </w:rPr>
        <w:t>Section 17.</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Agreements of the Borrower</w:t>
      </w:r>
      <w:r>
        <w:rPr>
          <w:rFonts w:ascii="Arial" w:cs="Arial" w:eastAsia="Arial" w:hAnsi="Arial"/>
          <w:sz w:val="16"/>
          <w:szCs w:val="16"/>
          <w:color w:val="auto"/>
        </w:rPr>
        <w:t>. The Borrower hereby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Assignee shall be a Lender under the Credit Agreement having a Commitment equal to the Assigned Commitment. The Borrower agrees that the Assignee shall have all of the rights and remedies of a Lender under the Credit Agreement and the other Loan Documents as if the Assignee were an original Lender under and signatory to the Credit Agreement, including, but not limited to, the right of a Lender to receive payments of principal and interest with respect to the Assigned Obligations, and to the Revolving Loans made by the Lenders after the date hereof and to receive the commitment and other Fees payable to the Lenders as provided in the Credit Agreement. Further, the Assignee shall be entitled to the indemnification provisions from the Borrower in favor of the Lenders as provided in the Credit Agreement and the other Loan Documents. The Borrower further agrees, upon the execution and delivery of this Agreement, to execute in favor of the Assignee, and if applicable the Assignor, Notes as required by Section 12.5.(d) of the Credit Agreement. Upon receipt by the Assignor of the amounts due the Assignor under Section 2, the Assignor agrees to surrender to the Borrower such Assignor’s Notes.]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280" w:right="319" w:bottom="1440" w:gutter="0" w:footer="0" w:header="0"/>
        </w:sectPr>
      </w:pPr>
    </w:p>
    <w:bookmarkStart w:id="139" w:name="page140"/>
    <w:bookmarkEnd w:id="13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Assignment and Acceptance Agreement as of the date and year first written above.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25126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25126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[Signatures Continued on Following Page]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80"/>
          </w:cols>
          <w:pgMar w:left="240" w:top="280" w:right="4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signature of the Borrower only if required under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Section 12.5.(d) of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 as of the date first written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25126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25126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3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280" w:right="1440"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Information Concerning the Assignee</w:t>
      </w: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27940</wp:posOffset>
            </wp:positionV>
            <wp:extent cx="25984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191135</wp:posOffset>
            </wp:positionV>
            <wp:extent cx="25984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354330</wp:posOffset>
            </wp:positionV>
            <wp:extent cx="25984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wp:posOffset>
            </wp:positionV>
            <wp:extent cx="17240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wp:posOffset>
            </wp:positionV>
            <wp:extent cx="17240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27940</wp:posOffset>
            </wp:positionV>
            <wp:extent cx="25984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191135</wp:posOffset>
            </wp:positionV>
            <wp:extent cx="25984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354330</wp:posOffset>
            </wp:positionV>
            <wp:extent cx="25984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wp:posOffset>
            </wp:positionV>
            <wp:extent cx="17240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wp:posOffset>
            </wp:positionV>
            <wp:extent cx="17240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27940</wp:posOffset>
            </wp:positionV>
            <wp:extent cx="25984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191135</wp:posOffset>
            </wp:positionV>
            <wp:extent cx="25984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354330</wp:posOffset>
            </wp:positionV>
            <wp:extent cx="25984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516890</wp:posOffset>
            </wp:positionV>
            <wp:extent cx="25984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9019"/>
          </w:cols>
          <w:pgMar w:left="1440" w:top="280" w:right="1440" w:bottom="1440" w:gutter="0" w:footer="0" w:header="0"/>
        </w:sectPr>
      </w:pPr>
    </w:p>
    <w:bookmarkStart w:id="142" w:name="page143"/>
    <w:bookmarkEnd w:id="142"/>
    <w:tbl>
      <w:tblPr>
        <w:tblLayout w:type="fixed"/>
        <w:tblInd w:w="46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2"/>
          </w:tcPr>
          <w:p>
            <w:pPr>
              <w:jc w:val="center"/>
              <w:ind w:right="1560"/>
              <w:spacing w:after="0"/>
              <w:rPr>
                <w:sz w:val="20"/>
                <w:szCs w:val="20"/>
                <w:color w:val="auto"/>
              </w:rPr>
            </w:pPr>
            <w:r>
              <w:rPr>
                <w:rFonts w:ascii="Arial" w:cs="Arial" w:eastAsia="Arial" w:hAnsi="Arial"/>
                <w:sz w:val="18"/>
                <w:szCs w:val="18"/>
                <w:color w:val="auto"/>
                <w:w w:val="98"/>
              </w:rPr>
              <w:t>EXHIBIT B</w:t>
            </w:r>
          </w:p>
        </w:tc>
        <w:tc>
          <w:tcPr>
            <w:tcW w:w="17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8"/>
        </w:trPr>
        <w:tc>
          <w:tcPr>
            <w:tcW w:w="3580" w:type="dxa"/>
            <w:vAlign w:val="bottom"/>
          </w:tcPr>
          <w:p>
            <w:pPr>
              <w:spacing w:after="0"/>
              <w:rPr>
                <w:sz w:val="24"/>
                <w:szCs w:val="24"/>
                <w:color w:val="auto"/>
              </w:rPr>
            </w:pPr>
          </w:p>
        </w:tc>
        <w:tc>
          <w:tcPr>
            <w:tcW w:w="3760" w:type="dxa"/>
            <w:vAlign w:val="bottom"/>
            <w:gridSpan w:val="4"/>
          </w:tcPr>
          <w:p>
            <w:pPr>
              <w:jc w:val="center"/>
              <w:ind w:right="420"/>
              <w:spacing w:after="0"/>
              <w:rPr>
                <w:sz w:val="20"/>
                <w:szCs w:val="20"/>
                <w:color w:val="auto"/>
              </w:rPr>
            </w:pPr>
            <w:r>
              <w:rPr>
                <w:rFonts w:ascii="Arial" w:cs="Arial" w:eastAsia="Arial" w:hAnsi="Arial"/>
                <w:sz w:val="18"/>
                <w:szCs w:val="18"/>
                <w:color w:val="auto"/>
                <w:w w:val="93"/>
              </w:rPr>
              <w:t>FORM OF DESIGNATION AGREEMENT</w:t>
            </w: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0"/>
        </w:trPr>
        <w:tc>
          <w:tcPr>
            <w:tcW w:w="3580" w:type="dxa"/>
            <w:vAlign w:val="bottom"/>
          </w:tcPr>
          <w:p>
            <w:pPr>
              <w:spacing w:after="0"/>
              <w:rPr>
                <w:sz w:val="20"/>
                <w:szCs w:val="20"/>
                <w:color w:val="auto"/>
              </w:rPr>
            </w:pPr>
            <w:r>
              <w:rPr>
                <w:rFonts w:ascii="Arial" w:cs="Arial" w:eastAsia="Arial" w:hAnsi="Arial"/>
                <w:sz w:val="18"/>
                <w:szCs w:val="18"/>
                <w:color w:val="auto"/>
                <w:w w:val="92"/>
              </w:rPr>
              <w:t>THIS DESIGNATION AGREEMENT dated as of</w:t>
            </w:r>
          </w:p>
        </w:tc>
        <w:tc>
          <w:tcPr>
            <w:tcW w:w="88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w w:val="93"/>
              </w:rPr>
              <w:t>, 20   (the “Agreement”) by and among</w:t>
            </w:r>
          </w:p>
        </w:tc>
        <w:tc>
          <w:tcPr>
            <w:tcW w:w="17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w w:val="90"/>
              </w:rPr>
              <w:t>(the “Lender”),</w:t>
            </w:r>
          </w:p>
        </w:tc>
      </w:tr>
      <w:tr>
        <w:trPr>
          <w:trHeight w:val="20"/>
        </w:trPr>
        <w:tc>
          <w:tcPr>
            <w:tcW w:w="3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(the “Designated Lender”) and Wachovia Bank, National Association, as Agent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150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Lender is a Lender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pursuant to Section 12.5.(e) of the Credit Agreement, the Lender desires to designate the Designated Lender as its “Designated Lender” under and as defined in the Credit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designation on the terms and conditions set forth herein.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w:t>
      </w:r>
      <w:r>
        <w:rPr>
          <w:rFonts w:ascii="Arial" w:cs="Arial" w:eastAsia="Arial" w:hAnsi="Arial"/>
          <w:sz w:val="16"/>
          <w:szCs w:val="16"/>
          <w:color w:val="auto"/>
        </w:rPr>
        <w:t>. Subject to the terms and conditions of this Agreement, the Lender hereby designates the Designated Lender, and the Designated Lender hereby accepts such designation, to have a right to make Bid Rate Loans on behalf of the Lender pursuant to Section 2.2. of the Credit Agreement. Any assignment by the Lender to the Designated Lender of rights to make a Bid Rate Loan shall only be effective at the time such Bid Rate Loan is funded by the Designated Lender. The Designated Lender, subject to the terms and conditions hereof, hereby agrees to make such accepted Bid Rate Loans and to perform such other obligations as may be required of it as a Designated Lender under the Credit Agreement.</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Lender Not Discharged</w:t>
      </w:r>
      <w:r>
        <w:rPr>
          <w:rFonts w:ascii="Arial" w:cs="Arial" w:eastAsia="Arial" w:hAnsi="Arial"/>
          <w:sz w:val="18"/>
          <w:szCs w:val="18"/>
          <w:color w:val="auto"/>
        </w:rPr>
        <w:t>. Notwithstanding the designation of the Designated Lender hereunder, the Lender shall be and remain obligated to the Borrower, the Agent and the Lenders for each and every of the obligations of the Lender and its related Designated Lender with respect to the Credit Agreement and the other Loan Documents, including, without limitation, any indemnification obligations under Section 11.7. of the Credit Agreement and any sums otherwise payable to the Borrower or the Agent by the Designated Lender.</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 Representations by Lender</w:t>
      </w:r>
      <w:r>
        <w:rPr>
          <w:rFonts w:ascii="Arial" w:cs="Arial" w:eastAsia="Arial" w:hAnsi="Arial"/>
          <w:sz w:val="18"/>
          <w:szCs w:val="18"/>
          <w:color w:val="auto"/>
        </w:rPr>
        <w:t>. The Lender makes no representation or warranty and, except as set forth in Section 8 below, assumes no responsibility pursuant to this Agreement with respect to (a) any statements, warranties or representations made in or in connection with any Loan Document or the execution, legality, validity, enforceability,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80" w:right="259" w:bottom="1440" w:gutter="0" w:footer="0" w:header="0"/>
        </w:sectPr>
      </w:pPr>
    </w:p>
    <w:bookmarkStart w:id="143" w:name="page144"/>
    <w:bookmarkEnd w:id="143"/>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genuineness, sufficiency or value of any Loan Document or any other instrument and document furnished pursuant thereto and (b) the financial condition of the Borrower, any Subsidiary or any other Loan Party or the performance or observance by the Borrower or any other Loan Party of any of its respective obligations under any Loan Document to which it is a party or any other instrument or document furnished pursuant thereto.</w:t>
      </w:r>
    </w:p>
    <w:p>
      <w:pPr>
        <w:spacing w:after="0" w:line="10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Covenants of Designated Lender</w:t>
      </w:r>
      <w:r>
        <w:rPr>
          <w:rFonts w:ascii="Arial" w:cs="Arial" w:eastAsia="Arial" w:hAnsi="Arial"/>
          <w:sz w:val="16"/>
          <w:szCs w:val="16"/>
          <w:color w:val="auto"/>
        </w:rPr>
        <w:t>. The Designated Lender makes and confirms to the Agent, the Lender, and the other Lenders all of the representations, warranties and covenants of a Lender under Article XI. of the Credit Agreement. Not in limitation of the foregoing, the Designated Lender (a) represents and warrants that it (i) is legally authorized to enter into this Agreement; (ii) is an “accredited investor” (as such term is used in Regulation D of the Securities Act) and (iii) meets the requirements of a “Designated Lender” contained in the definition of such term contained in the Credit Agreement; (b) confirms that it has received a copy of the Credit Agreement, together with copies of the most recent financial statements delivered pursuant thereto and such other documents and information (including without limitation the Loan Documents) as it has deemed appropriate to make its own credit analysis and decision to enter into this Agreement; (c) confirms that it has, independently and without reliance upon the Agent, or on any affiliate thereof, the Lender or any other Lender and based on such financial statements and such other documents and information, made its own credit and legal analysis and decision to become a Designated Lender under the Credit Agreement; (d) appoints and authorizes the Agent to take such action as contractual representative on its behalf and to exercise such powers under the Loan Documents as are delegated to the Agent by the terms thereof together with such powers as are reasonably incidental thereto; and (e) agrees that it will become a party to and shall be bound by the Credit Agreement, the other Loan Documents to which the other Lenders are a party on the Effective Date (as defined below) and will perform in accordance therewith all of the obligations which are required to be performed by it as a Designated Lender. The Designated Lender also acknowledges that it will, independently and without reliance upon the Agent, the Lender or any other Lender and based on such documents and information as it shall deem appropriate at the time, continue to make its own credit decisions in taking or not taking action under the Credit Agreement or any Note or pursuant to any other obligation. The Designated Lender acknowledges and agrees that except as expressly required under the Credit Agreement, the Agent shall have no duty or responsibility whatsoever, either initially or on a continuing basis, to provide the Designated Lender with any credit or other information with respect to the Borrower, any Subsidiary or any other Loan Party or to notify the Designated Lender of any Default or Event of Default.</w:t>
      </w:r>
    </w:p>
    <w:p>
      <w:pPr>
        <w:spacing w:after="0" w:line="13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Appointment of Lender as Attorney-In-Fact</w:t>
      </w:r>
      <w:r>
        <w:rPr>
          <w:rFonts w:ascii="Arial" w:cs="Arial" w:eastAsia="Arial" w:hAnsi="Arial"/>
          <w:sz w:val="16"/>
          <w:szCs w:val="16"/>
          <w:color w:val="auto"/>
        </w:rPr>
        <w:t>. The Designated Lender hereby appoints the Lender as the Designated Lender’s agent and attorney-in-fact, and grants to the Lender an irrevocable power of attorney, to receive any and all payments to be made for the benefit of the Designated Lender under the Credit Agreement, to deliver and receive all notices and other communications under the Credit Agreement and other Loan Documents and to exercise on the Designated Lender’s behalf all rights to vote and to grant and make approvals, waivers, consents of amendments to or under the Credit Agreement or other Loan Documents. Any document executed by the Lender on the Designated Lender’s behalf in connection with the Credit Agreement or other Loan Documents shall be binding on the Designated Lender.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the Agent and each of the Lenders may rely on and are beneficiaries of the preceding provisions.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Acceptance by the Agent</w:t>
      </w:r>
      <w:r>
        <w:rPr>
          <w:rFonts w:ascii="Arial" w:cs="Arial" w:eastAsia="Arial" w:hAnsi="Arial"/>
          <w:sz w:val="18"/>
          <w:szCs w:val="18"/>
          <w:color w:val="auto"/>
        </w:rPr>
        <w:t>. Following the execution of this Agreement by the Lender and the Designated Lender, the Lender will (i) deliver to the Agent a duly executed original of this Agreement for acceptance by the Agent and (ii) pay to the Agent the fee, if any, payable under the applicable provisions of the Credit Agreement whereupon this Agreement shall become effective as of the date of such acceptance or such other date as may be specified on the signature page hereof (the “Effective Date”).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Effect of Designation</w:t>
      </w:r>
      <w:r>
        <w:rPr>
          <w:rFonts w:ascii="Arial" w:cs="Arial" w:eastAsia="Arial" w:hAnsi="Arial"/>
          <w:sz w:val="16"/>
          <w:szCs w:val="16"/>
          <w:color w:val="auto"/>
        </w:rPr>
        <w:t xml:space="preserve">. Upon such acceptance and recording by the Agent, as of the Effective Date, the Designated Lender shall be a party to the Credit Agreement with a right to make Bid Rate Loans as a Lender pursuant to Section 2.2. of the Credit Agreement and the rights and obligations of a Lender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Designated Lender shall not be required to make payments with respect to such obligations except to the extent of excess cash flow of the Designated Lender which is not otherwise required to repay obligations of the Designated Lender which are then due and payable. Notwithstanding the foregoing, the Lender, as agent for the Designated Lender, shall be and remain obligated to the Borrower, the Agent and the Lenders for each and every of the obligations of the Designated Lender and the Lender with respect to the Credit Agreement.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Indemnification of Designated Lender</w:t>
      </w:r>
      <w:r>
        <w:rPr>
          <w:rFonts w:ascii="Arial" w:cs="Arial" w:eastAsia="Arial" w:hAnsi="Arial"/>
          <w:sz w:val="16"/>
          <w:szCs w:val="16"/>
          <w:color w:val="auto"/>
        </w:rPr>
        <w:t>. The Lender unconditionally agrees to pay or reimburse the Designated Lender and save the Designated Lender harmless against all liabilities, obligations, losses, damages, penalties, actions, judgments, suits, costs, expenses or disbursements of any kind or nature whatsoever which may be imposed or asserted by any of the parties to the Loan Documents against the Designated Lender, in its capacity as such, in any way relating to or arising out of this Agreement or any other Loan Documents or any action taken or omitted by the Designated Lender hereunder or thereunder, provided that the Lender shall not be liable for any portion of such liabilities, obligations, losses, damages, penalties, actions, judgments, suits, costs, expenses or disbursements if the same results from the Designated Lender’s gross negligence or willful misconduct.</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Amendments; Waivers</w:t>
      </w:r>
      <w:r>
        <w:rPr>
          <w:rFonts w:ascii="Arial" w:cs="Arial" w:eastAsia="Arial" w:hAnsi="Arial"/>
          <w:sz w:val="16"/>
          <w:szCs w:val="16"/>
          <w:color w:val="auto"/>
        </w:rPr>
        <w:t>. This Agreement may not be amended, changed, waived or modified except by a writing executed by all parties hereto.</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145" w:name="page146"/>
    <w:bookmarkEnd w:id="1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0" w:right="260" w:hanging="4134"/>
        <w:spacing w:after="0" w:line="430"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Definitions</w:t>
      </w:r>
      <w:r>
        <w:rPr>
          <w:rFonts w:ascii="Arial" w:cs="Arial" w:eastAsia="Arial" w:hAnsi="Arial"/>
          <w:sz w:val="18"/>
          <w:szCs w:val="18"/>
          <w:color w:val="auto"/>
        </w:rPr>
        <w:t>. Terms not otherwise defined herein are used herein with the respective meanings given them in the Credit Agreement. [Signatures on Following Page]</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740"/>
          </w:cols>
          <w:pgMar w:left="240" w:top="280" w:right="919" w:bottom="1440" w:gutter="0" w:footer="0" w:header="0"/>
        </w:sectPr>
      </w:pPr>
    </w:p>
    <w:bookmarkStart w:id="146" w:name="page147"/>
    <w:bookmarkEnd w:id="14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Designation Agreement as of the date and year first written above.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-13970</wp:posOffset>
            </wp:positionV>
            <wp:extent cx="8921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DESIGNATED LENDER: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DESIGNATED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25126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25126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219"/>
          </w:cols>
          <w:pgMar w:left="240" w:top="280" w:right="1440" w:bottom="1440" w:gutter="0" w:footer="0" w:header="0"/>
        </w:sectPr>
      </w:pPr>
    </w:p>
    <w:bookmarkStart w:id="147" w:name="page148"/>
    <w:bookmarkEnd w:id="147"/>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Pursuant to Section 2.1.(b) of the Credit Agreement, the Borrower hereby requests that the Lenders make Revolving Loans to the Borrower in an</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w w:val="87"/>
              </w:rPr>
              <w:t>aggregate principal amount equal to $</w:t>
            </w:r>
          </w:p>
        </w:tc>
        <w:tc>
          <w:tcPr>
            <w:tcW w:w="3600" w:type="dxa"/>
            <w:vAlign w:val="bottom"/>
            <w:gridSpan w:val="2"/>
          </w:tcPr>
          <w:p>
            <w:pPr>
              <w:jc w:val="right"/>
              <w:ind w:right="26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w w:val="88"/>
              </w:rPr>
              <w:t>The Borrower requests that such Revolving Loans be made available to the Borrower on</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Borrower hereby requests that the requested Revolving Loans all be of the following Type:</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1920" w:hanging="440"/>
        <w:spacing w:after="0"/>
        <w:tabs>
          <w:tab w:leader="none" w:pos="1920" w:val="left"/>
        </w:tabs>
        <w:numPr>
          <w:ilvl w:val="1"/>
          <w:numId w:val="123"/>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920" w:hanging="440"/>
        <w:spacing w:after="0"/>
        <w:tabs>
          <w:tab w:leader="none" w:pos="1920" w:val="left"/>
        </w:tabs>
        <w:numPr>
          <w:ilvl w:val="1"/>
          <w:numId w:val="123"/>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500"/>
        <w:spacing w:after="0" w:line="207" w:lineRule="exact"/>
        <w:tabs>
          <w:tab w:leader="none" w:pos="386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49" w:lineRule="exact"/>
        <w:rPr>
          <w:sz w:val="20"/>
          <w:szCs w:val="20"/>
          <w:color w:val="auto"/>
        </w:rPr>
      </w:pPr>
    </w:p>
    <w:p>
      <w:pPr>
        <w:ind w:left="4200" w:hanging="329"/>
        <w:spacing w:after="0"/>
        <w:tabs>
          <w:tab w:leader="none" w:pos="420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80" w:right="239" w:bottom="1440" w:gutter="0" w:footer="0" w:header="0"/>
        </w:sectPr>
      </w:pPr>
    </w:p>
    <w:bookmarkStart w:id="148" w:name="page149"/>
    <w:bookmarkEnd w:id="148"/>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proceeds of this borrowing of Revolving Loans will be used for the following purpose:</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requests that the proceeds of this borrowing of Revolving Loans be made available to the Borrower by</w:t>
      </w:r>
    </w:p>
    <w:p>
      <w:pPr>
        <w:spacing w:after="0" w:line="1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-481330</wp:posOffset>
            </wp:positionV>
            <wp:extent cx="12541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54125" cy="889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-154940</wp:posOffset>
            </wp:positionV>
            <wp:extent cx="11150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-17780</wp:posOffset>
            </wp:positionV>
            <wp:extent cx="3346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64"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Borrower hereby certifies to the Agent and the Lenders that as of the date hereof and as of the date of the making of the requested Revolving Loans and after giving effect thereto, (a) no Default or Event of Default exists or shall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borrowing of Revolving Loans was previously given by telephone, this notice is to be considered the written confirmation of such telephone notice required by Section 2.1.(b)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Borrowing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80" w:right="259" w:bottom="1440" w:gutter="0" w:footer="0" w:header="0"/>
        </w:sectPr>
      </w:pPr>
    </w:p>
    <w:bookmarkStart w:id="149" w:name="page150"/>
    <w:bookmarkEnd w:id="149"/>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Section 2.9. of the Credit Agreement, the Borrower hereby requests a Continuation of a borrowing of Loans under the Credit Agreement, and in that connection sets forth below the information relating to such Continuation as required by such Section of the Credit Agreement:</w:t>
      </w:r>
    </w:p>
    <w:tbl>
      <w:tblPr>
        <w:tblLayout w:type="fixed"/>
        <w:tblInd w:w="460" w:type="dxa"/>
        <w:tblCellMar>
          <w:top w:w="0" w:type="dxa"/>
          <w:left w:w="0" w:type="dxa"/>
          <w:bottom w:w="0" w:type="dxa"/>
          <w:right w:w="0" w:type="dxa"/>
        </w:tblCellMar>
      </w:tblPr>
      <w:tr>
        <w:trPr>
          <w:trHeight w:val="188"/>
        </w:trPr>
        <w:tc>
          <w:tcPr>
            <w:tcW w:w="440" w:type="dxa"/>
            <w:vAlign w:val="bottom"/>
          </w:tcPr>
          <w:p>
            <w:pPr>
              <w:jc w:val="right"/>
              <w:ind w:right="238"/>
              <w:spacing w:after="0"/>
              <w:rPr>
                <w:sz w:val="20"/>
                <w:szCs w:val="20"/>
                <w:color w:val="auto"/>
              </w:rPr>
            </w:pPr>
            <w:r>
              <w:rPr>
                <w:rFonts w:ascii="Arial" w:cs="Arial" w:eastAsia="Arial" w:hAnsi="Arial"/>
                <w:sz w:val="16"/>
                <w:szCs w:val="16"/>
                <w:color w:val="auto"/>
                <w:w w:val="74"/>
              </w:rPr>
              <w:t>1.</w:t>
            </w:r>
          </w:p>
        </w:tc>
        <w:tc>
          <w:tcPr>
            <w:tcW w:w="3020" w:type="dxa"/>
            <w:vAlign w:val="bottom"/>
            <w:gridSpan w:val="4"/>
          </w:tcPr>
          <w:p>
            <w:pPr>
              <w:spacing w:after="0" w:line="189" w:lineRule="exact"/>
              <w:rPr>
                <w:sz w:val="20"/>
                <w:szCs w:val="20"/>
                <w:color w:val="auto"/>
              </w:rPr>
            </w:pPr>
            <w:r>
              <w:rPr>
                <w:rFonts w:ascii="Arial" w:cs="Arial" w:eastAsia="Arial" w:hAnsi="Arial"/>
                <w:sz w:val="18"/>
                <w:szCs w:val="18"/>
                <w:color w:val="auto"/>
                <w:w w:val="88"/>
              </w:rPr>
              <w:t>The proposed date of such Continuation is</w:t>
            </w:r>
          </w:p>
        </w:tc>
        <w:tc>
          <w:tcPr>
            <w:tcW w:w="1940" w:type="dxa"/>
            <w:vAlign w:val="bottom"/>
            <w:gridSpan w:val="4"/>
          </w:tcPr>
          <w:p>
            <w:pPr>
              <w:jc w:val="right"/>
              <w:ind w:right="580"/>
              <w:spacing w:after="0" w:line="189" w:lineRule="exact"/>
              <w:rPr>
                <w:sz w:val="20"/>
                <w:szCs w:val="20"/>
                <w:color w:val="auto"/>
              </w:rPr>
            </w:pPr>
            <w:r>
              <w:rPr>
                <w:rFonts w:ascii="Arial" w:cs="Arial" w:eastAsia="Arial" w:hAnsi="Arial"/>
                <w:sz w:val="18"/>
                <w:szCs w:val="18"/>
                <w:color w:val="auto"/>
              </w:rPr>
              <w:t>, 20  .</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77"/>
        </w:trPr>
        <w:tc>
          <w:tcPr>
            <w:tcW w:w="440" w:type="dxa"/>
            <w:vAlign w:val="bottom"/>
          </w:tcPr>
          <w:p>
            <w:pPr>
              <w:jc w:val="right"/>
              <w:ind w:right="238"/>
              <w:spacing w:after="0"/>
              <w:rPr>
                <w:sz w:val="20"/>
                <w:szCs w:val="20"/>
                <w:color w:val="auto"/>
              </w:rPr>
            </w:pPr>
            <w:r>
              <w:rPr>
                <w:rFonts w:ascii="Arial" w:cs="Arial" w:eastAsia="Arial" w:hAnsi="Arial"/>
                <w:sz w:val="16"/>
                <w:szCs w:val="16"/>
                <w:color w:val="auto"/>
                <w:w w:val="74"/>
              </w:rPr>
              <w:t>2.</w:t>
            </w:r>
          </w:p>
        </w:tc>
        <w:tc>
          <w:tcPr>
            <w:tcW w:w="6380" w:type="dxa"/>
            <w:vAlign w:val="bottom"/>
            <w:gridSpan w:val="11"/>
          </w:tcPr>
          <w:p>
            <w:pPr>
              <w:spacing w:after="0"/>
              <w:rPr>
                <w:sz w:val="20"/>
                <w:szCs w:val="20"/>
                <w:color w:val="auto"/>
              </w:rPr>
            </w:pPr>
            <w:r>
              <w:rPr>
                <w:rFonts w:ascii="Arial" w:cs="Arial" w:eastAsia="Arial" w:hAnsi="Arial"/>
                <w:sz w:val="18"/>
                <w:szCs w:val="18"/>
                <w:color w:val="auto"/>
                <w:w w:val="95"/>
              </w:rPr>
              <w:t>The aggregate principal amount of Loans subject to the requested Continuation is $</w:t>
            </w:r>
          </w:p>
        </w:tc>
        <w:tc>
          <w:tcPr>
            <w:tcW w:w="3460" w:type="dxa"/>
            <w:vAlign w:val="bottom"/>
            <w:gridSpan w:val="4"/>
          </w:tcPr>
          <w:p>
            <w:pPr>
              <w:jc w:val="right"/>
              <w:spacing w:after="0"/>
              <w:rPr>
                <w:sz w:val="20"/>
                <w:szCs w:val="20"/>
                <w:color w:val="auto"/>
              </w:rPr>
            </w:pPr>
            <w:r>
              <w:rPr>
                <w:rFonts w:ascii="Arial" w:cs="Arial" w:eastAsia="Arial" w:hAnsi="Arial"/>
                <w:sz w:val="18"/>
                <w:szCs w:val="18"/>
                <w:color w:val="auto"/>
                <w:w w:val="90"/>
              </w:rPr>
              <w:t>and was originally borrowed by the Borrower on</w:t>
            </w:r>
          </w:p>
        </w:tc>
      </w:tr>
      <w:tr>
        <w:trPr>
          <w:trHeight w:val="196"/>
        </w:trPr>
        <w:tc>
          <w:tcPr>
            <w:tcW w:w="440" w:type="dxa"/>
            <w:vAlign w:val="bottom"/>
          </w:tcPr>
          <w:p>
            <w:pPr>
              <w:spacing w:after="0"/>
              <w:rPr>
                <w:sz w:val="17"/>
                <w:szCs w:val="17"/>
                <w:color w:val="auto"/>
              </w:rPr>
            </w:pPr>
          </w:p>
        </w:tc>
        <w:tc>
          <w:tcPr>
            <w:tcW w:w="3020" w:type="dxa"/>
            <w:vAlign w:val="bottom"/>
            <w:gridSpan w:val="4"/>
          </w:tcPr>
          <w:p>
            <w:pPr>
              <w:ind w:left="880"/>
              <w:spacing w:after="0" w:line="196" w:lineRule="exact"/>
              <w:rPr>
                <w:sz w:val="20"/>
                <w:szCs w:val="20"/>
                <w:color w:val="auto"/>
              </w:rPr>
            </w:pPr>
            <w:r>
              <w:rPr>
                <w:rFonts w:ascii="Arial" w:cs="Arial" w:eastAsia="Arial" w:hAnsi="Arial"/>
                <w:sz w:val="18"/>
                <w:szCs w:val="18"/>
                <w:color w:val="auto"/>
              </w:rPr>
              <w:t>, 20  .</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77"/>
        </w:trPr>
        <w:tc>
          <w:tcPr>
            <w:tcW w:w="440" w:type="dxa"/>
            <w:vAlign w:val="bottom"/>
          </w:tcPr>
          <w:p>
            <w:pPr>
              <w:jc w:val="right"/>
              <w:ind w:right="238"/>
              <w:spacing w:after="0"/>
              <w:rPr>
                <w:sz w:val="20"/>
                <w:szCs w:val="20"/>
                <w:color w:val="auto"/>
              </w:rPr>
            </w:pPr>
            <w:r>
              <w:rPr>
                <w:rFonts w:ascii="Arial" w:cs="Arial" w:eastAsia="Arial" w:hAnsi="Arial"/>
                <w:sz w:val="16"/>
                <w:szCs w:val="16"/>
                <w:color w:val="auto"/>
                <w:w w:val="74"/>
              </w:rPr>
              <w:t>3.</w:t>
            </w:r>
          </w:p>
        </w:tc>
        <w:tc>
          <w:tcPr>
            <w:tcW w:w="4960" w:type="dxa"/>
            <w:vAlign w:val="bottom"/>
            <w:gridSpan w:val="8"/>
          </w:tcPr>
          <w:p>
            <w:pPr>
              <w:spacing w:after="0"/>
              <w:rPr>
                <w:sz w:val="20"/>
                <w:szCs w:val="20"/>
                <w:color w:val="auto"/>
              </w:rPr>
            </w:pPr>
            <w:r>
              <w:rPr>
                <w:rFonts w:ascii="Arial" w:cs="Arial" w:eastAsia="Arial" w:hAnsi="Arial"/>
                <w:sz w:val="18"/>
                <w:szCs w:val="18"/>
                <w:color w:val="auto"/>
                <w:w w:val="88"/>
              </w:rPr>
              <w:t>The portion of such principal amount subject to such Continuation is $</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77"/>
        </w:trPr>
        <w:tc>
          <w:tcPr>
            <w:tcW w:w="440" w:type="dxa"/>
            <w:vAlign w:val="bottom"/>
          </w:tcPr>
          <w:p>
            <w:pPr>
              <w:jc w:val="right"/>
              <w:ind w:right="238"/>
              <w:spacing w:after="0"/>
              <w:rPr>
                <w:sz w:val="20"/>
                <w:szCs w:val="20"/>
                <w:color w:val="auto"/>
              </w:rPr>
            </w:pPr>
            <w:r>
              <w:rPr>
                <w:rFonts w:ascii="Arial" w:cs="Arial" w:eastAsia="Arial" w:hAnsi="Arial"/>
                <w:sz w:val="16"/>
                <w:szCs w:val="16"/>
                <w:color w:val="auto"/>
                <w:w w:val="74"/>
              </w:rPr>
              <w:t>4.</w:t>
            </w:r>
          </w:p>
        </w:tc>
        <w:tc>
          <w:tcPr>
            <w:tcW w:w="6100" w:type="dxa"/>
            <w:vAlign w:val="bottom"/>
            <w:gridSpan w:val="10"/>
          </w:tcPr>
          <w:p>
            <w:pPr>
              <w:spacing w:after="0"/>
              <w:rPr>
                <w:sz w:val="20"/>
                <w:szCs w:val="20"/>
                <w:color w:val="auto"/>
              </w:rPr>
            </w:pPr>
            <w:r>
              <w:rPr>
                <w:rFonts w:ascii="Arial" w:cs="Arial" w:eastAsia="Arial" w:hAnsi="Arial"/>
                <w:sz w:val="18"/>
                <w:szCs w:val="18"/>
                <w:color w:val="auto"/>
                <w:w w:val="88"/>
              </w:rPr>
              <w:t>The current Interest Period for each of the Loans subject to such Continuation ends on</w:t>
            </w:r>
          </w:p>
        </w:tc>
        <w:tc>
          <w:tcPr>
            <w:tcW w:w="280" w:type="dxa"/>
            <w:vAlign w:val="bottom"/>
          </w:tcPr>
          <w:p>
            <w:pPr>
              <w:spacing w:after="0"/>
              <w:rPr>
                <w:sz w:val="24"/>
                <w:szCs w:val="24"/>
                <w:color w:val="auto"/>
              </w:rPr>
            </w:pPr>
          </w:p>
        </w:tc>
        <w:tc>
          <w:tcPr>
            <w:tcW w:w="3460" w:type="dxa"/>
            <w:vAlign w:val="bottom"/>
            <w:gridSpan w:val="4"/>
          </w:tcPr>
          <w:p>
            <w:pPr>
              <w:jc w:val="right"/>
              <w:ind w:right="2380"/>
              <w:spacing w:after="0"/>
              <w:rPr>
                <w:sz w:val="20"/>
                <w:szCs w:val="20"/>
                <w:color w:val="auto"/>
              </w:rPr>
            </w:pPr>
            <w:r>
              <w:rPr>
                <w:rFonts w:ascii="Arial" w:cs="Arial" w:eastAsia="Arial" w:hAnsi="Arial"/>
                <w:sz w:val="18"/>
                <w:szCs w:val="18"/>
                <w:color w:val="auto"/>
              </w:rPr>
              <w:t>, 20  .</w:t>
            </w: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duration of the new Interest Period for each of such Loans or portion thereof subject to such Continuation is:</w:t>
      </w:r>
    </w:p>
    <w:p>
      <w:pPr>
        <w:spacing w:after="0" w:line="179" w:lineRule="exact"/>
        <w:rPr>
          <w:sz w:val="20"/>
          <w:szCs w:val="20"/>
          <w:color w:val="auto"/>
        </w:rPr>
      </w:pPr>
    </w:p>
    <w:p>
      <w:pPr>
        <w:ind w:left="1500"/>
        <w:spacing w:after="0" w:line="207" w:lineRule="exact"/>
        <w:tabs>
          <w:tab w:leader="none" w:pos="386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49" w:lineRule="exact"/>
        <w:rPr>
          <w:sz w:val="20"/>
          <w:szCs w:val="20"/>
          <w:color w:val="auto"/>
        </w:rPr>
      </w:pPr>
    </w:p>
    <w:p>
      <w:pPr>
        <w:ind w:left="4200" w:hanging="329"/>
        <w:spacing w:after="0"/>
        <w:tabs>
          <w:tab w:leader="none" w:pos="420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80" w:right="239" w:bottom="1440" w:gutter="0" w:footer="0" w:header="0"/>
        </w:sectPr>
      </w:pPr>
    </w:p>
    <w:bookmarkStart w:id="150" w:name="page151"/>
    <w:bookmarkEnd w:id="150"/>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hereby certifies to the Agent and the Lenders that as of the date hereof, as of the proposed date of the requested Continuation, and after giving effect to such Continuation, no Event of Default exists or will exist.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is to be considered the written confirmation of such telephone notice required by Section 2.9.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Continuation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40"/>
          </w:cols>
          <w:pgMar w:left="240" w:top="280" w:right="319" w:bottom="1440" w:gutter="0" w:footer="0" w:header="0"/>
        </w:sectPr>
      </w:pPr>
    </w:p>
    <w:bookmarkStart w:id="151" w:name="page152"/>
    <w:bookmarkEnd w:id="151"/>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Section 2.10. of the Credit Agreement, the Borrower hereby requests a Conversion of a borrowing of Loans of one Type into Loans of another Type under the Credit Agreement, and in that connection sets forth below the information relating to such Conversion as required by such Section of the Credit Agreement:</w:t>
      </w:r>
    </w:p>
    <w:p>
      <w:pPr>
        <w:spacing w:after="0" w:line="59" w:lineRule="exact"/>
        <w:rPr>
          <w:sz w:val="20"/>
          <w:szCs w:val="20"/>
          <w:color w:val="auto"/>
        </w:rPr>
      </w:pPr>
    </w:p>
    <w:p>
      <w:pPr>
        <w:ind w:left="460"/>
        <w:spacing w:after="0"/>
        <w:tabs>
          <w:tab w:leader="none" w:pos="880" w:val="left"/>
          <w:tab w:leader="none" w:pos="4660" w:val="left"/>
          <w:tab w:leader="none" w:pos="5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proposed date of such Conversion is</w:t>
      </w:r>
      <w:r>
        <w:rPr>
          <w:sz w:val="20"/>
          <w:szCs w:val="20"/>
          <w:color w:val="auto"/>
        </w:rPr>
        <w:tab/>
      </w:r>
      <w:r>
        <w:rPr>
          <w:rFonts w:ascii="Arial" w:cs="Arial" w:eastAsia="Arial" w:hAnsi="Arial"/>
          <w:sz w:val="18"/>
          <w:szCs w:val="18"/>
          <w:color w:val="auto"/>
        </w:rPr>
        <w:t>,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-13970</wp:posOffset>
            </wp:positionV>
            <wp:extent cx="8362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64"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Loans to be Converted pursuant hereto are </w:t>
      </w:r>
      <w:r>
        <w:rPr>
          <w:rFonts w:ascii="Arial" w:cs="Arial" w:eastAsia="Arial" w:hAnsi="Arial"/>
          <w:sz w:val="18"/>
          <w:szCs w:val="18"/>
          <w:b w:val="1"/>
          <w:bCs w:val="1"/>
          <w:color w:val="auto"/>
        </w:rPr>
        <w:t>currently</w:t>
      </w:r>
      <w:r>
        <w:rPr>
          <w:rFonts w:ascii="Arial" w:cs="Arial" w:eastAsia="Arial" w:hAnsi="Arial"/>
          <w:sz w:val="18"/>
          <w:szCs w:val="18"/>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9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one box only]</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Base Rate Loans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75"/>
        </w:trPr>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LIBOR Loans</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r>
      <w:tr>
        <w:trPr>
          <w:trHeight w:val="239"/>
        </w:trPr>
        <w:tc>
          <w:tcPr>
            <w:tcW w:w="440" w:type="dxa"/>
            <w:vAlign w:val="bottom"/>
          </w:tcPr>
          <w:p>
            <w:pPr>
              <w:jc w:val="right"/>
              <w:ind w:right="238"/>
              <w:spacing w:after="0"/>
              <w:rPr>
                <w:sz w:val="20"/>
                <w:szCs w:val="20"/>
                <w:color w:val="auto"/>
              </w:rPr>
            </w:pPr>
            <w:r>
              <w:rPr>
                <w:rFonts w:ascii="Arial" w:cs="Arial" w:eastAsia="Arial" w:hAnsi="Arial"/>
                <w:sz w:val="16"/>
                <w:szCs w:val="16"/>
                <w:color w:val="auto"/>
                <w:w w:val="74"/>
              </w:rPr>
              <w:t>3.</w:t>
            </w:r>
          </w:p>
        </w:tc>
        <w:tc>
          <w:tcPr>
            <w:tcW w:w="6260" w:type="dxa"/>
            <w:vAlign w:val="bottom"/>
            <w:gridSpan w:val="10"/>
          </w:tcPr>
          <w:p>
            <w:pPr>
              <w:spacing w:after="0"/>
              <w:rPr>
                <w:sz w:val="20"/>
                <w:szCs w:val="20"/>
                <w:color w:val="auto"/>
              </w:rPr>
            </w:pPr>
            <w:r>
              <w:rPr>
                <w:rFonts w:ascii="Arial" w:cs="Arial" w:eastAsia="Arial" w:hAnsi="Arial"/>
                <w:sz w:val="18"/>
                <w:szCs w:val="18"/>
                <w:color w:val="auto"/>
                <w:w w:val="95"/>
              </w:rPr>
              <w:t>The aggregate principal amount of Loans subject to the requested Conversion is $</w:t>
            </w:r>
          </w:p>
        </w:tc>
        <w:tc>
          <w:tcPr>
            <w:tcW w:w="3480" w:type="dxa"/>
            <w:vAlign w:val="bottom"/>
          </w:tcPr>
          <w:p>
            <w:pPr>
              <w:ind w:left="60"/>
              <w:spacing w:after="0"/>
              <w:rPr>
                <w:sz w:val="20"/>
                <w:szCs w:val="20"/>
                <w:color w:val="auto"/>
              </w:rPr>
            </w:pPr>
            <w:r>
              <w:rPr>
                <w:rFonts w:ascii="Arial" w:cs="Arial" w:eastAsia="Arial" w:hAnsi="Arial"/>
                <w:sz w:val="18"/>
                <w:szCs w:val="18"/>
                <w:color w:val="auto"/>
                <w:w w:val="89"/>
              </w:rPr>
              <w:t>and was originally borrowed by the Borrower on</w:t>
            </w:r>
          </w:p>
        </w:tc>
      </w:tr>
      <w:tr>
        <w:trPr>
          <w:trHeight w:val="196"/>
        </w:trPr>
        <w:tc>
          <w:tcPr>
            <w:tcW w:w="440" w:type="dxa"/>
            <w:vAlign w:val="bottom"/>
          </w:tcPr>
          <w:p>
            <w:pPr>
              <w:spacing w:after="0"/>
              <w:rPr>
                <w:sz w:val="17"/>
                <w:szCs w:val="17"/>
                <w:color w:val="auto"/>
              </w:rPr>
            </w:pPr>
          </w:p>
        </w:tc>
        <w:tc>
          <w:tcPr>
            <w:tcW w:w="1960" w:type="dxa"/>
            <w:vAlign w:val="bottom"/>
            <w:gridSpan w:val="4"/>
          </w:tcPr>
          <w:p>
            <w:pPr>
              <w:jc w:val="right"/>
              <w:ind w:right="600"/>
              <w:spacing w:after="0" w:line="196" w:lineRule="exact"/>
              <w:rPr>
                <w:sz w:val="20"/>
                <w:szCs w:val="20"/>
                <w:color w:val="auto"/>
              </w:rPr>
            </w:pPr>
            <w:r>
              <w:rPr>
                <w:rFonts w:ascii="Arial" w:cs="Arial" w:eastAsia="Arial" w:hAnsi="Arial"/>
                <w:sz w:val="18"/>
                <w:szCs w:val="18"/>
                <w:color w:val="auto"/>
              </w:rPr>
              <w:t>, 20  .</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77"/>
        </w:trPr>
        <w:tc>
          <w:tcPr>
            <w:tcW w:w="440" w:type="dxa"/>
            <w:vAlign w:val="bottom"/>
          </w:tcPr>
          <w:p>
            <w:pPr>
              <w:jc w:val="right"/>
              <w:ind w:right="238"/>
              <w:spacing w:after="0"/>
              <w:rPr>
                <w:sz w:val="20"/>
                <w:szCs w:val="20"/>
                <w:color w:val="auto"/>
              </w:rPr>
            </w:pPr>
            <w:r>
              <w:rPr>
                <w:rFonts w:ascii="Arial" w:cs="Arial" w:eastAsia="Arial" w:hAnsi="Arial"/>
                <w:sz w:val="16"/>
                <w:szCs w:val="16"/>
                <w:color w:val="auto"/>
                <w:w w:val="74"/>
              </w:rPr>
              <w:t>4.</w:t>
            </w:r>
          </w:p>
        </w:tc>
        <w:tc>
          <w:tcPr>
            <w:tcW w:w="4860" w:type="dxa"/>
            <w:vAlign w:val="bottom"/>
            <w:gridSpan w:val="6"/>
          </w:tcPr>
          <w:p>
            <w:pPr>
              <w:spacing w:after="0"/>
              <w:rPr>
                <w:sz w:val="20"/>
                <w:szCs w:val="20"/>
                <w:color w:val="auto"/>
              </w:rPr>
            </w:pPr>
            <w:r>
              <w:rPr>
                <w:rFonts w:ascii="Arial" w:cs="Arial" w:eastAsia="Arial" w:hAnsi="Arial"/>
                <w:sz w:val="18"/>
                <w:szCs w:val="18"/>
                <w:color w:val="auto"/>
                <w:w w:val="88"/>
              </w:rPr>
              <w:t>The portion of such principal amount subject to such Conversion is $</w:t>
            </w:r>
          </w:p>
        </w:tc>
        <w:tc>
          <w:tcPr>
            <w:tcW w:w="30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83"/>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gridSpan w:val="2"/>
          </w:tcPr>
          <w:p>
            <w:pPr>
              <w:ind w:left="2080"/>
              <w:spacing w:after="0"/>
              <w:rPr>
                <w:sz w:val="20"/>
                <w:szCs w:val="20"/>
                <w:color w:val="auto"/>
              </w:rPr>
            </w:pPr>
            <w:r>
              <w:rPr>
                <w:rFonts w:ascii="Arial" w:cs="Arial" w:eastAsia="Arial" w:hAnsi="Arial"/>
                <w:sz w:val="18"/>
                <w:szCs w:val="18"/>
                <w:color w:val="auto"/>
              </w:rPr>
              <w:t>E-1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152" w:name="page153"/>
    <w:bookmarkEnd w:id="152"/>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such Loans to be so Converted is to be converted into Loans of the following Type:</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1920" w:hanging="440"/>
        <w:spacing w:after="0"/>
        <w:tabs>
          <w:tab w:leader="none" w:pos="1920" w:val="left"/>
        </w:tabs>
        <w:numPr>
          <w:ilvl w:val="1"/>
          <w:numId w:val="129"/>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90" w:lineRule="exact"/>
        <w:rPr>
          <w:rFonts w:ascii="MS PGothic" w:cs="MS PGothic" w:eastAsia="MS PGothic" w:hAnsi="MS PGothic"/>
          <w:sz w:val="18"/>
          <w:szCs w:val="18"/>
          <w:color w:val="auto"/>
        </w:rPr>
      </w:pPr>
    </w:p>
    <w:p>
      <w:pPr>
        <w:ind w:left="1920" w:hanging="440"/>
        <w:spacing w:after="0"/>
        <w:tabs>
          <w:tab w:leader="none" w:pos="1920" w:val="left"/>
        </w:tabs>
        <w:numPr>
          <w:ilvl w:val="1"/>
          <w:numId w:val="129"/>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79" w:lineRule="exact"/>
        <w:rPr>
          <w:sz w:val="20"/>
          <w:szCs w:val="20"/>
          <w:color w:val="auto"/>
        </w:rPr>
      </w:pPr>
    </w:p>
    <w:p>
      <w:pPr>
        <w:ind w:left="1500"/>
        <w:spacing w:after="0" w:line="207" w:lineRule="exact"/>
        <w:tabs>
          <w:tab w:leader="none" w:pos="386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49" w:lineRule="exact"/>
        <w:rPr>
          <w:sz w:val="20"/>
          <w:szCs w:val="20"/>
          <w:color w:val="auto"/>
        </w:rPr>
      </w:pPr>
    </w:p>
    <w:p>
      <w:pPr>
        <w:ind w:left="4200" w:hanging="329"/>
        <w:spacing w:after="0"/>
        <w:tabs>
          <w:tab w:leader="none" w:pos="4200" w:val="left"/>
        </w:tabs>
        <w:numPr>
          <w:ilvl w:val="0"/>
          <w:numId w:val="130"/>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30"/>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30"/>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30"/>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4200" w:hanging="329"/>
        <w:spacing w:after="0"/>
        <w:tabs>
          <w:tab w:leader="none" w:pos="4200" w:val="left"/>
        </w:tabs>
        <w:numPr>
          <w:ilvl w:val="0"/>
          <w:numId w:val="130"/>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7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Other than a conversion to Base Rate Loans, the Borrower hereby certifies to the Agent and the Lenders that as of the date hereof and as of the date of the requested Conversion and after giving effect thereto, (a) no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notice of the requested Conversion was given previously by telephone, this notice is to be considered the written confirmation of such telephone notice required by Section 2.10.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Conversion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340"/>
          </w:cols>
          <w:pgMar w:left="240" w:top="280" w:right="319" w:bottom="1440" w:gutter="0" w:footer="0" w:header="0"/>
        </w:sectPr>
      </w:pPr>
    </w:p>
    <w:bookmarkStart w:id="153" w:name="page154"/>
    <w:bookmarkEnd w:id="153"/>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FORM OF NOTICE OF SWINGLINE BORROWING</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Pursuant to Section 2.3.(b) of the Credit Agreement, the Borrower hereby requests that the Swingline Lender make a Swingline Loan to the Borrower</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88"/>
              </w:rPr>
              <w:t>in a principal amount equal to $</w:t>
            </w:r>
          </w:p>
        </w:tc>
        <w:tc>
          <w:tcPr>
            <w:tcW w:w="3940" w:type="dxa"/>
            <w:vAlign w:val="bottom"/>
            <w:gridSpan w:val="2"/>
          </w:tcPr>
          <w:p>
            <w:pPr>
              <w:jc w:val="right"/>
              <w:ind w:right="33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w w:val="88"/>
              </w:rPr>
              <w:t>The Borrower requests that such Swingline Loan be made available to the Borrower on</w:t>
            </w:r>
          </w:p>
        </w:tc>
        <w:tc>
          <w:tcPr>
            <w:tcW w:w="8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proceeds of this Swingline Loan will be used for the following purpose:</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-154940</wp:posOffset>
            </wp:positionV>
            <wp:extent cx="18116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64" w:lineRule="exact"/>
        <w:rPr>
          <w:sz w:val="20"/>
          <w:szCs w:val="20"/>
          <w:color w:val="auto"/>
        </w:rPr>
      </w:pPr>
    </w:p>
    <w:p>
      <w:pPr>
        <w:ind w:left="460"/>
        <w:spacing w:after="0"/>
        <w:tabs>
          <w:tab w:leader="none" w:pos="880" w:val="left"/>
          <w:tab w:leader="none" w:pos="9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The Borrower requests that the proceeds of such Swingline Loan be made available to the Borrower by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5199380</wp:posOffset>
            </wp:positionH>
            <wp:positionV relativeFrom="paragraph">
              <wp:posOffset>-13970</wp:posOffset>
            </wp:positionV>
            <wp:extent cx="6686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Borrower hereby certifies to the Agent, the Swingline Lender and the Lenders that as of the date hereof, as of the date of the making of the requested Swingline Loan, and after making such Swingline Loan, (a) no Default or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80" w:right="239" w:bottom="1440" w:gutter="0" w:footer="0" w:header="0"/>
        </w:sectPr>
      </w:pPr>
    </w:p>
    <w:bookmarkStart w:id="154" w:name="page155"/>
    <w:bookmarkEnd w:id="15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notice of the requested borrowing of this Swingline Loan was previously given by telephone, this notice is to be considered the written confirmation of such telephone notice required by Section 2.3.(b) of the Credit Agreement.</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WITNESS WHEREOF, the undersigned has duly executed and delivered this Notice of Swingline Borrowing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280" w:right="4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SWINGLINE NOTE</w:t>
      </w:r>
    </w:p>
    <w:p>
      <w:pPr>
        <w:spacing w:after="0" w:line="212"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$25,000,000</w:t>
      </w:r>
      <w:r>
        <w:rPr>
          <w:sz w:val="20"/>
          <w:szCs w:val="20"/>
          <w:color w:val="auto"/>
        </w:rPr>
        <w:tab/>
      </w:r>
      <w:r>
        <w:rPr>
          <w:rFonts w:ascii="Arial" w:cs="Arial" w:eastAsia="Arial" w:hAnsi="Arial"/>
          <w:sz w:val="16"/>
          <w:szCs w:val="16"/>
          <w:color w:val="auto"/>
        </w:rPr>
        <w:t>July 28, 2006</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VALUE RECEIVED, the undersigned, FEDERAL REALTY INVESTMENT TRUST, a real estate investment trust formed under the laws of the State of Maryland (the “Borrower”), hereby promises to pay to the order of WACHOVIA BANK, NATIONAL ASSOCIATION (the “Swingline Lender”) at its address at One Wachovia Center, 301 South College Street, Charlotte, North Carolina 28288, or at such other address as may be specified in writing by the Swingline Lender to the Borrower, the principal sum of TWENTY-FIVE MILLION AND NO/100 DOLLARS ($25,000,000) (or such lesser amount as shall equal the aggregate unpaid principal amount of Swingline Loans made by the Swingline Lender to the Borrower under the Credit Agreement), on the dates and in the principal amounts provided in the Credit Agreement, and to pay interest on the unpaid principal amount owing hereunder, at the rates and on the dates provided in the Credit Agreement.</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date, principal amount of each Swingline Loan, and each payment made on account of the principal thereof, shall be recorded by the Swingline Lender on its books and, prior to any transfer of this Note, endorsed by the Swingline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Swingline Lender to make any such recordation or endorsement shall not affect the obligations of the Borrower to make a payment when due of any amount owing under the Credit Agreement or hereunder in respect of the Swingline Loans.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Note is the Swingline Note referred to in the Credit Agreement dated as of July 28, 2006 (as amended, restated, supplemented or otherwise modified from time to time, the “Credit Agreement”), by and among the Borrower, the financial institutions party thereto and their permitted assignees under Section 12.5. thereof (the “Lenders”), Wachovia Bank, National Association, as Agent, and the other parties thereto, and evidences Swingline Loans made to the Borrower thereunder. Terms used but not otherwise defined in this Note have the respective meanings assigned to them in the Credit Agreement.</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Swingline Loans upon the terms and conditions specified therein.</w:t>
      </w:r>
    </w:p>
    <w:p>
      <w:pPr>
        <w:spacing w:after="0" w:line="132"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8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is of the essence for this Note.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and delivered this Swingline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27940</wp:posOffset>
            </wp:positionV>
            <wp:extent cx="2710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2540</wp:posOffset>
            </wp:positionV>
            <wp:extent cx="23837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2540</wp:posOffset>
            </wp:positionV>
            <wp:extent cx="23837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9759"/>
          </w:cols>
          <w:pgMar w:left="700" w:top="280"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SWINGLINE LOANS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Note evidences Swingline Loans made under the within-described Credit Agreement to the Borrower, on the dates and in the principal amounts set forth below, subject to the payments and prepayments of principal set forth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Unpaid</w:t>
            </w:r>
          </w:p>
        </w:tc>
        <w:tc>
          <w:tcPr>
            <w:tcW w:w="9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7"/>
              </w:rPr>
              <w:t>Notation</w:t>
            </w:r>
          </w:p>
        </w:tc>
      </w:tr>
      <w:tr>
        <w:trPr>
          <w:trHeight w:val="168"/>
        </w:trPr>
        <w:tc>
          <w:tcPr>
            <w:tcW w:w="21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Loan</w:t>
            </w:r>
          </w:p>
        </w:tc>
        <w:tc>
          <w:tcPr>
            <w:tcW w:w="88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Amount of Loan</w:t>
            </w:r>
          </w:p>
        </w:tc>
        <w:tc>
          <w:tcPr>
            <w:tcW w:w="860" w:type="dxa"/>
            <w:vAlign w:val="bottom"/>
          </w:tcPr>
          <w:p>
            <w:pPr>
              <w:spacing w:after="0"/>
              <w:rPr>
                <w:sz w:val="14"/>
                <w:szCs w:val="14"/>
                <w:color w:val="auto"/>
              </w:rPr>
            </w:pPr>
          </w:p>
        </w:tc>
        <w:tc>
          <w:tcPr>
            <w:tcW w:w="2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Amount Paid or Prepaid</w:t>
            </w:r>
          </w:p>
        </w:tc>
        <w:tc>
          <w:tcPr>
            <w:tcW w:w="8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98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Made By</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420"/>
          </w:cols>
          <w:pgMar w:left="240" w:top="280" w:right="239" w:bottom="1440" w:gutter="0" w:footer="0" w:header="0"/>
        </w:sectPr>
      </w:pPr>
    </w:p>
    <w:bookmarkStart w:id="158" w:name="page159"/>
    <w:bookmarkEnd w:id="158"/>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H</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BID RATE QUOTE REQUEST</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Borrower hereby requests Bid Rate Quotes for the following proposed Bid Rate Borrowings: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73"/>
        </w:trPr>
        <w:tc>
          <w:tcPr>
            <w:tcW w:w="10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Borrowing Date</w:t>
            </w:r>
          </w:p>
        </w:tc>
        <w:tc>
          <w:tcPr>
            <w:tcW w:w="1460" w:type="dxa"/>
            <w:vAlign w:val="bottom"/>
          </w:tcPr>
          <w:p>
            <w:pPr>
              <w:spacing w:after="0"/>
              <w:rPr>
                <w:sz w:val="23"/>
                <w:szCs w:val="23"/>
                <w:color w:val="auto"/>
              </w:rPr>
            </w:pPr>
          </w:p>
        </w:tc>
        <w:tc>
          <w:tcPr>
            <w:tcW w:w="276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5"/>
              </w:rPr>
              <w:t>Amount</w:t>
            </w:r>
            <w:r>
              <w:rPr>
                <w:rFonts w:ascii="Arial" w:cs="Arial" w:eastAsia="Arial" w:hAnsi="Arial"/>
                <w:sz w:val="22"/>
                <w:szCs w:val="22"/>
                <w:b w:val="1"/>
                <w:bCs w:val="1"/>
                <w:color w:val="auto"/>
                <w:w w:val="85"/>
                <w:vertAlign w:val="superscript"/>
              </w:rPr>
              <w:t>1</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3"/>
              </w:rPr>
              <w:t>Type</w:t>
            </w:r>
            <w:r>
              <w:rPr>
                <w:rFonts w:ascii="Arial" w:cs="Arial" w:eastAsia="Arial" w:hAnsi="Arial"/>
                <w:sz w:val="22"/>
                <w:szCs w:val="22"/>
                <w:b w:val="1"/>
                <w:bCs w:val="1"/>
                <w:color w:val="auto"/>
                <w:w w:val="83"/>
                <w:vertAlign w:val="superscript"/>
              </w:rPr>
              <w:t>2</w:t>
            </w:r>
          </w:p>
        </w:tc>
        <w:tc>
          <w:tcPr>
            <w:tcW w:w="1460" w:type="dxa"/>
            <w:vAlign w:val="bottom"/>
          </w:tcPr>
          <w:p>
            <w:pPr>
              <w:spacing w:after="0"/>
              <w:rPr>
                <w:sz w:val="23"/>
                <w:szCs w:val="23"/>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Interest Period</w:t>
            </w:r>
            <w:r>
              <w:rPr>
                <w:rFonts w:ascii="Arial" w:cs="Arial" w:eastAsia="Arial" w:hAnsi="Arial"/>
                <w:sz w:val="22"/>
                <w:szCs w:val="22"/>
                <w:b w:val="1"/>
                <w:bCs w:val="1"/>
                <w:color w:val="auto"/>
                <w:w w:val="94"/>
                <w:vertAlign w:val="superscript"/>
              </w:rPr>
              <w:t>3</w:t>
            </w:r>
          </w:p>
        </w:tc>
      </w:tr>
      <w:tr>
        <w:trPr>
          <w:trHeight w:val="163"/>
        </w:trPr>
        <w:tc>
          <w:tcPr>
            <w:tcW w:w="10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w w:val="79"/>
              </w:rPr>
              <w:t>, 20</w:t>
            </w:r>
          </w:p>
        </w:tc>
        <w:tc>
          <w:tcPr>
            <w:tcW w:w="18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w w:val="91"/>
              </w:rPr>
              <w:t>$  ____________</w:t>
            </w:r>
          </w:p>
        </w:tc>
        <w:tc>
          <w:tcPr>
            <w:tcW w:w="14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w w:val="78"/>
              </w:rPr>
              <w:t>days</w:t>
            </w:r>
          </w:p>
        </w:tc>
        <w:tc>
          <w:tcPr>
            <w:tcW w:w="20" w:type="dxa"/>
            <w:vAlign w:val="bottom"/>
          </w:tcPr>
          <w:p>
            <w:pPr>
              <w:spacing w:after="0"/>
              <w:rPr>
                <w:sz w:val="14"/>
                <w:szCs w:val="14"/>
                <w:color w:val="auto"/>
              </w:rPr>
            </w:pPr>
          </w:p>
        </w:tc>
      </w:tr>
    </w:tbl>
    <w:p>
      <w:pPr>
        <w:spacing w:after="0" w:line="221"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Borrower’s Credit Rating, as applicable, as of the date hereof is:</w:t>
      </w:r>
    </w:p>
    <w:p>
      <w:pPr>
        <w:spacing w:after="0" w:line="90"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S&amp;P</w:t>
      </w:r>
      <w:r>
        <w:rPr>
          <w:sz w:val="20"/>
          <w:szCs w:val="20"/>
          <w:color w:val="auto"/>
        </w:rPr>
        <w:tab/>
      </w:r>
      <w:r>
        <w:rPr>
          <w:rFonts w:ascii="Arial" w:cs="Arial" w:eastAsia="Arial" w:hAnsi="Arial"/>
          <w:sz w:val="18"/>
          <w:szCs w:val="18"/>
          <w:color w:val="auto"/>
        </w:rPr>
        <w:t>_________________</w:t>
      </w:r>
    </w:p>
    <w:p>
      <w:pPr>
        <w:spacing w:after="0" w:line="15"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Moody’s</w:t>
      </w:r>
      <w:r>
        <w:rPr>
          <w:sz w:val="20"/>
          <w:szCs w:val="20"/>
          <w:color w:val="auto"/>
        </w:rPr>
        <w:tab/>
      </w: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2</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amount of $5,000,000 or larger multiple of $1,000,000.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either Absolute Rate (for Absolute Rate Loan) or LIBOR Margin (for LIBOR Margin Loan).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less than 7 days and up to 180 days after the borrowing date and must end on a Business Day.</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H-1</w:t>
      </w:r>
    </w:p>
    <w:p>
      <w:pPr>
        <w:sectPr>
          <w:pgSz w:w="11900" w:h="16838" w:orient="portrait"/>
          <w:cols w:equalWidth="0" w:num="2">
            <w:col w:w="60" w:space="400"/>
            <w:col w:w="10960"/>
          </w:cols>
          <w:pgMar w:left="240" w:top="280" w:right="239" w:bottom="1440" w:gutter="0" w:footer="0" w:header="0"/>
          <w:type w:val="continuous"/>
        </w:sectPr>
      </w:pPr>
    </w:p>
    <w:bookmarkStart w:id="159" w:name="page160"/>
    <w:bookmarkEnd w:id="159"/>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proceeds of this Bid Rate borrowing will be used for the following purpose:</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_________________________________________________________________________________________________</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w:t>
      </w:r>
    </w:p>
    <w:p>
      <w:pPr>
        <w:spacing w:after="0" w:line="84" w:lineRule="exact"/>
        <w:rPr>
          <w:sz w:val="20"/>
          <w:szCs w:val="20"/>
          <w:color w:val="auto"/>
        </w:rPr>
      </w:pPr>
    </w:p>
    <w:p>
      <w:pPr>
        <w:ind w:left="460"/>
        <w:spacing w:after="0"/>
        <w:tabs>
          <w:tab w:leader="none" w:pos="880" w:val="left"/>
          <w:tab w:leader="none" w:pos="103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After giving effect to the Bid Rate Borrowing requested herein, the total amount of Bid Rate Loans outstanding shall be $</w:t>
      </w:r>
      <w:r>
        <w:rPr>
          <w:sz w:val="20"/>
          <w:szCs w:val="20"/>
          <w:color w:val="auto"/>
        </w:rPr>
        <w:tab/>
      </w:r>
      <w:r>
        <w:rPr>
          <w:rFonts w:ascii="Arial" w:cs="Arial" w:eastAsia="Arial" w:hAnsi="Arial"/>
          <w:sz w:val="13"/>
          <w:szCs w:val="13"/>
          <w:color w:val="auto"/>
        </w:rPr>
        <w:t>.</w:t>
      </w:r>
      <w:r>
        <w:rPr>
          <w:rFonts w:ascii="Arial" w:cs="Arial" w:eastAsia="Arial" w:hAnsi="Arial"/>
          <w:sz w:val="16"/>
          <w:szCs w:val="1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5996305</wp:posOffset>
            </wp:positionH>
            <wp:positionV relativeFrom="paragraph">
              <wp:posOffset>0</wp:posOffset>
            </wp:positionV>
            <wp:extent cx="5575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7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Borrower hereby certifies to the Agent and the Lenders that as of the date hereof, as of the date of the making of the requested Bid Rate Loans, and after making such Bid Rate Loans, (a) no Default or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has duly executed and delivered this Bid Rate Quote Request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7101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3" w:lineRule="exact"/>
        <w:rPr>
          <w:sz w:val="20"/>
          <w:szCs w:val="20"/>
          <w:color w:val="auto"/>
        </w:rPr>
      </w:pPr>
    </w:p>
    <w:p>
      <w:pPr>
        <w:jc w:val="center"/>
        <w:ind w:left="5580" w:right="740" w:hanging="5572"/>
        <w:spacing w:after="0" w:line="394" w:lineRule="auto"/>
        <w:tabs>
          <w:tab w:leader="none" w:pos="456" w:val="left"/>
        </w:tabs>
        <w:numPr>
          <w:ilvl w:val="0"/>
          <w:numId w:val="136"/>
        </w:numPr>
        <w:rPr>
          <w:rFonts w:ascii="Arial" w:cs="Arial" w:eastAsia="Arial" w:hAnsi="Arial"/>
          <w:sz w:val="22"/>
          <w:szCs w:val="22"/>
          <w:b w:val="1"/>
          <w:bCs w:val="1"/>
          <w:color w:val="auto"/>
          <w:vertAlign w:val="superscript"/>
        </w:rPr>
      </w:pPr>
      <w:r>
        <w:rPr>
          <w:rFonts w:ascii="Arial" w:cs="Arial" w:eastAsia="Arial" w:hAnsi="Arial"/>
          <w:sz w:val="18"/>
          <w:szCs w:val="18"/>
          <w:b w:val="1"/>
          <w:bCs w:val="1"/>
          <w:color w:val="auto"/>
        </w:rPr>
        <w:t xml:space="preserve">Must not be in excess of one-half of the aggregate amount of all existing Commitments except as otherwise permitted under Section 2.15. </w:t>
      </w:r>
      <w:r>
        <w:rPr>
          <w:rFonts w:ascii="Arial" w:cs="Arial" w:eastAsia="Arial" w:hAnsi="Arial"/>
          <w:sz w:val="18"/>
          <w:szCs w:val="18"/>
          <w:color w:val="auto"/>
        </w:rPr>
        <w:t>H-2</w:t>
      </w:r>
    </w:p>
    <w:p>
      <w:pPr>
        <w:sectPr>
          <w:pgSz w:w="11900" w:h="16838" w:orient="portrait"/>
          <w:cols w:equalWidth="0" w:num="1">
            <w:col w:w="11380"/>
          </w:cols>
          <w:pgMar w:left="240" w:top="280" w:right="279" w:bottom="1440" w:gutter="0" w:footer="0" w:header="0"/>
        </w:sectPr>
      </w:pPr>
    </w:p>
    <w:bookmarkStart w:id="160" w:name="page161"/>
    <w:bookmarkEnd w:id="160"/>
    <w:p>
      <w:pPr>
        <w:ind w:left="5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FORM OF BID RATE QUOTE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ind w:left="460"/>
              <w:spacing w:after="0"/>
              <w:rPr>
                <w:sz w:val="20"/>
                <w:szCs w:val="20"/>
                <w:color w:val="auto"/>
              </w:rPr>
            </w:pPr>
            <w:r>
              <w:rPr>
                <w:rFonts w:ascii="Arial" w:cs="Arial" w:eastAsia="Arial" w:hAnsi="Arial"/>
                <w:sz w:val="18"/>
                <w:szCs w:val="18"/>
                <w:color w:val="auto"/>
                <w:w w:val="87"/>
              </w:rPr>
              <w:t>In response to Borrower’s Bid Rate Quote Request dated</w:t>
            </w:r>
          </w:p>
        </w:tc>
        <w:tc>
          <w:tcPr>
            <w:tcW w:w="880" w:type="dxa"/>
            <w:vAlign w:val="bottom"/>
          </w:tcPr>
          <w:p>
            <w:pPr>
              <w:spacing w:after="0"/>
              <w:rPr>
                <w:sz w:val="17"/>
                <w:szCs w:val="17"/>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w w:val="89"/>
              </w:rPr>
              <w:t>, 20  , the undersigned hereby makes the following Bid Rate Quote(s) on the</w:t>
            </w:r>
          </w:p>
        </w:tc>
      </w:tr>
      <w:tr>
        <w:trPr>
          <w:trHeight w:val="235"/>
        </w:trPr>
        <w:tc>
          <w:tcPr>
            <w:tcW w:w="4460" w:type="dxa"/>
            <w:vAlign w:val="bottom"/>
          </w:tcPr>
          <w:p>
            <w:pPr>
              <w:spacing w:after="0"/>
              <w:rPr>
                <w:sz w:val="20"/>
                <w:szCs w:val="20"/>
                <w:color w:val="auto"/>
              </w:rPr>
            </w:pPr>
            <w:r>
              <w:rPr>
                <w:rFonts w:ascii="Arial" w:cs="Arial" w:eastAsia="Arial" w:hAnsi="Arial"/>
                <w:sz w:val="18"/>
                <w:szCs w:val="18"/>
                <w:color w:val="auto"/>
              </w:rPr>
              <w:t>following terms:</w:t>
            </w: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0" w:type="dxa"/>
            <w:vAlign w:val="bottom"/>
          </w:tcPr>
          <w:p>
            <w:pPr>
              <w:spacing w:after="0"/>
              <w:rPr>
                <w:sz w:val="20"/>
                <w:szCs w:val="20"/>
                <w:color w:val="auto"/>
              </w:rPr>
            </w:pPr>
          </w:p>
        </w:tc>
      </w:tr>
    </w:tbl>
    <w:p>
      <w:pPr>
        <w:spacing w:after="0" w:line="75"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Quoting Lender:__________________________________________</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 to contact at quoting Lender:_____________________________________________________</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undersigned offers to make Bid Rate Loan(s) in the following principal amount(s), for the following Interest Period(s) and at the following Bid Rate(s):</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Absolute</w:t>
            </w:r>
          </w:p>
        </w:tc>
        <w:tc>
          <w:tcPr>
            <w:tcW w:w="0" w:type="dxa"/>
            <w:vAlign w:val="bottom"/>
          </w:tcPr>
          <w:p>
            <w:pPr>
              <w:spacing w:after="0"/>
              <w:rPr>
                <w:sz w:val="1"/>
                <w:szCs w:val="1"/>
                <w:color w:val="auto"/>
              </w:rPr>
            </w:pPr>
          </w:p>
        </w:tc>
      </w:tr>
      <w:tr>
        <w:trPr>
          <w:trHeight w:val="149"/>
        </w:trPr>
        <w:tc>
          <w:tcPr>
            <w:tcW w:w="27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Borrowing Date</w:t>
            </w:r>
          </w:p>
        </w:tc>
        <w:tc>
          <w:tcPr>
            <w:tcW w:w="960" w:type="dxa"/>
            <w:vAlign w:val="bottom"/>
          </w:tcPr>
          <w:p>
            <w:pPr>
              <w:spacing w:after="0"/>
              <w:rPr>
                <w:sz w:val="12"/>
                <w:szCs w:val="12"/>
                <w:color w:val="auto"/>
              </w:rPr>
            </w:pPr>
          </w:p>
        </w:tc>
        <w:tc>
          <w:tcPr>
            <w:tcW w:w="12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22"/>
                <w:szCs w:val="22"/>
                <w:b w:val="1"/>
                <w:bCs w:val="1"/>
                <w:color w:val="auto"/>
                <w:vertAlign w:val="superscript"/>
              </w:rPr>
              <w:t>1</w:t>
            </w:r>
          </w:p>
        </w:tc>
        <w:tc>
          <w:tcPr>
            <w:tcW w:w="940" w:type="dxa"/>
            <w:vAlign w:val="bottom"/>
          </w:tcPr>
          <w:p>
            <w:pPr>
              <w:spacing w:after="0"/>
              <w:rPr>
                <w:sz w:val="12"/>
                <w:szCs w:val="12"/>
                <w:color w:val="auto"/>
              </w:rPr>
            </w:pPr>
          </w:p>
        </w:tc>
        <w:tc>
          <w:tcPr>
            <w:tcW w:w="14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Type</w:t>
            </w:r>
            <w:r>
              <w:rPr>
                <w:rFonts w:ascii="Arial" w:cs="Arial" w:eastAsia="Arial" w:hAnsi="Arial"/>
                <w:sz w:val="22"/>
                <w:szCs w:val="22"/>
                <w:b w:val="1"/>
                <w:bCs w:val="1"/>
                <w:color w:val="auto"/>
                <w:vertAlign w:val="superscript"/>
              </w:rPr>
              <w:t>2</w:t>
            </w:r>
          </w:p>
        </w:tc>
        <w:tc>
          <w:tcPr>
            <w:tcW w:w="186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w w:val="84"/>
              </w:rPr>
              <w:t>Interest Period</w:t>
            </w:r>
            <w:r>
              <w:rPr>
                <w:rFonts w:ascii="Arial" w:cs="Arial" w:eastAsia="Arial" w:hAnsi="Arial"/>
                <w:sz w:val="22"/>
                <w:szCs w:val="22"/>
                <w:b w:val="1"/>
                <w:bCs w:val="1"/>
                <w:color w:val="auto"/>
                <w:w w:val="84"/>
                <w:vertAlign w:val="superscript"/>
              </w:rPr>
              <w:t>3</w:t>
            </w:r>
          </w:p>
        </w:tc>
        <w:tc>
          <w:tcPr>
            <w:tcW w:w="1700" w:type="dxa"/>
            <w:vAlign w:val="bottom"/>
            <w:gridSpan w:val="2"/>
          </w:tcPr>
          <w:p>
            <w:pPr>
              <w:jc w:val="center"/>
              <w:ind w:left="852"/>
              <w:spacing w:after="0" w:line="149" w:lineRule="exact"/>
              <w:rPr>
                <w:sz w:val="20"/>
                <w:szCs w:val="20"/>
                <w:color w:val="auto"/>
              </w:rPr>
            </w:pPr>
            <w:r>
              <w:rPr>
                <w:rFonts w:ascii="Arial" w:cs="Arial" w:eastAsia="Arial" w:hAnsi="Arial"/>
                <w:sz w:val="14"/>
                <w:szCs w:val="14"/>
                <w:b w:val="1"/>
                <w:bCs w:val="1"/>
                <w:color w:val="auto"/>
                <w:w w:val="95"/>
              </w:rPr>
              <w:t>Rate/LIBOR</w:t>
            </w:r>
          </w:p>
        </w:tc>
        <w:tc>
          <w:tcPr>
            <w:tcW w:w="0" w:type="dxa"/>
            <w:vAlign w:val="bottom"/>
          </w:tcPr>
          <w:p>
            <w:pPr>
              <w:spacing w:after="0"/>
              <w:rPr>
                <w:sz w:val="1"/>
                <w:szCs w:val="1"/>
                <w:color w:val="auto"/>
              </w:rPr>
            </w:pPr>
          </w:p>
        </w:tc>
      </w:tr>
      <w:tr>
        <w:trPr>
          <w:trHeight w:val="148"/>
        </w:trPr>
        <w:tc>
          <w:tcPr>
            <w:tcW w:w="27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Margin</w:t>
            </w:r>
          </w:p>
        </w:tc>
        <w:tc>
          <w:tcPr>
            <w:tcW w:w="0" w:type="dxa"/>
            <w:vAlign w:val="bottom"/>
          </w:tcPr>
          <w:p>
            <w:pPr>
              <w:spacing w:after="0"/>
              <w:rPr>
                <w:sz w:val="1"/>
                <w:szCs w:val="1"/>
                <w:color w:val="auto"/>
              </w:rPr>
            </w:pPr>
          </w:p>
        </w:tc>
      </w:tr>
      <w:tr>
        <w:trPr>
          <w:trHeight w:val="27"/>
        </w:trPr>
        <w:tc>
          <w:tcPr>
            <w:tcW w:w="2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2</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_________,20__</w:t>
            </w:r>
          </w:p>
        </w:tc>
        <w:tc>
          <w:tcPr>
            <w:tcW w:w="2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$_____________</w:t>
            </w:r>
          </w:p>
        </w:tc>
        <w:tc>
          <w:tcPr>
            <w:tcW w:w="2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________________</w:t>
            </w: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______days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______%</w:t>
            </w:r>
          </w:p>
        </w:tc>
      </w:tr>
      <w:tr>
        <w:trPr>
          <w:trHeight w:val="282"/>
        </w:trPr>
        <w:tc>
          <w:tcPr>
            <w:tcW w:w="2820" w:type="dxa"/>
            <w:vAlign w:val="bottom"/>
          </w:tcPr>
          <w:p>
            <w:pPr>
              <w:jc w:val="right"/>
              <w:ind w:right="772"/>
              <w:spacing w:after="0"/>
              <w:rPr>
                <w:sz w:val="20"/>
                <w:szCs w:val="20"/>
                <w:color w:val="auto"/>
              </w:rPr>
            </w:pPr>
            <w:r>
              <w:rPr>
                <w:rFonts w:ascii="Arial" w:cs="Arial" w:eastAsia="Arial" w:hAnsi="Arial"/>
                <w:sz w:val="18"/>
                <w:szCs w:val="18"/>
                <w:color w:val="auto"/>
              </w:rPr>
              <w:t>_________,20__</w:t>
            </w:r>
          </w:p>
        </w:tc>
        <w:tc>
          <w:tcPr>
            <w:tcW w:w="2560" w:type="dxa"/>
            <w:vAlign w:val="bottom"/>
          </w:tcPr>
          <w:p>
            <w:pPr>
              <w:jc w:val="right"/>
              <w:ind w:right="372"/>
              <w:spacing w:after="0"/>
              <w:rPr>
                <w:sz w:val="20"/>
                <w:szCs w:val="20"/>
                <w:color w:val="auto"/>
              </w:rPr>
            </w:pPr>
            <w:r>
              <w:rPr>
                <w:rFonts w:ascii="Arial" w:cs="Arial" w:eastAsia="Arial" w:hAnsi="Arial"/>
                <w:sz w:val="18"/>
                <w:szCs w:val="18"/>
                <w:color w:val="auto"/>
              </w:rPr>
              <w:t>$_____________</w:t>
            </w:r>
          </w:p>
        </w:tc>
        <w:tc>
          <w:tcPr>
            <w:tcW w:w="2360" w:type="dxa"/>
            <w:vAlign w:val="bottom"/>
          </w:tcPr>
          <w:p>
            <w:pPr>
              <w:jc w:val="right"/>
              <w:ind w:right="392"/>
              <w:spacing w:after="0"/>
              <w:rPr>
                <w:sz w:val="20"/>
                <w:szCs w:val="20"/>
                <w:color w:val="auto"/>
              </w:rPr>
            </w:pPr>
            <w:r>
              <w:rPr>
                <w:rFonts w:ascii="Arial" w:cs="Arial" w:eastAsia="Arial" w:hAnsi="Arial"/>
                <w:sz w:val="18"/>
                <w:szCs w:val="18"/>
                <w:color w:val="auto"/>
              </w:rPr>
              <w:t>________________</w:t>
            </w:r>
          </w:p>
        </w:tc>
        <w:tc>
          <w:tcPr>
            <w:tcW w:w="1840" w:type="dxa"/>
            <w:vAlign w:val="bottom"/>
          </w:tcPr>
          <w:p>
            <w:pPr>
              <w:ind w:left="460"/>
              <w:spacing w:after="0"/>
              <w:rPr>
                <w:sz w:val="20"/>
                <w:szCs w:val="20"/>
                <w:color w:val="auto"/>
              </w:rPr>
            </w:pPr>
            <w:r>
              <w:rPr>
                <w:rFonts w:ascii="Arial" w:cs="Arial" w:eastAsia="Arial" w:hAnsi="Arial"/>
                <w:sz w:val="18"/>
                <w:szCs w:val="18"/>
                <w:color w:val="auto"/>
              </w:rPr>
              <w:t>______days</w:t>
            </w:r>
          </w:p>
        </w:tc>
        <w:tc>
          <w:tcPr>
            <w:tcW w:w="12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70"/>
        </w:trPr>
        <w:tc>
          <w:tcPr>
            <w:tcW w:w="28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6"/>
        </w:trPr>
        <w:tc>
          <w:tcPr>
            <w:tcW w:w="282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_________,20__</w:t>
            </w:r>
          </w:p>
        </w:tc>
        <w:tc>
          <w:tcPr>
            <w:tcW w:w="2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$_____________</w:t>
            </w:r>
          </w:p>
        </w:tc>
        <w:tc>
          <w:tcPr>
            <w:tcW w:w="2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________________</w:t>
            </w: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______days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68580</wp:posOffset>
            </wp:positionV>
            <wp:extent cx="6000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Minimum amount of $5,000,000 or larger multiple of $1,000,000.</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Insert either Absolute Rate (for Absolute Rate Loan) or LIBOR Margin (for LIBOR Margin Loan).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 less than 7 days and up to 180 days after the borrowing date and must end on a Business Day.</w:t>
      </w:r>
    </w:p>
    <w:p>
      <w:pPr>
        <w:spacing w:after="0" w:line="16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60" w:space="240"/>
            <w:col w:w="11120"/>
          </w:cols>
          <w:pgMar w:left="240" w:top="280" w:right="239" w:bottom="1440" w:gutter="0" w:footer="0" w:header="0"/>
          <w:type w:val="continuous"/>
        </w:sectPr>
      </w:pPr>
    </w:p>
    <w:bookmarkStart w:id="161" w:name="page162"/>
    <w:bookmarkEnd w:id="161"/>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understands and agrees that the offer(s) set forth above, subject to satisfaction of the applicable conditions set forth in the Credit Agreement, irrevocably obligate[s] the undersigned to make the Bid Rate Loan(s) for which any offer(s) [is/are] accepted,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239395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[Name of Quoting Lender]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7101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680"/>
          </w:cols>
          <w:pgMar w:left="240" w:top="280" w:right="979" w:bottom="1440" w:gutter="0" w:footer="0" w:header="0"/>
        </w:sectPr>
      </w:pPr>
    </w:p>
    <w:bookmarkStart w:id="162" w:name="page163"/>
    <w:bookmarkEnd w:id="162"/>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J</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FORM OF BID RATE QUOTE ACCEPTANCE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9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740" w:type="dxa"/>
            <w:vAlign w:val="bottom"/>
            <w:gridSpan w:val="6"/>
          </w:tcPr>
          <w:p>
            <w:pPr>
              <w:ind w:left="160"/>
              <w:spacing w:after="0"/>
              <w:rPr>
                <w:sz w:val="20"/>
                <w:szCs w:val="20"/>
                <w:color w:val="auto"/>
              </w:rPr>
            </w:pPr>
            <w:r>
              <w:rPr>
                <w:rFonts w:ascii="Arial" w:cs="Arial" w:eastAsia="Arial" w:hAnsi="Arial"/>
                <w:sz w:val="18"/>
                <w:szCs w:val="18"/>
                <w:color w:val="auto"/>
                <w:w w:val="89"/>
              </w:rPr>
              <w:t>Borrower hereby accepts the following offer(s) of Bid Rate Quotes to be made available to the Borrower on</w:t>
            </w:r>
          </w:p>
        </w:tc>
        <w:tc>
          <w:tcPr>
            <w:tcW w:w="1360" w:type="dxa"/>
            <w:vAlign w:val="bottom"/>
            <w:gridSpan w:val="6"/>
          </w:tcPr>
          <w:p>
            <w:pPr>
              <w:jc w:val="right"/>
              <w:ind w:right="180"/>
              <w:spacing w:after="0"/>
              <w:rPr>
                <w:sz w:val="20"/>
                <w:szCs w:val="20"/>
                <w:color w:val="auto"/>
              </w:rPr>
            </w:pPr>
            <w:r>
              <w:rPr>
                <w:rFonts w:ascii="Arial" w:cs="Arial" w:eastAsia="Arial" w:hAnsi="Arial"/>
                <w:sz w:val="18"/>
                <w:szCs w:val="18"/>
                <w:color w:val="auto"/>
              </w:rPr>
              <w:t>, 20</w:t>
            </w:r>
          </w:p>
        </w:tc>
        <w:tc>
          <w:tcPr>
            <w:tcW w:w="680" w:type="dxa"/>
            <w:vAlign w:val="bottom"/>
          </w:tcPr>
          <w:p>
            <w:pPr>
              <w:jc w:val="right"/>
              <w:ind w:right="562"/>
              <w:spacing w:after="0"/>
              <w:rPr>
                <w:sz w:val="20"/>
                <w:szCs w:val="20"/>
                <w:color w:val="auto"/>
              </w:rPr>
            </w:pPr>
            <w:r>
              <w:rPr>
                <w:rFonts w:ascii="Arial" w:cs="Arial" w:eastAsia="Arial" w:hAnsi="Arial"/>
                <w:sz w:val="10"/>
                <w:szCs w:val="10"/>
                <w:color w:val="auto"/>
                <w:w w:val="70"/>
              </w:rPr>
              <w: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Quote Date</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2"/>
          </w:tcPr>
          <w:p>
            <w:pPr>
              <w:ind w:left="360"/>
              <w:spacing w:after="0"/>
              <w:rPr>
                <w:sz w:val="20"/>
                <w:szCs w:val="20"/>
                <w:color w:val="auto"/>
              </w:rPr>
            </w:pPr>
            <w:r>
              <w:rPr>
                <w:rFonts w:ascii="Arial" w:cs="Arial" w:eastAsia="Arial" w:hAnsi="Arial"/>
                <w:sz w:val="14"/>
                <w:szCs w:val="14"/>
                <w:b w:val="1"/>
                <w:bCs w:val="1"/>
                <w:color w:val="auto"/>
              </w:rPr>
              <w:t>Absolute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Interest Period</w:t>
            </w:r>
          </w:p>
        </w:tc>
        <w:tc>
          <w:tcPr>
            <w:tcW w:w="3380" w:type="dxa"/>
            <w:vAlign w:val="bottom"/>
            <w:gridSpan w:val="3"/>
          </w:tcPr>
          <w:p>
            <w:pPr>
              <w:jc w:val="right"/>
              <w:ind w:right="1080"/>
              <w:spacing w:after="0" w:line="148" w:lineRule="exact"/>
              <w:rPr>
                <w:sz w:val="20"/>
                <w:szCs w:val="20"/>
                <w:color w:val="auto"/>
              </w:rPr>
            </w:pPr>
            <w:r>
              <w:rPr>
                <w:rFonts w:ascii="Arial" w:cs="Arial" w:eastAsia="Arial" w:hAnsi="Arial"/>
                <w:sz w:val="14"/>
                <w:szCs w:val="14"/>
                <w:b w:val="1"/>
                <w:bCs w:val="1"/>
                <w:color w:val="auto"/>
              </w:rPr>
              <w:t>Rate/LIBOR Margin</w:t>
            </w:r>
          </w:p>
        </w:tc>
        <w:tc>
          <w:tcPr>
            <w:tcW w:w="1360" w:type="dxa"/>
            <w:vAlign w:val="bottom"/>
            <w:gridSpan w:val="6"/>
          </w:tcPr>
          <w:p>
            <w:pPr>
              <w:ind w:left="20"/>
              <w:spacing w:after="0" w:line="148" w:lineRule="exact"/>
              <w:rPr>
                <w:sz w:val="20"/>
                <w:szCs w:val="20"/>
                <w:color w:val="auto"/>
              </w:rPr>
            </w:pPr>
            <w:r>
              <w:rPr>
                <w:rFonts w:ascii="Arial" w:cs="Arial" w:eastAsia="Arial" w:hAnsi="Arial"/>
                <w:sz w:val="14"/>
                <w:szCs w:val="14"/>
                <w:b w:val="1"/>
                <w:bCs w:val="1"/>
                <w:color w:val="auto"/>
              </w:rPr>
              <w:t>Quoting Lender</w:t>
            </w:r>
          </w:p>
        </w:tc>
        <w:tc>
          <w:tcPr>
            <w:tcW w:w="680" w:type="dxa"/>
            <w:vAlign w:val="bottom"/>
          </w:tcPr>
          <w:p>
            <w:pPr>
              <w:spacing w:after="0"/>
              <w:rPr>
                <w:sz w:val="13"/>
                <w:szCs w:val="13"/>
                <w:color w:val="auto"/>
              </w:rPr>
            </w:pPr>
          </w:p>
        </w:tc>
        <w:tc>
          <w:tcPr>
            <w:tcW w:w="1060" w:type="dxa"/>
            <w:vAlign w:val="bottom"/>
          </w:tcPr>
          <w:p>
            <w:pPr>
              <w:spacing w:after="0" w:line="148" w:lineRule="exact"/>
              <w:rPr>
                <w:sz w:val="20"/>
                <w:szCs w:val="20"/>
                <w:color w:val="auto"/>
              </w:rPr>
            </w:pPr>
            <w:r>
              <w:rPr>
                <w:rFonts w:ascii="Arial" w:cs="Arial" w:eastAsia="Arial" w:hAnsi="Arial"/>
                <w:sz w:val="14"/>
                <w:szCs w:val="14"/>
                <w:b w:val="1"/>
                <w:bCs w:val="1"/>
                <w:color w:val="auto"/>
                <w:w w:val="86"/>
              </w:rPr>
              <w:t>Amount Accepted</w:t>
            </w:r>
          </w:p>
        </w:tc>
        <w:tc>
          <w:tcPr>
            <w:tcW w:w="0" w:type="dxa"/>
            <w:vAlign w:val="bottom"/>
          </w:tcPr>
          <w:p>
            <w:pPr>
              <w:spacing w:after="0"/>
              <w:rPr>
                <w:sz w:val="1"/>
                <w:szCs w:val="1"/>
                <w:color w:val="auto"/>
              </w:rPr>
            </w:pPr>
          </w:p>
        </w:tc>
      </w:tr>
      <w:tr>
        <w:trPr>
          <w:trHeight w:val="68"/>
        </w:trPr>
        <w:tc>
          <w:tcPr>
            <w:tcW w:w="2200" w:type="dxa"/>
            <w:vAlign w:val="bottom"/>
            <w:tcBorders>
              <w:top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_______,20__</w:t>
            </w:r>
          </w:p>
        </w:tc>
        <w:tc>
          <w:tcPr>
            <w:tcW w:w="216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86"/>
              </w:rPr>
              <w:t>____________</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_____%</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86"/>
              </w:rPr>
              <w:t>$___________</w:t>
            </w:r>
          </w:p>
        </w:tc>
        <w:tc>
          <w:tcPr>
            <w:tcW w:w="0" w:type="dxa"/>
            <w:vAlign w:val="bottom"/>
          </w:tcPr>
          <w:p>
            <w:pPr>
              <w:spacing w:after="0"/>
              <w:rPr>
                <w:sz w:val="1"/>
                <w:szCs w:val="1"/>
                <w:color w:val="auto"/>
              </w:rPr>
            </w:pPr>
          </w:p>
        </w:tc>
      </w:tr>
      <w:tr>
        <w:trPr>
          <w:trHeight w:val="282"/>
        </w:trPr>
        <w:tc>
          <w:tcPr>
            <w:tcW w:w="2200" w:type="dxa"/>
            <w:vAlign w:val="bottom"/>
          </w:tcPr>
          <w:p>
            <w:pPr>
              <w:jc w:val="center"/>
              <w:spacing w:after="0"/>
              <w:rPr>
                <w:sz w:val="20"/>
                <w:szCs w:val="20"/>
                <w:color w:val="auto"/>
              </w:rPr>
            </w:pPr>
            <w:r>
              <w:rPr>
                <w:rFonts w:ascii="Arial" w:cs="Arial" w:eastAsia="Arial" w:hAnsi="Arial"/>
                <w:sz w:val="18"/>
                <w:szCs w:val="18"/>
                <w:color w:val="auto"/>
                <w:w w:val="86"/>
              </w:rPr>
              <w:t>_______,20__</w:t>
            </w:r>
          </w:p>
        </w:tc>
        <w:tc>
          <w:tcPr>
            <w:tcW w:w="2160" w:type="dxa"/>
            <w:vAlign w:val="bottom"/>
            <w:gridSpan w:val="2"/>
          </w:tcPr>
          <w:p>
            <w:pPr>
              <w:jc w:val="center"/>
              <w:ind w:left="992"/>
              <w:spacing w:after="0"/>
              <w:rPr>
                <w:sz w:val="20"/>
                <w:szCs w:val="20"/>
                <w:color w:val="auto"/>
              </w:rPr>
            </w:pPr>
            <w:r>
              <w:rPr>
                <w:rFonts w:ascii="Arial" w:cs="Arial" w:eastAsia="Arial" w:hAnsi="Arial"/>
                <w:sz w:val="18"/>
                <w:szCs w:val="18"/>
                <w:color w:val="auto"/>
                <w:w w:val="86"/>
              </w:rPr>
              <w:t>____________</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_____%</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680"/>
              <w:spacing w:after="0"/>
              <w:rPr>
                <w:sz w:val="20"/>
                <w:szCs w:val="20"/>
                <w:color w:val="auto"/>
              </w:rPr>
            </w:pPr>
            <w:r>
              <w:rPr>
                <w:rFonts w:ascii="Arial" w:cs="Arial" w:eastAsia="Arial" w:hAnsi="Arial"/>
                <w:sz w:val="18"/>
                <w:szCs w:val="18"/>
                <w:color w:val="auto"/>
                <w:w w:val="86"/>
              </w:rPr>
              <w:t>$___________</w:t>
            </w:r>
          </w:p>
        </w:tc>
        <w:tc>
          <w:tcPr>
            <w:tcW w:w="0" w:type="dxa"/>
            <w:vAlign w:val="bottom"/>
          </w:tcPr>
          <w:p>
            <w:pPr>
              <w:spacing w:after="0"/>
              <w:rPr>
                <w:sz w:val="1"/>
                <w:szCs w:val="1"/>
                <w:color w:val="auto"/>
              </w:rPr>
            </w:pPr>
          </w:p>
        </w:tc>
      </w:tr>
      <w:tr>
        <w:trPr>
          <w:trHeight w:val="70"/>
        </w:trPr>
        <w:tc>
          <w:tcPr>
            <w:tcW w:w="2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_______,20__</w:t>
            </w:r>
          </w:p>
        </w:tc>
        <w:tc>
          <w:tcPr>
            <w:tcW w:w="216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86"/>
              </w:rPr>
              <w:t>____________</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_____%</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86"/>
              </w:rPr>
              <w:t>$___________</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Borrower hereby certifies to the Agent and the Lenders that as of the date hereof, as of the date of the making of the requested Bid Rate Loans, and after making such Bid Rate Loans, (a) no Default or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11420"/>
          </w:cols>
          <w:pgMar w:left="240" w:top="280" w:right="239" w:bottom="1440" w:gutter="0" w:footer="0" w:header="0"/>
        </w:sectPr>
      </w:pPr>
    </w:p>
    <w:bookmarkStart w:id="163" w:name="page164"/>
    <w:bookmarkEnd w:id="16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correct in all material respects on and as of such earlier date) and except for changes in factual circumstances not prohibited under the Loan Documents.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has duly executed and delivered this Bid Rate Quote Acceptance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7101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J-2</w:t>
      </w:r>
    </w:p>
    <w:p>
      <w:pPr>
        <w:sectPr>
          <w:pgSz w:w="11900" w:h="16838" w:orient="portrait"/>
          <w:cols w:equalWidth="0" w:num="1">
            <w:col w:w="10700"/>
          </w:cols>
          <w:pgMar w:left="240" w:top="280" w:right="9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REVOLVING NOTE</w:t>
      </w:r>
    </w:p>
    <w:p>
      <w:pPr>
        <w:sectPr>
          <w:pgSz w:w="11900" w:h="16838" w:orient="portrait"/>
          <w:cols w:equalWidth="0" w:num="1">
            <w:col w:w="11420"/>
          </w:cols>
          <w:pgMar w:left="240" w:top="280"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___________, 20__</w:t>
      </w:r>
    </w:p>
    <w:p>
      <w:pPr>
        <w:spacing w:after="0" w:line="200" w:lineRule="exact"/>
        <w:rPr>
          <w:sz w:val="20"/>
          <w:szCs w:val="20"/>
          <w:color w:val="auto"/>
        </w:rPr>
      </w:pPr>
    </w:p>
    <w:p>
      <w:pPr>
        <w:sectPr>
          <w:pgSz w:w="11900" w:h="16838" w:orient="portrait"/>
          <w:cols w:equalWidth="0" w:num="2">
            <w:col w:w="9300" w:space="720"/>
            <w:col w:w="1400"/>
          </w:cols>
          <w:pgMar w:left="240" w:top="280" w:right="239" w:bottom="1440" w:gutter="0" w:footer="0" w:header="0"/>
          <w:type w:val="continuous"/>
        </w:sectPr>
      </w:pPr>
    </w:p>
    <w:p>
      <w:pPr>
        <w:spacing w:after="0" w:line="6"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 State of Maryland (the “Borrower”), hereby promises to pay to the order of ____________________ (the “Lender”), in care of Wachovia Bank, National</w:t>
      </w:r>
    </w:p>
    <w:p>
      <w:pPr>
        <w:ind w:right="100"/>
        <w:spacing w:after="0" w:line="281" w:lineRule="auto"/>
        <w:rPr>
          <w:sz w:val="20"/>
          <w:szCs w:val="20"/>
          <w:color w:val="auto"/>
        </w:rPr>
      </w:pPr>
      <w:r>
        <w:rPr>
          <w:rFonts w:ascii="Arial" w:cs="Arial" w:eastAsia="Arial" w:hAnsi="Arial"/>
          <w:sz w:val="16"/>
          <w:szCs w:val="16"/>
          <w:color w:val="auto"/>
        </w:rPr>
        <w:t>Association, as Agent (the “Agent”) at Wachovia Bank, National Association, One Wachovia Center, 301 South College Street, Charlotte, North Carolina 28288, or at such other address as may be specified in writing by the Agent to the Borrower, the principal sum of ________________ AND ____/100 DOLLARS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($____________) (or such lesser amount as shall equal the aggregate unpaid principal amount of Revolving Loans made by the Lender to the Borrower under the</w:t>
      </w:r>
    </w:p>
    <w:p>
      <w:pPr>
        <w:spacing w:after="0" w:line="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Credit Agreement (as herein defined)), on the dates and in the principal amounts provided in the Credit Agreement, and to pay interest on the unpaid principal amount owing hereunder, at the rates and on the dates provided in the Credit Agreement.</w:t>
      </w:r>
    </w:p>
    <w:p>
      <w:pPr>
        <w:spacing w:after="0" w:line="13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date, amount of each Revolving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Revolving Loans made by the Lender.</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This Note is one of the Revolving Notes referred to in the Credit Agreement dated as of July 28, 2006 (as amended, restated, supplemented or otherwise modified from time to time, the “Credit Agreement”), by and among the Borrower, the financial institutions party thereto and their permitted assignees under Section 12.5. thereof (the “Lenders”), the Agent, and the other parties thereto. Capitalized terms used herein, and not otherwise defined herein, have their respective meanings given them in the Credit Agreement.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12.5.(d) of the Credit Agreement, this Note may not be assigned by the Lender to any other Person.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K-1</w:t>
      </w:r>
    </w:p>
    <w:p>
      <w:pPr>
        <w:sectPr>
          <w:pgSz w:w="11900" w:h="16838" w:orient="portrait"/>
          <w:cols w:equalWidth="0" w:num="1">
            <w:col w:w="11420"/>
          </w:cols>
          <w:pgMar w:left="240" w:top="280" w:right="239" w:bottom="1440" w:gutter="0" w:footer="0" w:header="0"/>
          <w:type w:val="continuous"/>
        </w:sectPr>
      </w:pPr>
    </w:p>
    <w:bookmarkStart w:id="165" w:name="page166"/>
    <w:bookmarkEnd w:id="165"/>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has executed and delivered this Revolving Note under seal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710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2540</wp:posOffset>
            </wp:positionV>
            <wp:extent cx="23837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K-2</w:t>
      </w:r>
    </w:p>
    <w:p>
      <w:pPr>
        <w:sectPr>
          <w:pgSz w:w="11900" w:h="16838" w:orient="portrait"/>
          <w:cols w:equalWidth="0" w:num="1">
            <w:col w:w="11180"/>
          </w:cols>
          <w:pgMar w:left="240" w:top="280" w:right="47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REVOLVING LOANS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Note evidences Revolving Loans made under the within-described Credit Agreement to the Borrower, on the dates and in the principal amounts set forth below, subject to the payments and prepayments of principal set forth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9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7"/>
              </w:rPr>
              <w:t>Notation</w:t>
            </w:r>
          </w:p>
        </w:tc>
      </w:tr>
      <w:tr>
        <w:trPr>
          <w:trHeight w:val="168"/>
        </w:trPr>
        <w:tc>
          <w:tcPr>
            <w:tcW w:w="21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Date of Loan</w:t>
            </w:r>
          </w:p>
        </w:tc>
        <w:tc>
          <w:tcPr>
            <w:tcW w:w="8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Amount of Loan</w:t>
            </w:r>
          </w:p>
        </w:tc>
        <w:tc>
          <w:tcPr>
            <w:tcW w:w="860" w:type="dxa"/>
            <w:vAlign w:val="bottom"/>
          </w:tcPr>
          <w:p>
            <w:pPr>
              <w:spacing w:after="0"/>
              <w:rPr>
                <w:sz w:val="14"/>
                <w:szCs w:val="14"/>
                <w:color w:val="auto"/>
              </w:rPr>
            </w:pPr>
          </w:p>
        </w:tc>
        <w:tc>
          <w:tcPr>
            <w:tcW w:w="2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Amount Paid or Prepaid</w:t>
            </w:r>
          </w:p>
        </w:tc>
        <w:tc>
          <w:tcPr>
            <w:tcW w:w="8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9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Made By</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K-3</w:t>
      </w:r>
    </w:p>
    <w:p>
      <w:pPr>
        <w:sectPr>
          <w:pgSz w:w="11900" w:h="16838" w:orient="portrait"/>
          <w:cols w:equalWidth="0" w:num="1">
            <w:col w:w="11420"/>
          </w:cols>
          <w:pgMar w:left="240" w:top="280"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BID RATE NOTE</w:t>
      </w:r>
    </w:p>
    <w:p>
      <w:pPr>
        <w:spacing w:after="0" w:line="171"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___________, 20__</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 State of Maryland (the “Borrower”), hereby promises to pay to the order of ________________ (the “Lender”), in care of Wachovia Bank, National Association,</w:t>
      </w:r>
    </w:p>
    <w:p>
      <w:pPr>
        <w:jc w:val="both"/>
        <w:ind w:right="220"/>
        <w:spacing w:after="0" w:line="295" w:lineRule="auto"/>
        <w:rPr>
          <w:sz w:val="20"/>
          <w:szCs w:val="20"/>
          <w:color w:val="auto"/>
        </w:rPr>
      </w:pPr>
      <w:r>
        <w:rPr>
          <w:rFonts w:ascii="Arial" w:cs="Arial" w:eastAsia="Arial" w:hAnsi="Arial"/>
          <w:sz w:val="16"/>
          <w:szCs w:val="16"/>
          <w:color w:val="auto"/>
        </w:rPr>
        <w:t>as Agent (the “Agent”) at Wachovia Bank, National Association, One Wachovia Center, 301 South College Street, Charlotte, North Carolina 28288, or at such other address as may be specified in writing by the Agent to the Borrower, the aggregate unpaid principal amount of Bid Rate Loans made by the Lender to the Borrower under the Credit Agreement, on the dates and in the principal amounts provided in the Credit Agreement, and to pay interest on the unpaid principal amount of each such Bid Rate Loan, at such office at the rates and on the dates provided in the Credit Agreement.</w:t>
      </w:r>
    </w:p>
    <w:p>
      <w:pPr>
        <w:spacing w:after="0" w:line="115"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 xml:space="preserve">The date, amount, interest rate and maturity date of each Bid Rate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Bid Rate Loans made by the Lender.</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Note is one of the Bid Rate Notes referred to in the Credit Agreement dated as of July 28, 2006 (as amended, restated, supplemented or otherwise modified from time to time, the “Credit Agreement”), by and among the Borrower, the financial institutions party thereto and their permitted assignees under Section 12.5. thereof (the “Lenders”), the Agent, and the other parties thereto, and evidences Bid Rate Loans made by the Lender thereunder. Terms used but not otherwise defined in this Note have the respective meanings assigned to them in the Credit Agreement.</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Bid Rate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 of the Credit Agreement, this Note may not be assigned by the Lender to any other Person.</w:t>
      </w:r>
    </w:p>
    <w:p>
      <w:pPr>
        <w:spacing w:after="0" w:line="17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L-1</w:t>
      </w:r>
    </w:p>
    <w:p>
      <w:pPr>
        <w:sectPr>
          <w:pgSz w:w="11900" w:h="16838" w:orient="portrait"/>
          <w:cols w:equalWidth="0" w:num="1">
            <w:col w:w="11420"/>
          </w:cols>
          <w:pgMar w:left="240" w:top="28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is of the essence for this Note.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and delivered this Bid Rate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27940</wp:posOffset>
            </wp:positionV>
            <wp:extent cx="27101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2540</wp:posOffset>
            </wp:positionV>
            <wp:extent cx="23837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2540</wp:posOffset>
            </wp:positionV>
            <wp:extent cx="23837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L-2</w:t>
      </w:r>
    </w:p>
    <w:p>
      <w:pPr>
        <w:sectPr>
          <w:pgSz w:w="11900" w:h="16838" w:orient="portrait"/>
          <w:cols w:equalWidth="0" w:num="1">
            <w:col w:w="9759"/>
          </w:cols>
          <w:pgMar w:left="700" w:top="280"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BID RATE LOANS</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This Note evidences Bid Rate Loans made under the within-described Credit Agreement to the Borrower, on the dates, in the principal amounts, bearing interest at the rates and maturing on the dates set forth below, subject to the payments and prepayments of principal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7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7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68"/>
        </w:trPr>
        <w:tc>
          <w:tcPr>
            <w:tcW w:w="16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Date of Loan</w:t>
            </w:r>
          </w:p>
        </w:tc>
        <w:tc>
          <w:tcPr>
            <w:tcW w:w="6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Amount of Loan</w:t>
            </w:r>
          </w:p>
        </w:tc>
        <w:tc>
          <w:tcPr>
            <w:tcW w:w="640" w:type="dxa"/>
            <w:vAlign w:val="bottom"/>
          </w:tcPr>
          <w:p>
            <w:pPr>
              <w:spacing w:after="0"/>
              <w:rPr>
                <w:sz w:val="14"/>
                <w:szCs w:val="14"/>
                <w:color w:val="auto"/>
              </w:rPr>
            </w:pPr>
          </w:p>
        </w:tc>
        <w:tc>
          <w:tcPr>
            <w:tcW w:w="15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Interest Rate</w:t>
            </w:r>
          </w:p>
        </w:tc>
        <w:tc>
          <w:tcPr>
            <w:tcW w:w="6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Loan</w:t>
            </w:r>
          </w:p>
        </w:tc>
        <w:tc>
          <w:tcPr>
            <w:tcW w:w="7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Paid or Prepaid</w:t>
            </w:r>
          </w:p>
        </w:tc>
        <w:tc>
          <w:tcPr>
            <w:tcW w:w="7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Made By</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L-3</w:t>
      </w:r>
    </w:p>
    <w:p>
      <w:pPr>
        <w:sectPr>
          <w:pgSz w:w="11900" w:h="16838" w:orient="portrait"/>
          <w:cols w:equalWidth="0" w:num="1">
            <w:col w:w="11420"/>
          </w:cols>
          <w:pgMar w:left="240" w:top="280"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COUNSEL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ectPr>
          <w:pgSz w:w="11900" w:h="16838" w:orient="portrait"/>
          <w:cols w:equalWidth="0" w:num="1">
            <w:col w:w="9019"/>
          </w:cols>
          <w:pgMar w:left="1440" w:top="280" w:right="1440" w:bottom="1440" w:gutter="0" w:footer="0" w:header="0"/>
        </w:sectPr>
      </w:pPr>
    </w:p>
    <w:bookmarkStart w:id="171" w:name="page172"/>
    <w:bookmarkEnd w:id="171"/>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 28288</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Each of the Lenders Party to the Credit Agreement referred to below</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8.3. of the Credit Agreement, the undersigned hereby certifies to the Agent and the Lenders, in his or her capacity as an officer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not in his or her individual capacity, as follows:</w:t>
      </w:r>
    </w:p>
    <w:p>
      <w:pPr>
        <w:spacing w:after="0" w:line="165" w:lineRule="exact"/>
        <w:rPr>
          <w:sz w:val="20"/>
          <w:szCs w:val="20"/>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undersigned is the ________________________ of the Borrower.</w:t>
      </w:r>
    </w:p>
    <w:p>
      <w:pPr>
        <w:spacing w:after="0" w:line="17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undersigned has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and its nature, when it occurred and whether it is continuing and the steps being taken by the Borrower with respect to such event, condition or failure]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right="180" w:firstLine="464"/>
        <w:spacing w:after="0" w:line="335" w:lineRule="auto"/>
        <w:tabs>
          <w:tab w:leader="none" w:pos="70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representations and warranties made or deemed made by the Borrower and the other Loan Parties in the Loan Documents to which any is a party, are true and correct in all material respects on and as of the date hereof except to the extent that such representations and warranties expressly relate solely to an earlier date (in which case such representations and warranties shall have been true and correct in all material respects on and as of such earlier date)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N-1</w:t>
      </w:r>
    </w:p>
    <w:p>
      <w:pPr>
        <w:sectPr>
          <w:pgSz w:w="11900" w:h="16838" w:orient="portrait"/>
          <w:cols w:equalWidth="0" w:num="1">
            <w:col w:w="11420"/>
          </w:cols>
          <w:pgMar w:left="240" w:top="280" w:right="239" w:bottom="1440" w:gutter="0" w:footer="0" w:header="0"/>
        </w:sectPr>
      </w:pPr>
    </w:p>
    <w:bookmarkStart w:id="172" w:name="page173"/>
    <w:bookmarkEnd w:id="17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except for changes in factual circumstances not prohibited under the Loan Documents </w:t>
      </w:r>
      <w:r>
        <w:rPr>
          <w:rFonts w:ascii="Arial" w:cs="Arial" w:eastAsia="Arial" w:hAnsi="Arial"/>
          <w:sz w:val="18"/>
          <w:szCs w:val="18"/>
          <w:i w:val="1"/>
          <w:iCs w:val="1"/>
          <w:color w:val="auto"/>
        </w:rPr>
        <w:t>[if such is not the case, specify which representation or warranty is not</w:t>
      </w:r>
      <w:r>
        <w:rPr>
          <w:rFonts w:ascii="Arial" w:cs="Arial" w:eastAsia="Arial" w:hAnsi="Arial"/>
          <w:sz w:val="18"/>
          <w:szCs w:val="18"/>
          <w:color w:val="auto"/>
        </w:rPr>
        <w:t xml:space="preserve"> </w:t>
      </w:r>
      <w:r>
        <w:rPr>
          <w:rFonts w:ascii="Arial" w:cs="Arial" w:eastAsia="Arial" w:hAnsi="Arial"/>
          <w:sz w:val="18"/>
          <w:szCs w:val="18"/>
          <w:i w:val="1"/>
          <w:iCs w:val="1"/>
          <w:color w:val="auto"/>
        </w:rPr>
        <w:t>true or correct and describe why that is the case]</w:t>
      </w:r>
      <w:r>
        <w:rPr>
          <w:rFonts w:ascii="Arial" w:cs="Arial" w:eastAsia="Arial" w:hAnsi="Arial"/>
          <w:sz w:val="18"/>
          <w:szCs w:val="18"/>
          <w:color w:val="auto"/>
        </w:rPr>
        <w:t>.</w:t>
      </w:r>
    </w:p>
    <w:p>
      <w:pPr>
        <w:spacing w:after="0" w:line="132" w:lineRule="exact"/>
        <w:rPr>
          <w:sz w:val="20"/>
          <w:szCs w:val="20"/>
          <w:color w:val="auto"/>
        </w:rPr>
      </w:pPr>
    </w:p>
    <w:p>
      <w:pPr>
        <w:ind w:right="240" w:firstLine="464"/>
        <w:spacing w:after="0" w:line="268"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Attached hereto as Schedule 1 are reasonably detailed calculations establishing whether or not the Borrower and its Subsidiaries were in compliance with the covenants contained in Sections 9.1. and 9.4.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certificate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294005</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N-2</w:t>
      </w:r>
    </w:p>
    <w:p>
      <w:pPr>
        <w:sectPr>
          <w:pgSz w:w="11900" w:h="16838" w:orient="portrait"/>
          <w:cols w:equalWidth="0" w:num="1">
            <w:col w:w="11380"/>
          </w:cols>
          <w:pgMar w:left="240" w:top="280" w:right="27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[Calculations to be Attached]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N-3</w:t>
      </w:r>
    </w:p>
    <w:p>
      <w:pPr>
        <w:sectPr>
          <w:pgSz w:w="11900" w:h="16838" w:orient="portrait"/>
          <w:cols w:equalWidth="0" w:num="1">
            <w:col w:w="9019"/>
          </w:cols>
          <w:pgMar w:left="1440" w:top="274" w:right="1440"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GUARANTY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GUARANTY dated as of July 28, 2006,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(a) WACHOVIA BANK, NATIONAL ASSOCIATION, in its capacity as Agent (the “Agent”) for the Lenders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 and the Swingline Lender.</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pursuant to the Credit Agreement, the Agent, the Lenders and the Swingline Lender have agreed to make available to the Borrower certain financial accommodations on the terms and conditions set forth in the Credit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Agent, the Lenders and the Swingline Lender through their collective efforts;</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WHEREAS, each Guarantor acknowledges that it will receive direct and indirect benefits from the Agent, the Lenders and the Swingline Lender making such financial accommodations available to the Borrower under the Credit Agreement and, accordingly, each Guarantor is willing to guarantee the Borrower’s obligations to the Agent, the Lenders and the Swingline Lender on the terms and conditions contained herein; and</w:t>
      </w:r>
    </w:p>
    <w:p>
      <w:pPr>
        <w:spacing w:after="0" w:line="10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Agent and the Lenders making, and continuing to make,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hereby absolutely, irrevocably and unconditionally guaranties the due and punctual payment and performance when due, whether at stated maturity, by acceleration or otherwise, of all of the following, whether now existing or hereafter arising, (collectively referred to as the “Guarantied Obligations”): (a) all indebtedness and obligations owing by the Borrower to any Lender, the Swingline Lender or the Agent under or in connection with the Credit Agreement and any other Loan Document, including without limitation, the repayment of all principal of the Revolving Loans, Bid Rate Loans, Swingline Loans and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O-1</w:t>
      </w:r>
    </w:p>
    <w:p>
      <w:pPr>
        <w:sectPr>
          <w:pgSz w:w="11900" w:h="16838" w:orient="portrait"/>
          <w:cols w:equalWidth="0" w:num="1">
            <w:col w:w="11380"/>
          </w:cols>
          <w:pgMar w:left="240" w:top="280" w:right="279" w:bottom="1440" w:gutter="0" w:footer="0" w:header="0"/>
        </w:sectPr>
      </w:pPr>
    </w:p>
    <w:bookmarkStart w:id="175" w:name="page176"/>
    <w:bookmarkEnd w:id="17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Obligations, and the payment of all interest, Fees, charges, attorneys’ fees and other amounts payable to any Lender or the Agent thereunder or in connection therewith; (b) any and all extensions, renewals, modifications, amendments or substitutions of the foregoing; (c) all expenses, including, without limitation, reasonable attorneys’ fees and disbursements, that are incurred by the Lenders and the Agent in the enforcement of any of the foregoing or any obligation of such Guarantor hereunder; and (d) all other Obligations.</w:t>
      </w:r>
    </w:p>
    <w:p>
      <w:pPr>
        <w:spacing w:after="0" w:line="14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Guaranty of Payment and Not of Collection</w:t>
      </w:r>
      <w:r>
        <w:rPr>
          <w:rFonts w:ascii="Arial" w:cs="Arial" w:eastAsia="Arial" w:hAnsi="Arial"/>
          <w:sz w:val="15"/>
          <w:szCs w:val="15"/>
          <w:color w:val="auto"/>
        </w:rPr>
        <w:t>. This Guaranty is a guaranty of payment, and not of collection, and a debt of each Guarantor for its own account. Accordingly, none of the Lenders, the Swingline Lender or the Agent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held by the Lenders, the Swingline Lender or the Agent which may secure any of the Guarantied Obligations.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w:t>
      </w:r>
      <w:r>
        <w:rPr>
          <w:rFonts w:ascii="Arial" w:cs="Arial" w:eastAsia="Arial" w:hAnsi="Arial"/>
          <w:sz w:val="18"/>
          <w:szCs w:val="18"/>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Agent, the Lenders or the Swingline Lender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44" w:lineRule="exact"/>
        <w:rPr>
          <w:sz w:val="20"/>
          <w:szCs w:val="20"/>
          <w:color w:val="auto"/>
        </w:rPr>
      </w:pPr>
    </w:p>
    <w:p>
      <w:pPr>
        <w:ind w:firstLine="464"/>
        <w:spacing w:after="0" w:line="291"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20" w:lineRule="exact"/>
        <w:rPr>
          <w:rFonts w:ascii="Arial" w:cs="Arial" w:eastAsia="Arial" w:hAnsi="Arial"/>
          <w:sz w:val="16"/>
          <w:szCs w:val="16"/>
          <w:color w:val="auto"/>
        </w:rPr>
      </w:pPr>
    </w:p>
    <w:p>
      <w:pPr>
        <w:ind w:right="440" w:firstLine="464"/>
        <w:spacing w:after="0" w:line="332" w:lineRule="auto"/>
        <w:tabs>
          <w:tab w:leader="none" w:pos="70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O-2</w:t>
      </w:r>
    </w:p>
    <w:p>
      <w:pPr>
        <w:sectPr>
          <w:pgSz w:w="11900" w:h="16838" w:orient="portrait"/>
          <w:cols w:equalWidth="0" w:num="1">
            <w:col w:w="11380"/>
          </w:cols>
          <w:pgMar w:left="240" w:top="280" w:right="279" w:bottom="1440" w:gutter="0" w:footer="0" w:header="0"/>
        </w:sectPr>
      </w:pPr>
    </w:p>
    <w:bookmarkStart w:id="176" w:name="page177"/>
    <w:bookmarkEnd w:id="176"/>
    <w:p>
      <w:pPr>
        <w:ind w:right="380" w:firstLine="464"/>
        <w:spacing w:after="0" w:line="268"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furnishing to the Agent, the Lenders or the Swingline Lender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260" w:firstLine="464"/>
        <w:spacing w:after="0" w:line="259"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40" w:lineRule="exact"/>
        <w:rPr>
          <w:rFonts w:ascii="Arial" w:cs="Arial" w:eastAsia="Arial" w:hAnsi="Arial"/>
          <w:sz w:val="18"/>
          <w:szCs w:val="18"/>
          <w:color w:val="auto"/>
        </w:rPr>
      </w:pPr>
    </w:p>
    <w:p>
      <w:pPr>
        <w:ind w:right="180" w:firstLine="464"/>
        <w:spacing w:after="0" w:line="259"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120" w:firstLine="464"/>
        <w:spacing w:after="0" w:line="268" w:lineRule="auto"/>
        <w:tabs>
          <w:tab w:leader="none" w:pos="6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nonperfection or impairment of any security interest or other Lien on any collateral, if any, securing in any way any of the Obligations;</w:t>
      </w:r>
    </w:p>
    <w:p>
      <w:pPr>
        <w:spacing w:after="0" w:line="194"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Agent, the Lenders or the Swingline Lender,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 in the exercise thereof; or</w:t>
      </w:r>
    </w:p>
    <w:p>
      <w:pPr>
        <w:spacing w:after="0" w:line="171" w:lineRule="exact"/>
        <w:rPr>
          <w:rFonts w:ascii="Arial" w:cs="Arial" w:eastAsia="Arial" w:hAnsi="Arial"/>
          <w:sz w:val="18"/>
          <w:szCs w:val="18"/>
          <w:color w:val="auto"/>
        </w:rPr>
      </w:pPr>
    </w:p>
    <w:p>
      <w:pPr>
        <w:ind w:right="460" w:firstLine="464"/>
        <w:spacing w:after="0" w:line="268" w:lineRule="auto"/>
        <w:tabs>
          <w:tab w:leader="none" w:pos="66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a Guarantor hereunder (other than indefeasible payment and performance in full).</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Action with Respect to Guarantied Obligations</w:t>
      </w:r>
      <w:r>
        <w:rPr>
          <w:rFonts w:ascii="Arial" w:cs="Arial" w:eastAsia="Arial" w:hAnsi="Arial"/>
          <w:sz w:val="16"/>
          <w:szCs w:val="16"/>
          <w:color w:val="auto"/>
        </w:rPr>
        <w:t>. The Lenders and the Agent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(other than this Guaranty, as to which each Guarantor’s Agreement is required); (c) sell, exchange, release or otherwise deal with all, or any part, of any collateral securing any of the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Lenders shall elect.</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O-3</w:t>
      </w:r>
    </w:p>
    <w:p>
      <w:pPr>
        <w:sectPr>
          <w:pgSz w:w="11900" w:h="16838" w:orient="portrait"/>
          <w:cols w:equalWidth="0" w:num="1">
            <w:col w:w="11320"/>
          </w:cols>
          <w:pgMar w:left="240" w:top="280" w:right="339" w:bottom="1440" w:gutter="0" w:footer="0" w:header="0"/>
        </w:sectPr>
      </w:pPr>
    </w:p>
    <w:bookmarkStart w:id="177" w:name="page178"/>
    <w:bookmarkEnd w:id="177"/>
    <w:p>
      <w:pPr>
        <w:jc w:val="both"/>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severally with respect to itself only makes to the Agent, the Lenders and the Swingline Lender all of the representations and warranties made by the Borrower with respect to or in any way relating to such Guarantor in the Credit Agreement and the other Loan Documents, as if the same were set forth herein in full.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Inability to Accelerate Loan</w:t>
      </w:r>
      <w:r>
        <w:rPr>
          <w:rFonts w:ascii="Arial" w:cs="Arial" w:eastAsia="Arial" w:hAnsi="Arial"/>
          <w:sz w:val="18"/>
          <w:szCs w:val="18"/>
          <w:color w:val="auto"/>
        </w:rPr>
        <w:t>. If the Agent, the Swingline Lender and/or the Lenders are prevented under Applicable Law or otherwise from demanding or accelerating payment of any of the Guarantied Obligations by reason of any automatic stay or otherwise, the Agent, the Swingline Lender and/or the Lenders shall be entitled to receive from each Guarantor, upon demand therefor, the sums which otherwise would have been due had such demand or acceleration occurred.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Reinstatement of Guarantied Obligations</w:t>
      </w:r>
      <w:r>
        <w:rPr>
          <w:rFonts w:ascii="Arial" w:cs="Arial" w:eastAsia="Arial" w:hAnsi="Arial"/>
          <w:sz w:val="16"/>
          <w:szCs w:val="16"/>
          <w:color w:val="auto"/>
        </w:rPr>
        <w:t>. If claim is ever made on the Agent, any Lender or the Swingline Lender for repayment or recovery of any amount or amounts received in payment or on account of any of the Guarantied Obligations, and the Agent, such Lender or the Swingline Lender repays all or part of said amount by reason of (a) any judgment, decree or order of any court or administrative body of competent jurisdiction, or (b) any settlement or compromise of any such claim effected by the Agent, such Lender or the Swingline Lender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Agent, such Lender or the Swingline Lender for the amounts so repaid or recovered to the same extent as if such amount had never originally been paid to the Agent, such Lender or the Swingline Lender.</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Upon the making by any Guarantor of any payment hereunder for the account of the Borrower, such Guarantor shall be subrogated to the rights of the payee against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O-4</w:t>
      </w:r>
    </w:p>
    <w:p>
      <w:pPr>
        <w:sectPr>
          <w:pgSz w:w="11900" w:h="16838" w:orient="portrait"/>
          <w:cols w:equalWidth="0" w:num="1">
            <w:col w:w="11400"/>
          </w:cols>
          <w:pgMar w:left="240" w:top="280" w:right="259" w:bottom="1440" w:gutter="0" w:footer="0" w:header="0"/>
        </w:sectPr>
      </w:pPr>
    </w:p>
    <w:bookmarkStart w:id="178" w:name="page179"/>
    <w:bookmarkEnd w:id="17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paid to such Guarantor on account of or in respect of such subrogation rights or other claims or causes of action, such Guarantor shall hold such amount in trust for the benefit of the Agent, the Lenders and the Swingline Lender and shall forthwith pay such amount to the Agent to be credited and applied against the Guarantied Obligations, whether matured or unmatured, in accordance with the terms of the Credit Agreement or to be held by the Agent as collateral security for any Guarantied Obligations existing.</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Payments Free and Clear</w:t>
      </w:r>
      <w:r>
        <w:rPr>
          <w:rFonts w:ascii="Arial" w:cs="Arial" w:eastAsia="Arial" w:hAnsi="Arial"/>
          <w:sz w:val="18"/>
          <w:szCs w:val="18"/>
          <w:color w:val="auto"/>
        </w:rPr>
        <w:t>. All sums payable by each Guarantor hereunder, whether of principal, interest, Fees, expenses, premiums or otherwise, shall be paid in full, without set-off or counterclaim or any deduction or withholding whatsoever (including any Taxes, subject to Section 3.12. of the Credit Agreement), and if any Guarantor is required by Applicable Law or by a Governmental Authority to make any such deduction or withholding, such Guarantor shall, subject to Section 3.12. of the Credit Agreement, pay to the Agent, the Lenders and the Swingline Lender such additional amount as will result in the receipt by the Agent, the Lenders and the Swingline Lender of the full amount payable hereunder had such deduction or withholding not occurred or been required.</w:t>
      </w:r>
    </w:p>
    <w:p>
      <w:pPr>
        <w:spacing w:after="0" w:line="144"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Agent, each Lender and each affiliate of the Agent or any Lender, at any time during the continuance of an Event of Default, without any prior notice to such Guarantor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Agent, the Lenders and the Swingline Lender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Avoidance Provisions</w:t>
      </w:r>
      <w:r>
        <w:rPr>
          <w:rFonts w:ascii="Arial" w:cs="Arial" w:eastAsia="Arial" w:hAnsi="Arial"/>
          <w:sz w:val="18"/>
          <w:szCs w:val="18"/>
          <w:color w:val="auto"/>
        </w:rPr>
        <w:t>. It is the intent of each Guarantor, the Agent, the Lenders and the Swingline Lender that in any Proceeding, such Guarantor’s maximum obligation hereunder shall equal, but not exceed, the maximum amount which would not otherwise cause the obligations of such Guarantor hereunder (or any other obligations of such Guarantor to the Agent, the Lenders and the Swingline Lender) to be avoidable or unenforceable against such Guarantor in such Proceeding as a result of Applicable Law, including without limitation,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O-5</w:t>
      </w:r>
    </w:p>
    <w:p>
      <w:pPr>
        <w:sectPr>
          <w:pgSz w:w="11900" w:h="16838" w:orient="portrait"/>
          <w:cols w:equalWidth="0" w:num="1">
            <w:col w:w="11420"/>
          </w:cols>
          <w:pgMar w:left="240" w:top="280" w:right="239" w:bottom="1440" w:gutter="0" w:footer="0" w:header="0"/>
        </w:sectPr>
      </w:pPr>
    </w:p>
    <w:bookmarkStart w:id="179" w:name="page180"/>
    <w:bookmarkEnd w:id="179"/>
    <w:p>
      <w:pPr>
        <w:ind w:firstLine="8"/>
        <w:spacing w:after="0" w:line="286" w:lineRule="auto"/>
        <w:tabs>
          <w:tab w:leader="none" w:pos="239"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548 of the Bankruptcy Code of 1978, as amended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Agent, the Lenders and the Swingline Lender)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Agent, the Lenders and the Swingline Lender), to be subject to avoidance under the Avoidance Provisions. This Section is intended solely to preserve the rights of the Agent, the Lenders and the Swingline Lender hereunder to the maximum extent that would not cause the obligations of any Guarantor hereunder to be subject to avoidance under the Avoidance Provisions, and no Guarantor or any other Person shall have any right or claim under this Section as against the Agent, the Lenders and the Swingline Lender that would not otherwise be available to such Person under the Avoidance Provisions.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Information</w:t>
      </w:r>
      <w:r>
        <w:rPr>
          <w:rFonts w:ascii="Arial" w:cs="Arial" w:eastAsia="Arial" w:hAnsi="Arial"/>
          <w:sz w:val="16"/>
          <w:szCs w:val="16"/>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none of the Agent, the Lenders or the Swingline Lender shall have any duty whatsoever to advise any Guarantor of information regarding such circumstances or risks.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 ETC</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90" w:lineRule="auto"/>
        <w:tabs>
          <w:tab w:leader="none" w:pos="6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ANY GUARANTOR, THE AGENT OR ANY OF THE LENDERS WOULD BE BASED ON DIFFICULT AND COMPLEX ISSUES OF LAW AND FACT AND WOULD RESULT IN DELAY AND EXPENSE TO THE PARTIES. ACCORDINGLY, TO THE EXTENT PERMITTED BY APPLICABLE LAW, EACH OF THE LENDERS, THE AGENT AND THE GUARANTORS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THE GUARANTORS, THE AGENT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O-6</w:t>
      </w:r>
    </w:p>
    <w:p>
      <w:pPr>
        <w:sectPr>
          <w:pgSz w:w="11900" w:h="16838" w:orient="portrait"/>
          <w:cols w:equalWidth="0" w:num="1">
            <w:col w:w="11400"/>
          </w:cols>
          <w:pgMar w:left="240" w:top="280" w:right="2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LENDERS OF ANY KIND OR NATURE RELATING TO ANY OF THE LOAN DOCUMENTS.</w:t>
      </w:r>
    </w:p>
    <w:p>
      <w:pPr>
        <w:spacing w:after="0" w:line="171" w:lineRule="exact"/>
        <w:rPr>
          <w:sz w:val="20"/>
          <w:szCs w:val="20"/>
          <w:color w:val="auto"/>
        </w:rPr>
      </w:pPr>
    </w:p>
    <w:p>
      <w:pPr>
        <w:ind w:firstLine="464"/>
        <w:spacing w:after="0" w:line="286" w:lineRule="auto"/>
        <w:tabs>
          <w:tab w:leader="none" w:pos="70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OF THE GUARANTORS, THE AGENT AND EACH LENDER HEREBY AGREES THAT THE FEDERAL DISTRICT COURT FOR THE SOUTHERN DISTRICT OF NEW YORK AND ANY STATE COURT LOCATED IN THE BOROUGH OF MANHATTAN OF NEW YORK, NEW YORK, SHALL HAVE JURISDICTION TO HEAR AND DETERMINE ANY CLAIMS OR DISPUTES BETWEEN OR AMONG THE GUARANTORS, THE AGENT OR ANY OF THE LENDERS PERTAINING DIRECTLY OR INDIRECTLY TO THIS GUARANTY OR ANY OTHER LOAN DOCUMENT OR TO ANY MATTER ARISING HEREFROM OR THEREFROM. EACH GUARANTOR AND EACH OF THE LENDERS EXPRESSLY SUBMITS AND CONSENTS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7"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GUARANTY.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Loan Accounts</w:t>
      </w:r>
      <w:r>
        <w:rPr>
          <w:rFonts w:ascii="Arial" w:cs="Arial" w:eastAsia="Arial" w:hAnsi="Arial"/>
          <w:sz w:val="16"/>
          <w:szCs w:val="16"/>
          <w:color w:val="auto"/>
        </w:rPr>
        <w:t>. The Agent, each Lender and the Swingline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Agent, any Lender or the Swingline Lender to maintain such books and accounts shall not in any way relieve or discharge any Guarantor of any of its obligations hereunder.</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Waiver of Remedies</w:t>
      </w:r>
      <w:r>
        <w:rPr>
          <w:rFonts w:ascii="Arial" w:cs="Arial" w:eastAsia="Arial" w:hAnsi="Arial"/>
          <w:sz w:val="16"/>
          <w:szCs w:val="16"/>
          <w:color w:val="auto"/>
        </w:rPr>
        <w:t>. No delay or failure on the part of the Agent, any Lender or the Swingline Lender in the exercise of any right or remedy it may have against any Guarantor hereunder or otherwise shall operate as a waiver thereof, and no single or partial exercise by the Agent, any Lender or the Swingline Lender of any such right or remedy shall preclude any other or further exercise thereof or the exercise of any other such right or remedy.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O-7</w:t>
      </w:r>
    </w:p>
    <w:p>
      <w:pPr>
        <w:sectPr>
          <w:pgSz w:w="11900" w:h="16838" w:orient="portrait"/>
          <w:cols w:equalWidth="0" w:num="1">
            <w:col w:w="11380"/>
          </w:cols>
          <w:pgMar w:left="240" w:top="280" w:right="279" w:bottom="1440" w:gutter="0" w:footer="0" w:header="0"/>
        </w:sectPr>
      </w:pPr>
    </w:p>
    <w:bookmarkStart w:id="181" w:name="page182"/>
    <w:bookmarkEnd w:id="181"/>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 </w:t>
      </w:r>
      <w:r>
        <w:rPr>
          <w:rFonts w:ascii="Arial" w:cs="Arial" w:eastAsia="Arial" w:hAnsi="Arial"/>
          <w:sz w:val="18"/>
          <w:szCs w:val="18"/>
          <w:u w:val="single" w:color="auto"/>
          <w:color w:val="auto"/>
        </w:rPr>
        <w:t>Termination</w:t>
      </w:r>
      <w:r>
        <w:rPr>
          <w:rFonts w:ascii="Arial" w:cs="Arial" w:eastAsia="Arial" w:hAnsi="Arial"/>
          <w:sz w:val="18"/>
          <w:szCs w:val="18"/>
          <w:color w:val="auto"/>
        </w:rPr>
        <w:t>. This Guaranty shall remain in full force and effect until indefeasible payment in full of the Guarantied Obligations and the other Obligations and the termination or cancellation of the Credit Agreement in accordance with its terms.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reference herein to the Agent or the Lenders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and the Swingline Lender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12.8. of the Credit Agreement, each Guarantor hereby consents to the delivery by the Agent or any Lender to any Assignee or Participant (or any prospective Assignee or Participant) of any financial or other information regarding the Borrower or any Guarantor. No Guarantor may assign or transfer its obligations hereunder to any Person without the prior written consent of all Lenders and any such assignment or other transfer to which all of the Lenders have not so consented shall be null and void.</w:t>
      </w:r>
    </w:p>
    <w:p>
      <w:pPr>
        <w:spacing w:after="0" w:line="120"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writing signed by the Requisite Lenders (or all of the Lenders if required under the terms of the Credit Agreement), the Agent and each Guarantor.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Agent at the Principal Office, not later than 2:00 p.m. on the date of demand therefor.</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hereunder shall be in writing (including facsimile transmission or similar writing) and shall be given (a) to each Guarantor at its address set forth below its signature hereto, (b) to the Agent, any Lender or the Swingline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a change of address for notices shall not be effective until received.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O-8</w:t>
      </w:r>
    </w:p>
    <w:p>
      <w:pPr>
        <w:sectPr>
          <w:pgSz w:w="11900" w:h="16838" w:orient="portrait"/>
          <w:cols w:equalWidth="0" w:num="1">
            <w:col w:w="11380"/>
          </w:cols>
          <w:pgMar w:left="240" w:top="280" w:right="279" w:bottom="1440" w:gutter="0" w:footer="0" w:header="0"/>
        </w:sectPr>
      </w:pPr>
    </w:p>
    <w:bookmarkStart w:id="182" w:name="page183"/>
    <w:bookmarkEnd w:id="182"/>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Agent nor any Lender, nor any affiliate, officer, director, employee, attorney, or agent of the Agent or any Lender,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Agent or any Lender or any of the Agent’s or any Lender’s affiliates, officers, directors, employees, attorneys, or agents for punitive damages in respect of any claim in connection with, arising out of, or in any way related to, this Guaranty, the Credit Agreement or any of the other Loan Documents, or any of the transactions contemplated by Credit Agreement or financed thereby.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171"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w:t>
      </w:r>
    </w:p>
    <w:p>
      <w:pPr>
        <w:spacing w:after="0" w:line="6" w:lineRule="exact"/>
        <w:rPr>
          <w:sz w:val="20"/>
          <w:szCs w:val="20"/>
          <w:color w:val="auto"/>
        </w:rPr>
      </w:pPr>
    </w:p>
    <w:p>
      <w:pPr>
        <w:ind w:left="260" w:hanging="252"/>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corporate action shall be taken by any Guarantor for the purpose of effecting any of the foregoing.</w:t>
      </w:r>
    </w:p>
    <w:p>
      <w:pPr>
        <w:spacing w:after="0" w:line="164" w:lineRule="exact"/>
        <w:rPr>
          <w:rFonts w:ascii="Arial" w:cs="Arial" w:eastAsia="Arial" w:hAnsi="Arial"/>
          <w:sz w:val="18"/>
          <w:szCs w:val="18"/>
          <w:color w:val="auto"/>
        </w:rPr>
      </w:pPr>
    </w:p>
    <w:p>
      <w:pPr>
        <w:ind w:left="4820" w:right="2400" w:hanging="4356"/>
        <w:spacing w:after="0" w:line="430" w:lineRule="auto"/>
        <w:tabs>
          <w:tab w:leader="none" w:pos="70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O-9</w:t>
      </w:r>
    </w:p>
    <w:p>
      <w:pPr>
        <w:sectPr>
          <w:pgSz w:w="11900" w:h="16838" w:orient="portrait"/>
          <w:cols w:equalWidth="0" w:num="1">
            <w:col w:w="11400"/>
          </w:cols>
          <w:pgMar w:left="240" w:top="280" w:right="259" w:bottom="1440" w:gutter="0" w:footer="0" w:header="0"/>
        </w:sectPr>
      </w:pPr>
    </w:p>
    <w:bookmarkStart w:id="183" w:name="page184"/>
    <w:bookmarkEnd w:id="18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27940</wp:posOffset>
            </wp:positionV>
            <wp:extent cx="2710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27940</wp:posOffset>
            </wp:positionV>
            <wp:extent cx="23837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27940</wp:posOffset>
            </wp:positionV>
            <wp:extent cx="23837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400"/>
        <w:spacing w:after="0"/>
        <w:tabs>
          <w:tab w:leader="none" w:pos="73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(301) 998-8100</w:t>
      </w:r>
    </w:p>
    <w:p>
      <w:pPr>
        <w:spacing w:after="0" w:line="9" w:lineRule="exact"/>
        <w:rPr>
          <w:sz w:val="20"/>
          <w:szCs w:val="20"/>
          <w:color w:val="auto"/>
        </w:rPr>
      </w:pPr>
    </w:p>
    <w:p>
      <w:pPr>
        <w:ind w:left="6400"/>
        <w:spacing w:after="0"/>
        <w:tabs>
          <w:tab w:leader="none" w:pos="7320" w:val="left"/>
        </w:tabs>
        <w:rPr>
          <w:sz w:val="20"/>
          <w:szCs w:val="20"/>
          <w:color w:val="auto"/>
        </w:rPr>
      </w:pPr>
      <w:r>
        <w:rPr>
          <w:rFonts w:ascii="Arial" w:cs="Arial" w:eastAsia="Arial" w:hAnsi="Arial"/>
          <w:sz w:val="18"/>
          <w:szCs w:val="18"/>
          <w:color w:val="auto"/>
        </w:rPr>
        <w:t>Telecopy:</w:t>
        <w:tab/>
        <w:t>(301) 998-3715</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O-10</w:t>
      </w:r>
    </w:p>
    <w:p>
      <w:pPr>
        <w:sectPr>
          <w:pgSz w:w="11900" w:h="16838" w:orient="portrait"/>
          <w:cols w:equalWidth="0" w:num="1">
            <w:col w:w="9759"/>
          </w:cols>
          <w:pgMar w:left="700" w:top="280" w:right="1440" w:bottom="1440" w:gutter="0" w:footer="0" w:header="0"/>
        </w:sectPr>
      </w:pPr>
    </w:p>
    <w:bookmarkStart w:id="184" w:name="page185"/>
    <w:bookmarkEnd w:id="18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ACCESSION AGREEMENT</w:t>
      </w:r>
    </w:p>
    <w:p>
      <w:pPr>
        <w:spacing w:after="0" w:line="171" w:lineRule="exact"/>
        <w:rPr>
          <w:sz w:val="20"/>
          <w:szCs w:val="20"/>
          <w:color w:val="auto"/>
        </w:rPr>
      </w:pPr>
    </w:p>
    <w:p>
      <w:pPr>
        <w:ind w:left="460"/>
        <w:spacing w:after="0"/>
        <w:tabs>
          <w:tab w:leader="none" w:pos="4700" w:val="left"/>
          <w:tab w:leader="none" w:pos="9080" w:val="left"/>
          <w:tab w:leader="none" w:pos="10220" w:val="left"/>
        </w:tabs>
        <w:rPr>
          <w:sz w:val="20"/>
          <w:szCs w:val="20"/>
          <w:color w:val="auto"/>
        </w:rPr>
      </w:pPr>
      <w:r>
        <w:rPr>
          <w:rFonts w:ascii="Arial" w:cs="Arial" w:eastAsia="Arial" w:hAnsi="Arial"/>
          <w:sz w:val="18"/>
          <w:szCs w:val="18"/>
          <w:color w:val="auto"/>
        </w:rPr>
        <w:t>THIS ACCESSION AGREEMENT dated as of</w:t>
      </w:r>
      <w:r>
        <w:rPr>
          <w:sz w:val="20"/>
          <w:szCs w:val="20"/>
          <w:color w:val="auto"/>
        </w:rPr>
        <w:tab/>
      </w:r>
      <w:r>
        <w:rPr>
          <w:rFonts w:ascii="Arial" w:cs="Arial" w:eastAsia="Arial" w:hAnsi="Arial"/>
          <w:sz w:val="18"/>
          <w:szCs w:val="18"/>
          <w:color w:val="auto"/>
        </w:rPr>
        <w:t>, 20__, executed and delivered 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-13970</wp:posOffset>
            </wp:positionV>
            <wp:extent cx="5575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-13970</wp:posOffset>
            </wp:positionV>
            <wp:extent cx="19450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45005" cy="8890"/>
                    </a:xfrm>
                    <a:prstGeom prst="rect">
                      <a:avLst/>
                    </a:prstGeom>
                    <a:noFill/>
                  </pic:spPr>
                </pic:pic>
              </a:graphicData>
            </a:graphic>
          </wp:anchor>
        </w:drawing>
      </w:r>
    </w:p>
    <w:p>
      <w:pPr>
        <w:ind w:right="140"/>
        <w:spacing w:after="0" w:line="295" w:lineRule="auto"/>
        <w:rPr>
          <w:sz w:val="20"/>
          <w:szCs w:val="20"/>
          <w:color w:val="auto"/>
        </w:rPr>
      </w:pPr>
      <w:r>
        <w:rPr>
          <w:rFonts w:ascii="Arial" w:cs="Arial" w:eastAsia="Arial" w:hAnsi="Arial"/>
          <w:sz w:val="16"/>
          <w:szCs w:val="16"/>
          <w:color w:val="auto"/>
        </w:rPr>
        <w:t>Guarantor”), in favor of (a) WACHOVIA BANK, NATIONAL ASSOCIATION, in its capacity as Agent (the “Agent”) for the Lenders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 and the Swingline Lender.</w:t>
      </w:r>
    </w:p>
    <w:p>
      <w:pPr>
        <w:spacing w:after="0" w:line="11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pursuant to the Credit Agreement, the Agent, the Lenders and the Swingline Lender have agreed to make available to the Borrower certain financial accommodations on the terms and conditions set forth in the Credit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Agent, the Lenders and the Swingline Lender through their collective efforts;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WHEREAS, the New Guarantor acknowledges that it will receive direct and indirect benefits from the Agent, the Lenders and the Swingline Lender making such financial accommodations available to the Borrower under the Credit Agreement and, accordingly, the New Guarantor is willing to guarantee the Borrower’s obligations to the Agent, the Lenders and the Swingline Lender on the terms and conditions contained herein; and</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Agent, the Lenders and the Swingline Lender continuing to make such financial accommodations to the Borrower.</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July 28, 2006 (as amended, supplemented, restated or otherwise modified from time to time, the “Guaranty”), made by each Subsidiary of the Borrower a party thereto in favor of the Agent, the Lenders and the Swingline Lender and assumes all obligations of a “Guarantor” thereunder and agrees to be bound thereby, all as if the New Guarantor had been an original signatory to the Guaranty. Without limiting the generality of the foregoing, the New Guarantor hereby:</w:t>
      </w:r>
    </w:p>
    <w:p>
      <w:pPr>
        <w:spacing w:after="0" w:line="113" w:lineRule="exact"/>
        <w:rPr>
          <w:sz w:val="20"/>
          <w:szCs w:val="20"/>
          <w:color w:val="auto"/>
        </w:rPr>
      </w:pPr>
    </w:p>
    <w:p>
      <w:pPr>
        <w:ind w:right="280" w:firstLine="464"/>
        <w:spacing w:after="0" w:line="268"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irrevocably and unconditionally guarantees the due and punctual payment and performance when due, whether at stated maturity, by acceleration or otherwise, of all Guarantied Obligations (as defined in the Guaranty);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O-11</w:t>
      </w:r>
    </w:p>
    <w:p>
      <w:pPr>
        <w:sectPr>
          <w:pgSz w:w="11900" w:h="16838" w:orient="portrait"/>
          <w:cols w:equalWidth="0" w:num="1">
            <w:col w:w="11380"/>
          </w:cols>
          <w:pgMar w:left="240" w:top="280" w:right="279" w:bottom="1440" w:gutter="0" w:footer="0" w:header="0"/>
        </w:sectPr>
      </w:pPr>
    </w:p>
    <w:bookmarkStart w:id="185" w:name="page186"/>
    <w:bookmarkEnd w:id="185"/>
    <w:p>
      <w:pPr>
        <w:ind w:right="60" w:firstLine="464"/>
        <w:spacing w:after="0" w:line="332" w:lineRule="auto"/>
        <w:tabs>
          <w:tab w:leader="none" w:pos="7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makes to the Agent, the Lenders and the Swingline Lender as of the date hereof each of the representations and warranties contained in Section 5 of the Guaranty with respect to itself and agrees to be bound by each of the covenants contained in Section 6 of the Guaranty; and</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APPLICABLE TO CONTRACTS EXECUTED, AND TO BE FULLY PERFORMED, IN SUCH STATE.</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O-12</w:t>
      </w:r>
    </w:p>
    <w:p>
      <w:pPr>
        <w:sectPr>
          <w:pgSz w:w="11900" w:h="16838" w:orient="portrait"/>
          <w:cols w:equalWidth="0" w:num="1">
            <w:col w:w="11420"/>
          </w:cols>
          <w:pgMar w:left="240" w:top="280" w:right="239" w:bottom="1440" w:gutter="0" w:footer="0" w:header="0"/>
        </w:sectPr>
      </w:pPr>
    </w:p>
    <w:bookmarkStart w:id="186" w:name="page187"/>
    <w:bookmarkEnd w:id="18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27940</wp:posOffset>
            </wp:positionV>
            <wp:extent cx="27101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27940</wp:posOffset>
            </wp:positionV>
            <wp:extent cx="23837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27940</wp:posOffset>
            </wp:positionV>
            <wp:extent cx="23837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(301) 998-8100</w:t>
      </w:r>
    </w:p>
    <w:p>
      <w:pPr>
        <w:spacing w:after="0" w:line="9" w:lineRule="exact"/>
        <w:rPr>
          <w:sz w:val="20"/>
          <w:szCs w:val="20"/>
          <w:color w:val="auto"/>
        </w:rPr>
      </w:pPr>
    </w:p>
    <w:p>
      <w:pPr>
        <w:ind w:left="6860"/>
        <w:spacing w:after="0"/>
        <w:tabs>
          <w:tab w:leader="none" w:pos="770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(301) 998-3715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24784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24784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O-13</w:t>
      </w:r>
    </w:p>
    <w:sectPr>
      <w:pgSz w:w="11900" w:h="16838" w:orient="portrait"/>
      <w:cols w:equalWidth="0" w:num="1">
        <w:col w:w="11200"/>
      </w:cols>
      <w:pgMar w:left="240" w:top="2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Letter"/>
      <w:start w:val="1"/>
    </w:lvl>
  </w:abstractNum>
  <w:abstractNum w:abstractNumId="2">
    <w:nsid w:val="7BD3EE7B"/>
    <w:multiLevelType w:val="hybridMultilevel"/>
    <w:lvl w:ilvl="0">
      <w:lvlJc w:val="left"/>
      <w:lvlText w:val="(%1)"/>
      <w:numFmt w:val="lowerLetter"/>
      <w:start w:val="2"/>
    </w:lvl>
  </w:abstractNum>
  <w:abstractNum w:abstractNumId="3">
    <w:nsid w:val="51D9C564"/>
    <w:multiLevelType w:val="hybridMultilevel"/>
    <w:lvl w:ilvl="0">
      <w:lvlJc w:val="left"/>
      <w:lvlText w:val="(%1)"/>
      <w:numFmt w:val="lowerLetter"/>
      <w:start w:val="4"/>
    </w:lvl>
  </w:abstractNum>
  <w:abstractNum w:abstractNumId="4">
    <w:nsid w:val="613EFDC5"/>
    <w:multiLevelType w:val="hybridMultilevel"/>
    <w:lvl w:ilvl="0">
      <w:lvlJc w:val="left"/>
      <w:lvlText w:val="(%1)"/>
      <w:numFmt w:val="lowerLetter"/>
      <w:start w:val="2"/>
    </w:lvl>
  </w:abstractNum>
  <w:abstractNum w:abstractNumId="5">
    <w:nsid w:val="BF72B14"/>
    <w:multiLevelType w:val="hybridMultilevel"/>
    <w:lvl w:ilvl="0">
      <w:lvlJc w:val="left"/>
      <w:lvlText w:val="(%1)"/>
      <w:numFmt w:val="lowerLetter"/>
      <w:start w:val="7"/>
    </w:lvl>
  </w:abstractNum>
  <w:abstractNum w:abstractNumId="6">
    <w:nsid w:val="11447B73"/>
    <w:multiLevelType w:val="hybridMultilevel"/>
    <w:lvl w:ilvl="0">
      <w:lvlJc w:val="left"/>
      <w:lvlText w:val="(%1)"/>
      <w:numFmt w:val="lowerLetter"/>
      <w:start w:val="1"/>
    </w:lvl>
  </w:abstractNum>
  <w:abstractNum w:abstractNumId="7">
    <w:nsid w:val="42963E5A"/>
    <w:multiLevelType w:val="hybridMultilevel"/>
    <w:lvl w:ilvl="0">
      <w:lvlJc w:val="left"/>
      <w:lvlText w:val="(%1)"/>
      <w:numFmt w:val="lowerLetter"/>
      <w:start w:val="1"/>
    </w:lvl>
  </w:abstractNum>
  <w:abstractNum w:abstractNumId="8">
    <w:nsid w:val="A0382C5"/>
    <w:multiLevelType w:val="hybridMultilevel"/>
    <w:lvl w:ilvl="0">
      <w:lvlJc w:val="left"/>
      <w:lvlText w:val="(%1)"/>
      <w:numFmt w:val="lowerRoman"/>
      <w:start w:val="1"/>
    </w:lvl>
    <w:lvl w:ilvl="1">
      <w:lvlJc w:val="left"/>
      <w:lvlText w:val="\endash "/>
      <w:numFmt w:val="bullet"/>
      <w:start w:val="1"/>
    </w:lvl>
  </w:abstractNum>
  <w:abstractNum w:abstractNumId="9">
    <w:nsid w:val="8F2B15E"/>
    <w:multiLevelType w:val="hybridMultilevel"/>
    <w:lvl w:ilvl="0">
      <w:lvlJc w:val="left"/>
      <w:lvlText w:val="(%1)"/>
      <w:numFmt w:val="lowerRoman"/>
      <w:start w:val="1"/>
    </w:lvl>
    <w:lvl w:ilvl="1">
      <w:lvlJc w:val="left"/>
      <w:lvlText w:val="\endash "/>
      <w:numFmt w:val="bullet"/>
      <w:start w:val="1"/>
    </w:lvl>
  </w:abstractNum>
  <w:abstractNum w:abstractNumId="10">
    <w:nsid w:val="1A32234B"/>
    <w:multiLevelType w:val="hybridMultilevel"/>
    <w:lvl w:ilvl="0">
      <w:lvlJc w:val="left"/>
      <w:lvlText w:val="(%1)"/>
      <w:numFmt w:val="lowerLetter"/>
      <w:start w:val="3"/>
    </w:lvl>
  </w:abstractNum>
  <w:abstractNum w:abstractNumId="11">
    <w:nsid w:val="3B0FD379"/>
    <w:multiLevelType w:val="hybridMultilevel"/>
    <w:lvl w:ilvl="0">
      <w:lvlJc w:val="left"/>
      <w:lvlText w:val="(%1)"/>
      <w:numFmt w:val="lowerLetter"/>
      <w:start w:val="1"/>
    </w:lvl>
    <w:lvl w:ilvl="1">
      <w:lvlJc w:val="left"/>
      <w:lvlText w:val="\endash "/>
      <w:numFmt w:val="bullet"/>
      <w:start w:val="1"/>
    </w:lvl>
  </w:abstractNum>
  <w:abstractNum w:abstractNumId="12">
    <w:nsid w:val="68EB2F63"/>
    <w:multiLevelType w:val="hybridMultilevel"/>
    <w:lvl w:ilvl="0">
      <w:lvlJc w:val="left"/>
      <w:lvlText w:val="(%1)"/>
      <w:numFmt w:val="lowerLetter"/>
      <w:start w:val="1"/>
    </w:lvl>
  </w:abstractNum>
  <w:abstractNum w:abstractNumId="13">
    <w:nsid w:val="4962813B"/>
    <w:multiLevelType w:val="hybridMultilevel"/>
    <w:lvl w:ilvl="0">
      <w:lvlJc w:val="left"/>
      <w:lvlText w:val="(%1)"/>
      <w:numFmt w:val="lowerRoman"/>
      <w:start w:val="1"/>
    </w:lvl>
    <w:lvl w:ilvl="1">
      <w:lvlJc w:val="left"/>
      <w:lvlText w:val="\endash "/>
      <w:numFmt w:val="bullet"/>
      <w:start w:val="1"/>
    </w:lvl>
  </w:abstractNum>
  <w:abstractNum w:abstractNumId="14">
    <w:nsid w:val="60B6DF70"/>
    <w:multiLevelType w:val="hybridMultilevel"/>
    <w:lvl w:ilvl="0">
      <w:lvlJc w:val="left"/>
      <w:lvlText w:val="(%1)"/>
      <w:numFmt w:val="lowerRoman"/>
      <w:start w:val="3"/>
    </w:lvl>
  </w:abstractNum>
  <w:abstractNum w:abstractNumId="15">
    <w:nsid w:val="6A5EE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endash "/>
      <w:numFmt w:val="bullet"/>
      <w:start w:val="1"/>
    </w:lvl>
  </w:abstractNum>
  <w:abstractNum w:abstractNumId="16">
    <w:nsid w:val="14330624"/>
    <w:multiLevelType w:val="hybridMultilevel"/>
    <w:lvl w:ilvl="0">
      <w:lvlJc w:val="left"/>
      <w:lvlText w:val="(%1)"/>
      <w:numFmt w:val="upperLetter"/>
      <w:start w:val="3"/>
    </w:lvl>
  </w:abstractNum>
  <w:abstractNum w:abstractNumId="17">
    <w:nsid w:val="7FFFCA1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endash "/>
      <w:numFmt w:val="bullet"/>
      <w:start w:val="1"/>
    </w:lvl>
  </w:abstractNum>
  <w:abstractNum w:abstractNumId="18">
    <w:nsid w:val="1A27709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19">
    <w:nsid w:val="71EA1109"/>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lvl w:ilvl="3">
      <w:lvlJc w:val="left"/>
      <w:lvlText w:val="\endash "/>
      <w:numFmt w:val="bullet"/>
      <w:start w:val="1"/>
    </w:lvl>
  </w:abstractNum>
  <w:abstractNum w:abstractNumId="20">
    <w:nsid w:val="100F59D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endash "/>
      <w:numFmt w:val="bullet"/>
      <w:start w:val="1"/>
    </w:lvl>
  </w:abstractNum>
  <w:abstractNum w:abstractNumId="21">
    <w:nsid w:val="7FB7E0A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endash "/>
      <w:numFmt w:val="bullet"/>
      <w:start w:val="1"/>
    </w:lvl>
  </w:abstractNum>
  <w:abstractNum w:abstractNumId="22">
    <w:nsid w:val="6EB5BD4"/>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endash "/>
      <w:numFmt w:val="bullet"/>
      <w:start w:val="1"/>
    </w:lvl>
  </w:abstractNum>
  <w:abstractNum w:abstractNumId="23">
    <w:nsid w:val="6F6DD9AC"/>
    <w:multiLevelType w:val="hybridMultilevel"/>
    <w:lvl w:ilvl="0">
      <w:lvlJc w:val="left"/>
      <w:lvlText w:val="(%1)"/>
      <w:numFmt w:val="lowerLetter"/>
      <w:start w:val="7"/>
    </w:lvl>
  </w:abstractNum>
  <w:abstractNum w:abstractNumId="24">
    <w:nsid w:val="94211F2"/>
    <w:multiLevelType w:val="hybridMultilevel"/>
    <w:lvl w:ilvl="0">
      <w:lvlJc w:val="left"/>
      <w:lvlText w:val="(%1)"/>
      <w:numFmt w:val="lowerLetter"/>
      <w:start w:val="1"/>
    </w:lvl>
    <w:lvl w:ilvl="1">
      <w:lvlJc w:val="left"/>
      <w:lvlText w:val="\endash "/>
      <w:numFmt w:val="bullet"/>
      <w:start w:val="1"/>
    </w:lvl>
  </w:abstractNum>
  <w:abstractNum w:abstractNumId="25">
    <w:nsid w:val="885E1B"/>
    <w:multiLevelType w:val="hybridMultilevel"/>
    <w:lvl w:ilvl="0">
      <w:lvlJc w:val="left"/>
      <w:lvlText w:val="(%1)"/>
      <w:numFmt w:val="lowerLetter"/>
      <w:start w:val="5"/>
    </w:lvl>
    <w:lvl w:ilvl="1">
      <w:lvlJc w:val="left"/>
      <w:lvlText w:val="(%2)"/>
      <w:numFmt w:val="lowerRoman"/>
      <w:start w:val="1"/>
    </w:lvl>
    <w:lvl w:ilvl="2">
      <w:lvlJc w:val="left"/>
      <w:lvlText w:val="\endash "/>
      <w:numFmt w:val="bullet"/>
      <w:start w:val="1"/>
    </w:lvl>
  </w:abstractNum>
  <w:abstractNum w:abstractNumId="26">
    <w:nsid w:val="76272110"/>
    <w:multiLevelType w:val="hybridMultilevel"/>
    <w:lvl w:ilvl="0">
      <w:lvlJc w:val="left"/>
      <w:lvlText w:val="(%1)"/>
      <w:numFmt w:val="lowerRoman"/>
      <w:start w:val="2"/>
    </w:lvl>
  </w:abstractNum>
  <w:abstractNum w:abstractNumId="27">
    <w:nsid w:val="4C04A8AF"/>
    <w:multiLevelType w:val="hybridMultilevel"/>
    <w:lvl w:ilvl="0">
      <w:lvlJc w:val="left"/>
      <w:lvlText w:val="(%1)"/>
      <w:numFmt w:val="lowerLetter"/>
      <w:start w:val="1"/>
    </w:lvl>
    <w:lvl w:ilvl="1">
      <w:lvlJc w:val="left"/>
      <w:lvlText w:val="\endash "/>
      <w:numFmt w:val="bullet"/>
      <w:start w:val="1"/>
    </w:lvl>
  </w:abstractNum>
  <w:abstractNum w:abstractNumId="28">
    <w:nsid w:val="1716703B"/>
    <w:multiLevelType w:val="hybridMultilevel"/>
    <w:lvl w:ilvl="0">
      <w:lvlJc w:val="left"/>
      <w:lvlText w:val="(%1)"/>
      <w:numFmt w:val="lowerLetter"/>
      <w:start w:val="2"/>
    </w:lvl>
    <w:lvl w:ilvl="1">
      <w:lvlJc w:val="left"/>
      <w:lvlText w:val="\endash "/>
      <w:numFmt w:val="bullet"/>
      <w:start w:val="1"/>
    </w:lvl>
  </w:abstractNum>
  <w:abstractNum w:abstractNumId="29">
    <w:nsid w:val="14E17E33"/>
    <w:multiLevelType w:val="hybridMultilevel"/>
    <w:lvl w:ilvl="0">
      <w:lvlJc w:val="left"/>
      <w:lvlText w:val="(%1)"/>
      <w:numFmt w:val="lowerLetter"/>
      <w:start w:val="5"/>
    </w:lvl>
    <w:lvl w:ilvl="1">
      <w:lvlJc w:val="left"/>
      <w:lvlText w:val="\endash "/>
      <w:numFmt w:val="bullet"/>
      <w:start w:val="1"/>
    </w:lvl>
  </w:abstractNum>
  <w:abstractNum w:abstractNumId="30">
    <w:nsid w:val="3222E7CD"/>
    <w:multiLevelType w:val="hybridMultilevel"/>
    <w:lvl w:ilvl="0">
      <w:lvlJc w:val="left"/>
      <w:lvlText w:val="(%1)"/>
      <w:numFmt w:val="upperLetter"/>
      <w:start w:val="2"/>
    </w:lvl>
    <w:lvl w:ilvl="1">
      <w:lvlJc w:val="left"/>
      <w:lvlText w:val="\endash "/>
      <w:numFmt w:val="bullet"/>
      <w:start w:val="1"/>
    </w:lvl>
  </w:abstractNum>
  <w:abstractNum w:abstractNumId="31">
    <w:nsid w:val="74DE0EE3"/>
    <w:multiLevelType w:val="hybridMultilevel"/>
    <w:lvl w:ilvl="0">
      <w:lvlJc w:val="left"/>
      <w:lvlText w:val="(%1)"/>
      <w:numFmt w:val="lowerLetter"/>
      <w:start w:val="8"/>
    </w:lvl>
    <w:lvl w:ilvl="1">
      <w:lvlJc w:val="left"/>
      <w:lvlText w:val="\endash "/>
      <w:numFmt w:val="bullet"/>
      <w:start w:val="1"/>
    </w:lvl>
  </w:abstractNum>
  <w:abstractNum w:abstractNumId="32">
    <w:nsid w:val="68EBC550"/>
    <w:multiLevelType w:val="hybridMultilevel"/>
    <w:lvl w:ilvl="0">
      <w:lvlJc w:val="left"/>
      <w:lvlText w:val="(%1)"/>
      <w:numFmt w:val="lowerLetter"/>
      <w:start w:val="11"/>
    </w:lvl>
  </w:abstractNum>
  <w:abstractNum w:abstractNumId="33">
    <w:nsid w:val="2DF6D648"/>
    <w:multiLevelType w:val="hybridMultilevel"/>
    <w:lvl w:ilvl="0">
      <w:lvlJc w:val="left"/>
      <w:lvlText w:val="(%1)"/>
      <w:numFmt w:val="lowerLetter"/>
      <w:start w:val="1"/>
    </w:lvl>
    <w:lvl w:ilvl="1">
      <w:lvlJc w:val="left"/>
      <w:lvlText w:val="(%2)"/>
      <w:numFmt w:val="lowerRoman"/>
      <w:start w:val="1"/>
    </w:lvl>
  </w:abstractNum>
  <w:abstractNum w:abstractNumId="34">
    <w:nsid w:val="46B7D447"/>
    <w:multiLevelType w:val="hybridMultilevel"/>
    <w:lvl w:ilvl="0">
      <w:lvlJc w:val="left"/>
      <w:lvlText w:val="(%1)"/>
      <w:numFmt w:val="lowerLetter"/>
      <w:start w:val="2"/>
    </w:lvl>
    <w:lvl w:ilvl="1">
      <w:lvlJc w:val="left"/>
      <w:lvlText w:val="\endash "/>
      <w:numFmt w:val="bullet"/>
      <w:start w:val="1"/>
    </w:lvl>
  </w:abstractNum>
  <w:abstractNum w:abstractNumId="35">
    <w:nsid w:val="4A2AC315"/>
    <w:multiLevelType w:val="hybridMultilevel"/>
    <w:lvl w:ilvl="0">
      <w:lvlJc w:val="left"/>
      <w:lvlText w:val="%1"/>
      <w:numFmt w:val="lowerLetter"/>
      <w:start w:val="1"/>
    </w:lvl>
    <w:lvl w:ilvl="1">
      <w:lvlJc w:val="left"/>
      <w:lvlText w:val="(%2)"/>
      <w:numFmt w:val="lowerLetter"/>
      <w:start w:val="3"/>
    </w:lvl>
  </w:abstractNum>
  <w:abstractNum w:abstractNumId="36">
    <w:nsid w:val="39EE015C"/>
    <w:multiLevelType w:val="hybridMultilevel"/>
    <w:lvl w:ilvl="0">
      <w:lvlJc w:val="left"/>
      <w:lvlText w:val="(%1)"/>
      <w:numFmt w:val="lowerLetter"/>
      <w:start w:val="35"/>
    </w:lvl>
    <w:lvl w:ilvl="1">
      <w:lvlJc w:val="left"/>
      <w:lvlText w:val="%2"/>
      <w:numFmt w:val="lowerLetter"/>
      <w:start w:val="1"/>
    </w:lvl>
  </w:abstractNum>
  <w:abstractNum w:abstractNumId="37">
    <w:nsid w:val="57FC4FBB"/>
    <w:multiLevelType w:val="hybridMultilevel"/>
    <w:lvl w:ilvl="0">
      <w:lvlJc w:val="left"/>
      <w:lvlText w:val="(%1)"/>
      <w:numFmt w:val="lowerLetter"/>
      <w:start w:val="1"/>
    </w:lvl>
  </w:abstractNum>
  <w:abstractNum w:abstractNumId="38">
    <w:nsid w:val="CC1016F"/>
    <w:multiLevelType w:val="hybridMultilevel"/>
    <w:lvl w:ilvl="0">
      <w:lvlJc w:val="left"/>
      <w:lvlText w:val="(%1)"/>
      <w:numFmt w:val="lowerLetter"/>
      <w:start w:val="1"/>
    </w:lvl>
    <w:lvl w:ilvl="1">
      <w:lvlJc w:val="left"/>
      <w:lvlText w:val="\endash "/>
      <w:numFmt w:val="bullet"/>
      <w:start w:val="1"/>
    </w:lvl>
  </w:abstractNum>
  <w:abstractNum w:abstractNumId="39">
    <w:nsid w:val="43F18422"/>
    <w:multiLevelType w:val="hybridMultilevel"/>
    <w:lvl w:ilvl="0">
      <w:lvlJc w:val="left"/>
      <w:lvlText w:val="(%1)"/>
      <w:numFmt w:val="lowerLetter"/>
      <w:start w:val="2"/>
    </w:lvl>
  </w:abstractNum>
  <w:abstractNum w:abstractNumId="40">
    <w:nsid w:val="60EF0119"/>
    <w:multiLevelType w:val="hybridMultilevel"/>
    <w:lvl w:ilvl="0">
      <w:lvlJc w:val="left"/>
      <w:lvlText w:val="(%1)"/>
      <w:numFmt w:val="lowerLetter"/>
      <w:start w:val="1"/>
    </w:lvl>
    <w:lvl w:ilvl="1">
      <w:lvlJc w:val="left"/>
      <w:lvlText w:val="\endash "/>
      <w:numFmt w:val="bullet"/>
      <w:start w:val="1"/>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1"/>
    </w:lvl>
    <w:lvl w:ilvl="1">
      <w:lvlJc w:val="left"/>
      <w:lvlText w:val="\endash "/>
      <w:numFmt w:val="bullet"/>
      <w:start w:val="1"/>
    </w:lvl>
  </w:abstractNum>
  <w:abstractNum w:abstractNumId="43">
    <w:nsid w:val="49DA307D"/>
    <w:multiLevelType w:val="hybridMultilevel"/>
    <w:lvl w:ilvl="0">
      <w:lvlJc w:val="left"/>
      <w:lvlText w:val="(%1)"/>
      <w:numFmt w:val="lowerLetter"/>
      <w:start w:val="2"/>
    </w:lvl>
  </w:abstractNum>
  <w:abstractNum w:abstractNumId="44">
    <w:nsid w:val="7055A5F5"/>
    <w:multiLevelType w:val="hybridMultilevel"/>
    <w:lvl w:ilvl="0">
      <w:lvlJc w:val="left"/>
      <w:lvlText w:val="(%1)"/>
      <w:numFmt w:val="lowerLetter"/>
      <w:start w:val="1"/>
    </w:lvl>
    <w:lvl w:ilvl="1">
      <w:lvlJc w:val="left"/>
      <w:lvlText w:val="\endash "/>
      <w:numFmt w:val="bullet"/>
      <w:start w:val="1"/>
    </w:lvl>
  </w:abstractNum>
  <w:abstractNum w:abstractNumId="45">
    <w:nsid w:val="5FB8370B"/>
    <w:multiLevelType w:val="hybridMultilevel"/>
    <w:lvl w:ilvl="0">
      <w:lvlJc w:val="left"/>
      <w:lvlText w:val="(%1)"/>
      <w:numFmt w:val="lowerLetter"/>
      <w:start w:val="5"/>
    </w:lvl>
  </w:abstractNum>
  <w:abstractNum w:abstractNumId="46">
    <w:nsid w:val="50801EE1"/>
    <w:multiLevelType w:val="hybridMultilevel"/>
    <w:lvl w:ilvl="0">
      <w:lvlJc w:val="left"/>
      <w:lvlText w:val="(%1)"/>
      <w:numFmt w:val="lowerLetter"/>
      <w:start w:val="1"/>
    </w:lvl>
  </w:abstractNum>
  <w:abstractNum w:abstractNumId="47">
    <w:nsid w:val="488AC1A"/>
    <w:multiLevelType w:val="hybridMultilevel"/>
    <w:lvl w:ilvl="0">
      <w:lvlJc w:val="left"/>
      <w:lvlText w:val="(%1)"/>
      <w:numFmt w:val="lowerLetter"/>
      <w:start w:val="3"/>
    </w:lvl>
  </w:abstractNum>
  <w:abstractNum w:abstractNumId="48">
    <w:nsid w:val="5FB8011C"/>
    <w:multiLevelType w:val="hybridMultilevel"/>
    <w:lvl w:ilvl="0">
      <w:lvlJc w:val="left"/>
      <w:lvlText w:val="(%1)"/>
      <w:numFmt w:val="lowerLetter"/>
      <w:start w:val="1"/>
    </w:lvl>
    <w:lvl w:ilvl="1">
      <w:lvlJc w:val="left"/>
      <w:lvlText w:val="\endash "/>
      <w:numFmt w:val="bullet"/>
      <w:start w:val="1"/>
    </w:lvl>
  </w:abstractNum>
  <w:abstractNum w:abstractNumId="49">
    <w:nsid w:val="6AA78F7F"/>
    <w:multiLevelType w:val="hybridMultilevel"/>
    <w:lvl w:ilvl="0">
      <w:lvlJc w:val="left"/>
      <w:lvlText w:val="(%1)"/>
      <w:numFmt w:val="lowerLetter"/>
      <w:start w:val="3"/>
    </w:lvl>
  </w:abstractNum>
  <w:abstractNum w:abstractNumId="50">
    <w:nsid w:val="7672BD23"/>
    <w:multiLevelType w:val="hybridMultilevel"/>
    <w:lvl w:ilvl="0">
      <w:lvlJc w:val="left"/>
      <w:lvlText w:val="(%1)"/>
      <w:numFmt w:val="lowerLetter"/>
      <w:start w:val="1"/>
    </w:lvl>
    <w:lvl w:ilvl="1">
      <w:lvlJc w:val="left"/>
      <w:lvlText w:val="\endash "/>
      <w:numFmt w:val="bullet"/>
      <w:start w:val="1"/>
    </w:lvl>
  </w:abstractNum>
  <w:abstractNum w:abstractNumId="51">
    <w:nsid w:val="6FC75AF8"/>
    <w:multiLevelType w:val="hybridMultilevel"/>
    <w:lvl w:ilvl="0">
      <w:lvlJc w:val="left"/>
      <w:lvlText w:val="(%1)"/>
      <w:numFmt w:val="lowerLetter"/>
      <w:start w:val="61"/>
    </w:lvl>
    <w:lvl w:ilvl="1">
      <w:lvlJc w:val="left"/>
      <w:lvlText w:val="(%2)"/>
      <w:numFmt w:val="lowerLetter"/>
      <w:start w:val="2"/>
    </w:lvl>
    <w:lvl w:ilvl="2">
      <w:lvlJc w:val="left"/>
      <w:lvlText w:val="\endash "/>
      <w:numFmt w:val="bullet"/>
      <w:start w:val="1"/>
    </w:lvl>
  </w:abstractNum>
  <w:abstractNum w:abstractNumId="52">
    <w:nsid w:val="6A5F7029"/>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53">
    <w:nsid w:val="7D5E18F8"/>
    <w:multiLevelType w:val="hybridMultilevel"/>
    <w:lvl w:ilvl="0">
      <w:lvlJc w:val="left"/>
      <w:lvlText w:val="(%1)"/>
      <w:numFmt w:val="lowerLetter"/>
      <w:start w:val="3"/>
    </w:lvl>
  </w:abstractNum>
  <w:abstractNum w:abstractNumId="54">
    <w:nsid w:val="5F3534A4"/>
    <w:multiLevelType w:val="hybridMultilevel"/>
    <w:lvl w:ilvl="0">
      <w:lvlJc w:val="left"/>
      <w:lvlText w:val="(%1)"/>
      <w:numFmt w:val="lowerLetter"/>
      <w:start w:val="1"/>
    </w:lvl>
    <w:lvl w:ilvl="1">
      <w:lvlJc w:val="left"/>
      <w:lvlText w:val="\endash "/>
      <w:numFmt w:val="bullet"/>
      <w:start w:val="1"/>
    </w:lvl>
  </w:abstractNum>
  <w:abstractNum w:abstractNumId="55">
    <w:nsid w:val="73A1821B"/>
    <w:multiLevelType w:val="hybridMultilevel"/>
    <w:lvl w:ilvl="0">
      <w:lvlJc w:val="left"/>
      <w:lvlText w:val="(%1)"/>
      <w:numFmt w:val="lowerLetter"/>
      <w:start w:val="2"/>
    </w:lvl>
    <w:lvl w:ilvl="1">
      <w:lvlJc w:val="left"/>
      <w:lvlText w:val="\endash "/>
      <w:numFmt w:val="bullet"/>
      <w:start w:val="1"/>
    </w:lvl>
  </w:abstractNum>
  <w:abstractNum w:abstractNumId="56">
    <w:nsid w:val="7DE67713"/>
    <w:multiLevelType w:val="hybridMultilevel"/>
    <w:lvl w:ilvl="0">
      <w:lvlJc w:val="left"/>
      <w:lvlText w:val="(%1)"/>
      <w:numFmt w:val="lowerLetter"/>
      <w:start w:val="4"/>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lowerLetter"/>
      <w:start w:val="1"/>
    </w:lvl>
    <w:lvl w:ilvl="1">
      <w:lvlJc w:val="left"/>
      <w:lvlText w:val="\endash "/>
      <w:numFmt w:val="bullet"/>
      <w:start w:val="1"/>
    </w:lvl>
  </w:abstractNum>
  <w:abstractNum w:abstractNumId="60">
    <w:nsid w:val="6A3DD3E8"/>
    <w:multiLevelType w:val="hybridMultilevel"/>
    <w:lvl w:ilvl="0">
      <w:lvlJc w:val="left"/>
      <w:lvlText w:val="(%1)"/>
      <w:numFmt w:val="lowerLetter"/>
      <w:start w:val="2"/>
    </w:lvl>
  </w:abstractNum>
  <w:abstractNum w:abstractNumId="61">
    <w:nsid w:val="71C91298"/>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62">
    <w:nsid w:val="9DAF632"/>
    <w:multiLevelType w:val="hybridMultilevel"/>
    <w:lvl w:ilvl="0">
      <w:lvlJc w:val="left"/>
      <w:lvlText w:val="(%1)"/>
      <w:numFmt w:val="lowerRoman"/>
      <w:start w:val="7"/>
    </w:lvl>
    <w:lvl w:ilvl="1">
      <w:lvlJc w:val="left"/>
      <w:lvlText w:val="\endash "/>
      <w:numFmt w:val="bullet"/>
      <w:start w:val="1"/>
    </w:lvl>
  </w:abstractNum>
  <w:abstractNum w:abstractNumId="63">
    <w:nsid w:val="53299938"/>
    <w:multiLevelType w:val="hybridMultilevel"/>
    <w:lvl w:ilvl="0">
      <w:lvlJc w:val="left"/>
      <w:lvlText w:val="%1"/>
      <w:numFmt w:val="lowerLetter"/>
      <w:start w:val="1"/>
    </w:lvl>
    <w:lvl w:ilvl="1">
      <w:lvlJc w:val="left"/>
      <w:lvlText w:val="(%2)"/>
      <w:numFmt w:val="lowerRoman"/>
      <w:start w:val="13"/>
    </w:lvl>
    <w:lvl w:ilvl="2">
      <w:lvlJc w:val="left"/>
      <w:lvlText w:val="\endash "/>
      <w:numFmt w:val="bullet"/>
      <w:start w:val="1"/>
    </w:lvl>
  </w:abstractNum>
  <w:abstractNum w:abstractNumId="64">
    <w:nsid w:val="1FBFE8E0"/>
    <w:multiLevelType w:val="hybridMultilevel"/>
    <w:lvl w:ilvl="0">
      <w:lvlJc w:val="left"/>
      <w:lvlText w:val="(%1)"/>
      <w:numFmt w:val="lowerLetter"/>
      <w:start w:val="2"/>
    </w:lvl>
    <w:lvl w:ilvl="1">
      <w:lvlJc w:val="left"/>
      <w:lvlText w:val="(%2)"/>
      <w:numFmt w:val="lowerRoman"/>
      <w:start w:val="1"/>
    </w:lvl>
    <w:lvl w:ilvl="2">
      <w:lvlJc w:val="left"/>
      <w:lvlText w:val="\endash "/>
      <w:numFmt w:val="bullet"/>
      <w:start w:val="1"/>
    </w:lvl>
  </w:abstractNum>
  <w:abstractNum w:abstractNumId="65">
    <w:nsid w:val="5092CA79"/>
    <w:multiLevelType w:val="hybridMultilevel"/>
    <w:lvl w:ilvl="0">
      <w:lvlJc w:val="left"/>
      <w:lvlText w:val="(%1)"/>
      <w:numFmt w:val="lowerLetter"/>
      <w:start w:val="1"/>
    </w:lvl>
    <w:lvl w:ilvl="1">
      <w:lvlJc w:val="left"/>
      <w:lvlText w:val="\endash "/>
      <w:numFmt w:val="bullet"/>
      <w:start w:val="1"/>
    </w:lvl>
  </w:abstractNum>
  <w:abstractNum w:abstractNumId="66">
    <w:nsid w:val="1D545C4D"/>
    <w:multiLevelType w:val="hybridMultilevel"/>
    <w:lvl w:ilvl="0">
      <w:lvlJc w:val="left"/>
      <w:lvlText w:val="%1"/>
      <w:numFmt w:val="lowerRoman"/>
      <w:start w:val="1"/>
    </w:lvl>
    <w:lvl w:ilvl="1">
      <w:lvlJc w:val="left"/>
      <w:lvlText w:val="(%2)"/>
      <w:numFmt w:val="lowerLetter"/>
      <w:start w:val="3"/>
    </w:lvl>
    <w:lvl w:ilvl="2">
      <w:lvlJc w:val="left"/>
      <w:lvlText w:val="\endash "/>
      <w:numFmt w:val="bullet"/>
      <w:start w:val="1"/>
    </w:lvl>
  </w:abstractNum>
  <w:abstractNum w:abstractNumId="67">
    <w:nsid w:val="59ADEA3D"/>
    <w:multiLevelType w:val="hybridMultilevel"/>
    <w:lvl w:ilvl="0">
      <w:lvlJc w:val="left"/>
      <w:lvlText w:val="(%1)"/>
      <w:numFmt w:val="lowerRoman"/>
      <w:start w:val="2"/>
    </w:lvl>
    <w:lvl w:ilvl="1">
      <w:lvlJc w:val="left"/>
      <w:lvlText w:val="(%2)"/>
      <w:numFmt w:val="lowerLetter"/>
      <w:start w:val="5"/>
    </w:lvl>
    <w:lvl w:ilvl="2">
      <w:lvlJc w:val="left"/>
      <w:lvlText w:val="\endash "/>
      <w:numFmt w:val="bullet"/>
      <w:start w:val="1"/>
    </w:lvl>
  </w:abstractNum>
  <w:abstractNum w:abstractNumId="68">
    <w:nsid w:val="288F1A34"/>
    <w:multiLevelType w:val="hybridMultilevel"/>
    <w:lvl w:ilvl="0">
      <w:lvlJc w:val="left"/>
      <w:lvlText w:val="(%1)"/>
      <w:numFmt w:val="lowerLetter"/>
      <w:start w:val="6"/>
    </w:lvl>
    <w:lvl w:ilvl="1">
      <w:lvlJc w:val="left"/>
      <w:lvlText w:val="\endash "/>
      <w:numFmt w:val="bullet"/>
      <w:start w:val="1"/>
    </w:lvl>
  </w:abstractNum>
  <w:abstractNum w:abstractNumId="69">
    <w:nsid w:val="2A155DBC"/>
    <w:multiLevelType w:val="hybridMultilevel"/>
    <w:lvl w:ilvl="0">
      <w:lvlJc w:val="left"/>
      <w:lvlText w:val="%1"/>
      <w:numFmt w:val="lowerLetter"/>
      <w:start w:val="1"/>
    </w:lvl>
    <w:lvl w:ilvl="1">
      <w:lvlJc w:val="left"/>
      <w:lvlText w:val="(%2)"/>
      <w:numFmt w:val="lowerLetter"/>
      <w:start w:val="11"/>
    </w:lvl>
    <w:lvl w:ilvl="2">
      <w:lvlJc w:val="left"/>
      <w:lvlText w:val="\endash "/>
      <w:numFmt w:val="bullet"/>
      <w:start w:val="1"/>
    </w:lvl>
  </w:abstractNum>
  <w:abstractNum w:abstractNumId="70">
    <w:nsid w:val="1D9F6E5F"/>
    <w:multiLevelType w:val="hybridMultilevel"/>
    <w:lvl w:ilvl="0">
      <w:lvlJc w:val="left"/>
      <w:lvlText w:val="(%1)"/>
      <w:numFmt w:val="lowerLetter"/>
      <w:start w:val="35"/>
    </w:lvl>
    <w:lvl w:ilvl="1">
      <w:lvlJc w:val="left"/>
      <w:lvlText w:val="(%2)"/>
      <w:numFmt w:val="lowerLetter"/>
      <w:start w:val="13"/>
    </w:lvl>
    <w:lvl w:ilvl="2">
      <w:lvlJc w:val="left"/>
      <w:lvlText w:val="\endash "/>
      <w:numFmt w:val="bullet"/>
      <w:start w:val="1"/>
    </w:lvl>
  </w:abstractNum>
  <w:abstractNum w:abstractNumId="71">
    <w:nsid w:val="97E1B4E"/>
    <w:multiLevelType w:val="hybridMultilevel"/>
    <w:lvl w:ilvl="0">
      <w:lvlJc w:val="left"/>
      <w:lvlText w:val="(%1)"/>
      <w:numFmt w:val="lowerLetter"/>
      <w:start w:val="15"/>
    </w:lvl>
    <w:lvl w:ilvl="1">
      <w:lvlJc w:val="left"/>
      <w:lvlText w:val="\endash "/>
      <w:numFmt w:val="bullet"/>
      <w:start w:val="1"/>
    </w:lvl>
  </w:abstractNum>
  <w:abstractNum w:abstractNumId="72">
    <w:nsid w:val="51088277"/>
    <w:multiLevelType w:val="hybridMultilevel"/>
    <w:lvl w:ilvl="0">
      <w:lvlJc w:val="left"/>
      <w:lvlText w:val="(%1)"/>
      <w:numFmt w:val="lowerLetter"/>
      <w:start w:val="18"/>
    </w:lvl>
    <w:lvl w:ilvl="1">
      <w:lvlJc w:val="left"/>
      <w:lvlText w:val="\endash "/>
      <w:numFmt w:val="bullet"/>
      <w:start w:val="1"/>
    </w:lvl>
  </w:abstractNum>
  <w:abstractNum w:abstractNumId="73">
    <w:nsid w:val="1CA0C5FA"/>
    <w:multiLevelType w:val="hybridMultilevel"/>
    <w:lvl w:ilvl="0">
      <w:lvlJc w:val="left"/>
      <w:lvlText w:val="(%1)"/>
      <w:numFmt w:val="lowerLetter"/>
      <w:start w:val="23"/>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25"/>
    </w:lvl>
  </w:abstractNum>
  <w:abstractNum w:abstractNumId="77">
    <w:nsid w:val="23D86AAC"/>
    <w:multiLevelType w:val="hybridMultilevel"/>
    <w:lvl w:ilvl="0">
      <w:lvlJc w:val="left"/>
      <w:lvlText w:val="(%1)"/>
      <w:numFmt w:val="lowerLetter"/>
      <w:start w:val="1"/>
    </w:lvl>
    <w:lvl w:ilvl="1">
      <w:lvlJc w:val="left"/>
      <w:lvlText w:val="\endash "/>
      <w:numFmt w:val="bullet"/>
      <w:start w:val="1"/>
    </w:lvl>
  </w:abstractNum>
  <w:abstractNum w:abstractNumId="78">
    <w:nsid w:val="45E6D486"/>
    <w:multiLevelType w:val="hybridMultilevel"/>
    <w:lvl w:ilvl="0">
      <w:lvlJc w:val="left"/>
      <w:lvlText w:val="%1"/>
      <w:numFmt w:val="lowerRoman"/>
      <w:start w:val="1"/>
    </w:lvl>
    <w:lvl w:ilvl="1">
      <w:lvlJc w:val="left"/>
      <w:lvlText w:val="(%2)"/>
      <w:numFmt w:val="lowerLetter"/>
      <w:start w:val="3"/>
    </w:lvl>
    <w:lvl w:ilvl="2">
      <w:lvlJc w:val="left"/>
      <w:lvlText w:val="\endash "/>
      <w:numFmt w:val="bullet"/>
      <w:start w:val="1"/>
    </w:lvl>
  </w:abstractNum>
  <w:abstractNum w:abstractNumId="79">
    <w:nsid w:val="5C10FE21"/>
    <w:multiLevelType w:val="hybridMultilevel"/>
    <w:lvl w:ilvl="0">
      <w:lvlJc w:val="left"/>
      <w:lvlText w:val="(%1)"/>
      <w:numFmt w:val="lowerRoman"/>
      <w:start w:val="4"/>
    </w:lvl>
    <w:lvl w:ilvl="1">
      <w:lvlJc w:val="left"/>
      <w:lvlText w:val="(%2)"/>
      <w:numFmt w:val="lowerLetter"/>
      <w:start w:val="5"/>
    </w:lvl>
    <w:lvl w:ilvl="2">
      <w:lvlJc w:val="left"/>
      <w:lvlText w:val="\endash "/>
      <w:numFmt w:val="bullet"/>
      <w:start w:val="1"/>
    </w:lvl>
  </w:abstractNum>
  <w:abstractNum w:abstractNumId="80">
    <w:nsid w:val="E7FFA2B"/>
    <w:multiLevelType w:val="hybridMultilevel"/>
    <w:lvl w:ilvl="0">
      <w:lvlJc w:val="left"/>
      <w:lvlText w:val="(%1)"/>
      <w:numFmt w:val="lowerLetter"/>
      <w:start w:val="8"/>
    </w:lvl>
  </w:abstractNum>
  <w:abstractNum w:abstractNumId="81">
    <w:nsid w:val="3C5991AA"/>
    <w:multiLevelType w:val="hybridMultilevel"/>
    <w:lvl w:ilvl="0">
      <w:lvlJc w:val="left"/>
      <w:lvlText w:val="(%1)"/>
      <w:numFmt w:val="lowerLetter"/>
      <w:start w:val="1"/>
    </w:lvl>
    <w:lvl w:ilvl="1">
      <w:lvlJc w:val="left"/>
      <w:lvlText w:val="\endash "/>
      <w:numFmt w:val="bullet"/>
      <w:start w:val="1"/>
    </w:lvl>
  </w:abstractNum>
  <w:abstractNum w:abstractNumId="82">
    <w:nsid w:val="4BD8591A"/>
    <w:multiLevelType w:val="hybridMultilevel"/>
    <w:lvl w:ilvl="0">
      <w:lvlJc w:val="left"/>
      <w:lvlText w:val="(%1)"/>
      <w:numFmt w:val="lowerLetter"/>
      <w:start w:val="2"/>
    </w:lvl>
    <w:lvl w:ilvl="1">
      <w:lvlJc w:val="left"/>
      <w:lvlText w:val="\endash "/>
      <w:numFmt w:val="bullet"/>
      <w:start w:val="1"/>
    </w:lvl>
  </w:abstractNum>
  <w:abstractNum w:abstractNumId="83">
    <w:nsid w:val="78DF6A55"/>
    <w:multiLevelType w:val="hybridMultilevel"/>
    <w:lvl w:ilvl="0">
      <w:lvlJc w:val="left"/>
      <w:lvlText w:val="%1"/>
      <w:numFmt w:val="decimal"/>
      <w:start w:val="1"/>
    </w:lvl>
    <w:lvl w:ilvl="1">
      <w:lvlJc w:val="left"/>
      <w:lvlText w:val="(%2)"/>
      <w:numFmt w:val="lowerLetter"/>
      <w:start w:val="1"/>
    </w:lvl>
    <w:lvl w:ilvl="2">
      <w:lvlJc w:val="left"/>
      <w:lvlText w:val="\endash "/>
      <w:numFmt w:val="bullet"/>
      <w:start w:val="1"/>
    </w:lvl>
  </w:abstractNum>
  <w:abstractNum w:abstractNumId="84">
    <w:nsid w:val="39B7AAA2"/>
    <w:multiLevelType w:val="hybridMultilevel"/>
    <w:lvl w:ilvl="0">
      <w:lvlJc w:val="left"/>
      <w:lvlText w:val="(%1)"/>
      <w:numFmt w:val="decimal"/>
      <w:start w:val="3"/>
    </w:lvl>
    <w:lvl w:ilvl="1">
      <w:lvlJc w:val="left"/>
      <w:lvlText w:val="(%2)"/>
      <w:numFmt w:val="lowerLetter"/>
      <w:start w:val="2"/>
    </w:lvl>
    <w:lvl w:ilvl="2">
      <w:lvlJc w:val="left"/>
      <w:lvlText w:val="\endash "/>
      <w:numFmt w:val="bullet"/>
      <w:start w:val="1"/>
    </w:lvl>
  </w:abstractNum>
  <w:abstractNum w:abstractNumId="85">
    <w:nsid w:val="2B0D8DBE"/>
    <w:multiLevelType w:val="hybridMultilevel"/>
    <w:lvl w:ilvl="0">
      <w:lvlJc w:val="left"/>
      <w:lvlText w:val="(%1)"/>
      <w:numFmt w:val="lowerLetter"/>
      <w:start w:val="6"/>
    </w:lvl>
  </w:abstractNum>
  <w:abstractNum w:abstractNumId="86">
    <w:nsid w:val="6C80EC70"/>
    <w:multiLevelType w:val="hybridMultilevel"/>
    <w:lvl w:ilvl="0">
      <w:lvlJc w:val="left"/>
      <w:lvlText w:val="(%1)"/>
      <w:numFmt w:val="lowerLetter"/>
      <w:start w:val="1"/>
    </w:lvl>
    <w:lvl w:ilvl="1">
      <w:lvlJc w:val="left"/>
      <w:lvlText w:val="\endash "/>
      <w:numFmt w:val="bullet"/>
      <w:start w:val="1"/>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lowerLetter"/>
      <w:start w:val="1"/>
    </w:lvl>
    <w:lvl w:ilvl="1">
      <w:lvlJc w:val="left"/>
      <w:lvlText w:val="\endash "/>
      <w:numFmt w:val="bullet"/>
      <w:start w:val="1"/>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lowerLetter"/>
      <w:start w:val="1"/>
    </w:lvl>
    <w:lvl w:ilvl="1">
      <w:lvlJc w:val="left"/>
      <w:lvlText w:val="\endash "/>
      <w:numFmt w:val="bullet"/>
      <w:start w:val="1"/>
    </w:lvl>
  </w:abstractNum>
  <w:abstractNum w:abstractNumId="91">
    <w:nsid w:val="6AA7B75C"/>
    <w:multiLevelType w:val="hybridMultilevel"/>
    <w:lvl w:ilvl="0">
      <w:lvlJc w:val="left"/>
      <w:lvlText w:val="(%1)"/>
      <w:numFmt w:val="lowerLetter"/>
      <w:start w:val="2"/>
    </w:lvl>
  </w:abstractNum>
  <w:abstractNum w:abstractNumId="92">
    <w:nsid w:val="1DF029D3"/>
    <w:multiLevelType w:val="hybridMultilevel"/>
    <w:lvl w:ilvl="0">
      <w:lvlJc w:val="left"/>
      <w:lvlText w:val="(%1)"/>
      <w:numFmt w:val="lowerLetter"/>
      <w:start w:val="1"/>
    </w:lvl>
    <w:lvl w:ilvl="1">
      <w:lvlJc w:val="left"/>
      <w:lvlText w:val="\endash "/>
      <w:numFmt w:val="bullet"/>
      <w:start w:val="1"/>
    </w:lvl>
  </w:abstractNum>
  <w:abstractNum w:abstractNumId="93">
    <w:nsid w:val="5675FF36"/>
    <w:multiLevelType w:val="hybridMultilevel"/>
    <w:lvl w:ilvl="0">
      <w:lvlJc w:val="left"/>
      <w:lvlText w:val="(%1)"/>
      <w:numFmt w:val="lowerLetter"/>
      <w:start w:val="4"/>
    </w:lvl>
    <w:lvl w:ilvl="1">
      <w:lvlJc w:val="left"/>
      <w:lvlText w:val="(%2)"/>
      <w:numFmt w:val="lowerRoman"/>
      <w:start w:val="1"/>
    </w:lvl>
  </w:abstractNum>
  <w:abstractNum w:abstractNumId="94">
    <w:nsid w:val="3DD15094"/>
    <w:multiLevelType w:val="hybridMultilevel"/>
    <w:lvl w:ilvl="0">
      <w:lvlJc w:val="left"/>
      <w:lvlText w:val="(%1)"/>
      <w:numFmt w:val="lowerLetter"/>
      <w:start w:val="6"/>
    </w:lvl>
    <w:lvl w:ilvl="1">
      <w:lvlJc w:val="left"/>
      <w:lvlText w:val="\endash "/>
      <w:numFmt w:val="bullet"/>
      <w:start w:val="1"/>
    </w:lvl>
  </w:abstractNum>
  <w:abstractNum w:abstractNumId="95">
    <w:nsid w:val="3DB012B3"/>
    <w:multiLevelType w:val="hybridMultilevel"/>
    <w:lvl w:ilvl="0">
      <w:lvlJc w:val="left"/>
      <w:lvlText w:val="(%1)"/>
      <w:numFmt w:val="lowerLetter"/>
      <w:start w:val="10"/>
    </w:lvl>
    <w:lvl w:ilvl="1">
      <w:lvlJc w:val="left"/>
      <w:lvlText w:val="(%2)"/>
      <w:numFmt w:val="lowerRoman"/>
      <w:start w:val="1"/>
    </w:lvl>
    <w:lvl w:ilvl="2">
      <w:lvlJc w:val="left"/>
      <w:lvlText w:val="\endash "/>
      <w:numFmt w:val="bullet"/>
      <w:start w:val="1"/>
    </w:lvl>
  </w:abstractNum>
  <w:abstractNum w:abstractNumId="96">
    <w:nsid w:val="2708C9AF"/>
    <w:multiLevelType w:val="hybridMultilevel"/>
    <w:lvl w:ilvl="0">
      <w:lvlJc w:val="left"/>
      <w:lvlText w:val="(%1)"/>
      <w:numFmt w:val="lowerRoman"/>
      <w:start w:val="2"/>
    </w:lvl>
  </w:abstractNum>
  <w:abstractNum w:abstractNumId="97">
    <w:nsid w:val="5B25ACE2"/>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98">
    <w:nsid w:val="175DFCF0"/>
    <w:multiLevelType w:val="hybridMultilevel"/>
    <w:lvl w:ilvl="0">
      <w:lvlJc w:val="left"/>
      <w:lvlText w:val="(%1)"/>
      <w:numFmt w:val="lowerLetter"/>
      <w:start w:val="2"/>
    </w:lvl>
  </w:abstractNum>
  <w:abstractNum w:abstractNumId="99">
    <w:nsid w:val="4F97E3E4"/>
    <w:multiLevelType w:val="hybridMultilevel"/>
    <w:lvl w:ilvl="0">
      <w:lvlJc w:val="left"/>
      <w:lvlText w:val="(%1)"/>
      <w:numFmt w:val="lowerLetter"/>
      <w:start w:val="1"/>
    </w:lvl>
    <w:lvl w:ilvl="1">
      <w:lvlJc w:val="left"/>
      <w:lvlText w:val="\endash "/>
      <w:numFmt w:val="bullet"/>
      <w:start w:val="1"/>
    </w:lvl>
  </w:abstractNum>
  <w:abstractNum w:abstractNumId="100">
    <w:nsid w:val="53B0A9E"/>
    <w:multiLevelType w:val="hybridMultilevel"/>
    <w:lvl w:ilvl="0">
      <w:lvlJc w:val="left"/>
      <w:lvlText w:val="(%1)"/>
      <w:numFmt w:val="lowerLetter"/>
      <w:start w:val="7"/>
    </w:lvl>
  </w:abstractNum>
  <w:abstractNum w:abstractNumId="101">
    <w:nsid w:val="34FD6B4F"/>
    <w:multiLevelType w:val="hybridMultilevel"/>
    <w:lvl w:ilvl="0">
      <w:lvlJc w:val="left"/>
      <w:lvlText w:val="(%1)"/>
      <w:numFmt w:val="lowerLetter"/>
      <w:start w:val="1"/>
    </w:lvl>
    <w:lvl w:ilvl="1">
      <w:lvlJc w:val="left"/>
      <w:lvlText w:val="\endash "/>
      <w:numFmt w:val="bullet"/>
      <w:start w:val="1"/>
    </w:lvl>
  </w:abstractNum>
  <w:abstractNum w:abstractNumId="102">
    <w:nsid w:val="5915FF32"/>
    <w:multiLevelType w:val="hybridMultilevel"/>
    <w:lvl w:ilvl="0">
      <w:lvlJc w:val="left"/>
      <w:lvlText w:val="(%1)"/>
      <w:numFmt w:val="lowerLetter"/>
      <w:start w:val="5"/>
    </w:lvl>
  </w:abstractNum>
  <w:abstractNum w:abstractNumId="103">
    <w:nsid w:val="56438D15"/>
    <w:multiLevelType w:val="hybridMultilevel"/>
    <w:lvl w:ilvl="0">
      <w:lvlJc w:val="left"/>
      <w:lvlText w:val="(%1)"/>
      <w:numFmt w:val="lowerLetter"/>
      <w:start w:val="1"/>
    </w:lvl>
    <w:lvl w:ilvl="1">
      <w:lvlJc w:val="left"/>
      <w:lvlText w:val="\endash "/>
      <w:numFmt w:val="bullet"/>
      <w:start w:val="1"/>
    </w:lvl>
  </w:abstractNum>
  <w:abstractNum w:abstractNumId="104">
    <w:nsid w:val="519E3149"/>
    <w:multiLevelType w:val="hybridMultilevel"/>
    <w:lvl w:ilvl="0">
      <w:lvlJc w:val="left"/>
      <w:lvlText w:val="(%1)"/>
      <w:numFmt w:val="lowerLetter"/>
      <w:start w:val="3"/>
    </w:lvl>
  </w:abstractNum>
  <w:abstractNum w:abstractNumId="105">
    <w:nsid w:val="2C6E4AFD"/>
    <w:multiLevelType w:val="hybridMultilevel"/>
    <w:lvl w:ilvl="0">
      <w:lvlJc w:val="left"/>
      <w:lvlText w:val="(%1)"/>
      <w:numFmt w:val="lowerLetter"/>
      <w:start w:val="1"/>
    </w:lvl>
    <w:lvl w:ilvl="1">
      <w:lvlJc w:val="left"/>
      <w:lvlText w:val="\endash "/>
      <w:numFmt w:val="bullet"/>
      <w:start w:val="1"/>
    </w:lvl>
  </w:abstractNum>
  <w:abstractNum w:abstractNumId="106">
    <w:nsid w:val="17A1B582"/>
    <w:multiLevelType w:val="hybridMultilevel"/>
    <w:lvl w:ilvl="0">
      <w:lvlJc w:val="left"/>
      <w:lvlText w:val="(%1)"/>
      <w:numFmt w:val="lowerLetter"/>
      <w:start w:val="22"/>
    </w:lvl>
    <w:lvl w:ilvl="1">
      <w:lvlJc w:val="left"/>
      <w:lvlText w:val="%2"/>
      <w:numFmt w:val="lowerLetter"/>
      <w:start w:val="1"/>
    </w:lvl>
    <w:lvl w:ilvl="2">
      <w:lvlJc w:val="left"/>
      <w:lvlText w:val="\endash "/>
      <w:numFmt w:val="bullet"/>
      <w:start w:val="1"/>
    </w:lvl>
  </w:abstractNum>
  <w:abstractNum w:abstractNumId="107">
    <w:nsid w:val="4DF72E4E"/>
    <w:multiLevelType w:val="hybridMultilevel"/>
    <w:lvl w:ilvl="0">
      <w:lvlJc w:val="left"/>
      <w:lvlText w:val="(%1)"/>
      <w:numFmt w:val="lowerLetter"/>
      <w:start w:val="5"/>
    </w:lvl>
    <w:lvl w:ilvl="1">
      <w:lvlJc w:val="left"/>
      <w:lvlText w:val="(%2)"/>
      <w:numFmt w:val="lowerLetter"/>
      <w:start w:val="4"/>
    </w:lvl>
    <w:lvl w:ilvl="2">
      <w:lvlJc w:val="left"/>
      <w:lvlText w:val="\endash "/>
      <w:numFmt w:val="bullet"/>
      <w:start w:val="1"/>
    </w:lvl>
  </w:abstractNum>
  <w:abstractNum w:abstractNumId="108">
    <w:nsid w:val="5046B5A9"/>
    <w:multiLevelType w:val="hybridMultilevel"/>
    <w:lvl w:ilvl="0">
      <w:lvlJc w:val="left"/>
      <w:lvlText w:val="(%1)"/>
      <w:numFmt w:val="lowerLetter"/>
      <w:start w:val="5"/>
    </w:lvl>
    <w:lvl w:ilvl="1">
      <w:lvlJc w:val="left"/>
      <w:lvlText w:val="\endash "/>
      <w:numFmt w:val="bullet"/>
      <w:start w:val="1"/>
    </w:lvl>
  </w:abstractNum>
  <w:abstractNum w:abstractNumId="109">
    <w:nsid w:val="5D888A08"/>
    <w:multiLevelType w:val="hybridMultilevel"/>
    <w:lvl w:ilvl="0">
      <w:lvlJc w:val="left"/>
      <w:lvlText w:val="%1"/>
      <w:numFmt w:val="lowerLetter"/>
      <w:start w:val="1"/>
    </w:lvl>
    <w:lvl w:ilvl="1">
      <w:lvlJc w:val="left"/>
      <w:lvlText w:val="(%2)"/>
      <w:numFmt w:val="lowerLetter"/>
      <w:start w:val="6"/>
    </w:lvl>
    <w:lvl w:ilvl="2">
      <w:lvlJc w:val="left"/>
      <w:lvlText w:val="\endash "/>
      <w:numFmt w:val="bullet"/>
      <w:start w:val="1"/>
    </w:lvl>
  </w:abstractNum>
  <w:abstractNum w:abstractNumId="110">
    <w:nsid w:val="2A082C70"/>
    <w:multiLevelType w:val="hybridMultilevel"/>
    <w:lvl w:ilvl="0">
      <w:lvlJc w:val="left"/>
      <w:lvlText w:val="(%1)"/>
      <w:numFmt w:val="lowerLetter"/>
      <w:start w:val="61"/>
    </w:lvl>
    <w:lvl w:ilvl="1">
      <w:lvlJc w:val="left"/>
      <w:lvlText w:val="(%2)"/>
      <w:numFmt w:val="lowerLetter"/>
      <w:start w:val="7"/>
    </w:lvl>
    <w:lvl w:ilvl="2">
      <w:lvlJc w:val="left"/>
      <w:lvlText w:val="\endash "/>
      <w:numFmt w:val="bullet"/>
      <w:start w:val="1"/>
    </w:lvl>
  </w:abstractNum>
  <w:abstractNum w:abstractNumId="111">
    <w:nsid w:val="5EC6AFD4"/>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112">
    <w:nsid w:val="19E21BB2"/>
    <w:multiLevelType w:val="hybridMultilevel"/>
    <w:lvl w:ilvl="0">
      <w:lvlJc w:val="left"/>
      <w:lvlText w:val="%1"/>
      <w:numFmt w:val="lowerLetter"/>
      <w:start w:val="1"/>
    </w:lvl>
    <w:lvl w:ilvl="1">
      <w:lvlJc w:val="left"/>
      <w:lvlText w:val="(%2)"/>
      <w:numFmt w:val="lowerRoman"/>
      <w:start w:val="7"/>
    </w:lvl>
  </w:abstractNum>
  <w:abstractNum w:abstractNumId="113">
    <w:nsid w:val="75E0858A"/>
    <w:multiLevelType w:val="hybridMultilevel"/>
    <w:lvl w:ilvl="0">
      <w:lvlJc w:val="left"/>
      <w:lvlText w:val="(%1)"/>
      <w:numFmt w:val="lowerLetter"/>
      <w:start w:val="3"/>
    </w:lvl>
    <w:lvl w:ilvl="1">
      <w:lvlJc w:val="left"/>
      <w:lvlText w:val="%2"/>
      <w:numFmt w:val="lowerRoman"/>
      <w:start w:val="1"/>
    </w:lvl>
  </w:abstractNum>
  <w:abstractNum w:abstractNumId="114">
    <w:nsid w:val="57A61A29"/>
    <w:multiLevelType w:val="hybridMultilevel"/>
    <w:lvl w:ilvl="0">
      <w:lvlJc w:val="left"/>
      <w:lvlText w:val="(%1)"/>
      <w:numFmt w:val="lowerLetter"/>
      <w:start w:val="1"/>
    </w:lvl>
    <w:lvl w:ilvl="1">
      <w:lvlJc w:val="left"/>
      <w:lvlText w:val="\endash "/>
      <w:numFmt w:val="bullet"/>
      <w:start w:val="1"/>
    </w:lvl>
  </w:abstractNum>
  <w:abstractNum w:abstractNumId="115">
    <w:nsid w:val="5399C654"/>
    <w:multiLevelType w:val="hybridMultilevel"/>
    <w:lvl w:ilvl="0">
      <w:lvlJc w:val="left"/>
      <w:lvlText w:val="(%1)"/>
      <w:numFmt w:val="lowerLetter"/>
      <w:start w:val="35"/>
    </w:lvl>
    <w:lvl w:ilvl="1">
      <w:lvlJc w:val="left"/>
      <w:lvlText w:val="(%2)"/>
      <w:numFmt w:val="lowerLetter"/>
      <w:start w:val="2"/>
    </w:lvl>
    <w:lvl w:ilvl="2">
      <w:lvlJc w:val="left"/>
      <w:lvlText w:val="\endash "/>
      <w:numFmt w:val="bullet"/>
      <w:start w:val="1"/>
    </w:lvl>
  </w:abstractNum>
  <w:abstractNum w:abstractNumId="116">
    <w:nsid w:val="20EE1348"/>
    <w:multiLevelType w:val="hybridMultilevel"/>
    <w:lvl w:ilvl="0">
      <w:lvlJc w:val="left"/>
      <w:lvlText w:val="(%1)"/>
      <w:numFmt w:val="lowerLetter"/>
      <w:start w:val="3"/>
    </w:lvl>
    <w:lvl w:ilvl="1">
      <w:lvlJc w:val="left"/>
      <w:lvlText w:val="\endash "/>
      <w:numFmt w:val="bullet"/>
      <w:start w:val="1"/>
    </w:lvl>
  </w:abstractNum>
  <w:abstractNum w:abstractNumId="117">
    <w:nsid w:val="4427069A"/>
    <w:multiLevelType w:val="hybridMultilevel"/>
    <w:lvl w:ilvl="0">
      <w:lvlJc w:val="left"/>
      <w:lvlText w:val="(%1)"/>
      <w:numFmt w:val="lowerLetter"/>
      <w:start w:val="7"/>
    </w:lvl>
  </w:abstractNum>
  <w:abstractNum w:abstractNumId="118">
    <w:nsid w:val="B37E80A"/>
    <w:multiLevelType w:val="hybridMultilevel"/>
    <w:lvl w:ilvl="0">
      <w:lvlJc w:val="left"/>
      <w:lvlText w:val="(%1)"/>
      <w:numFmt w:val="lowerRoman"/>
      <w:start w:val="1"/>
    </w:lvl>
  </w:abstractNum>
  <w:abstractNum w:abstractNumId="119">
    <w:nsid w:val="2157F6BC"/>
    <w:multiLevelType w:val="hybridMultilevel"/>
    <w:lvl w:ilvl="0">
      <w:lvlJc w:val="left"/>
      <w:lvlText w:val="(%1)"/>
      <w:numFmt w:val="lowerLetter"/>
      <w:start w:val="2"/>
    </w:lvl>
  </w:abstractNum>
  <w:abstractNum w:abstractNumId="120">
    <w:nsid w:val="704E1DD5"/>
    <w:multiLevelType w:val="hybridMultilevel"/>
    <w:lvl w:ilvl="0">
      <w:lvlJc w:val="left"/>
      <w:lvlText w:val="(%1)"/>
      <w:numFmt w:val="lowerLetter"/>
      <w:start w:val="4"/>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3"/>
    </w:lvl>
    <w:lvl w:ilvl="1">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1."/>
      <w:numFmt w:val="decimal"/>
      <w:start w:val="4"/>
    </w:lvl>
  </w:abstractNum>
  <w:abstractNum w:abstractNumId="125">
    <w:nsid w:val="49D0FEAC"/>
    <w:multiLevelType w:val="hybridMultilevel"/>
    <w:lvl w:ilvl="0">
      <w:lvlJc w:val="left"/>
      <w:lvlText w:val="%1."/>
      <w:numFmt w:val="decimal"/>
      <w:start w:val="5"/>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1."/>
      <w:numFmt w:val="decimal"/>
      <w:start w:val="2"/>
    </w:lvl>
  </w:abstractNum>
  <w:abstractNum w:abstractNumId="128">
    <w:nsid w:val="24F6AB8E"/>
    <w:multiLevelType w:val="hybridMultilevel"/>
    <w:lvl w:ilvl="0">
      <w:lvlJc w:val="left"/>
      <w:lvlText w:val="%1."/>
      <w:numFmt w:val="decimal"/>
      <w:start w:val="5"/>
    </w:lvl>
    <w:lvl w:ilvl="1">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1."/>
      <w:numFmt w:val="decimal"/>
      <w:start w:val="1"/>
    </w:lvl>
  </w:abstractNum>
  <w:abstractNum w:abstractNumId="131">
    <w:nsid w:val="2A31B62D"/>
    <w:multiLevelType w:val="hybridMultilevel"/>
    <w:lvl w:ilvl="0">
      <w:lvlJc w:val="left"/>
      <w:lvlText w:val="%1."/>
      <w:numFmt w:val="decimal"/>
      <w:start w:val="3"/>
    </w:lvl>
  </w:abstractNum>
  <w:abstractNum w:abstractNumId="132">
    <w:nsid w:val="1849C29B"/>
    <w:multiLevelType w:val="hybridMultilevel"/>
    <w:lvl w:ilvl="0">
      <w:lvlJc w:val="left"/>
      <w:lvlText w:val="%1."/>
      <w:numFmt w:val="decimal"/>
      <w:start w:val="1"/>
    </w:lvl>
  </w:abstractNum>
  <w:abstractNum w:abstractNumId="133">
    <w:nsid w:val="7DFF9D09"/>
    <w:multiLevelType w:val="hybridMultilevel"/>
    <w:lvl w:ilvl="0">
      <w:lvlJc w:val="left"/>
      <w:lvlText w:val="%1."/>
      <w:numFmt w:val="decimal"/>
      <w:start w:val="2"/>
    </w:lvl>
  </w:abstractNum>
  <w:abstractNum w:abstractNumId="134">
    <w:nsid w:val="754342"/>
    <w:multiLevelType w:val="hybridMultilevel"/>
    <w:lvl w:ilvl="0">
      <w:lvlJc w:val="left"/>
      <w:lvlText w:val="%1."/>
      <w:numFmt w:val="decimal"/>
      <w:start w:val="3"/>
    </w:lvl>
  </w:abstractNum>
  <w:abstractNum w:abstractNumId="135">
    <w:nsid w:val="69E7F3E5"/>
    <w:multiLevelType w:val="hybridMultilevel"/>
    <w:lvl w:ilvl="0">
      <w:lvlJc w:val="left"/>
      <w:lvlText w:val="4"/>
      <w:numFmt w:val="bullet"/>
      <w:start w:val="1"/>
    </w:lvl>
  </w:abstractNum>
  <w:abstractNum w:abstractNumId="136">
    <w:nsid w:val="2A6DE806"/>
    <w:multiLevelType w:val="hybridMultilevel"/>
    <w:lvl w:ilvl="0">
      <w:lvlJc w:val="left"/>
      <w:lvlText w:val="%1."/>
      <w:numFmt w:val="decimal"/>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decimal"/>
      <w:start w:val="5"/>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1)"/>
      <w:numFmt w:val="lowerLetter"/>
      <w:start w:val="3"/>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lowerLetter"/>
      <w:start w:val="1"/>
    </w:lvl>
  </w:abstractNum>
  <w:abstractNum w:abstractNumId="143">
    <w:nsid w:val="F819E7F"/>
    <w:multiLevelType w:val="hybridMultilevel"/>
    <w:lvl w:ilvl="0">
      <w:lvlJc w:val="left"/>
      <w:lvlText w:val="(%1)"/>
      <w:numFmt w:val="lowerLetter"/>
      <w:start w:val="2"/>
    </w:lvl>
  </w:abstractNum>
  <w:abstractNum w:abstractNumId="144">
    <w:nsid w:val="57C7D42D"/>
    <w:multiLevelType w:val="hybridMultilevel"/>
    <w:lvl w:ilvl="0">
      <w:lvlJc w:val="left"/>
      <w:lvlText w:val="(%1)"/>
      <w:numFmt w:val="lowerLetter"/>
      <w:start w:val="24"/>
    </w:lvl>
    <w:lvl w:ilvl="1">
      <w:lvlJc w:val="left"/>
      <w:lvlText w:val="(%2)"/>
      <w:numFmt w:val="lowerLetter"/>
      <w:start w:val="2"/>
    </w:lvl>
  </w:abstractNum>
  <w:abstractNum w:abstractNumId="145">
    <w:nsid w:val="312167AD"/>
    <w:multiLevelType w:val="hybridMultilevel"/>
    <w:lvl w:ilvl="0">
      <w:lvlJc w:val="left"/>
      <w:lvlText w:val="(%1)"/>
      <w:numFmt w:val="lowerLetter"/>
      <w:start w:val="1"/>
    </w:lvl>
  </w:abstractNum>
  <w:abstractNum w:abstractNumId="146">
    <w:nsid w:val="631B64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2019-12-13T00:56:06Z</dcterms:created>
  <dcterms:modified xsi:type="dcterms:W3CDTF">2019-12-13T00:56:06Z</dcterms:modified>
</cp:coreProperties>
</file>