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700" w:right="3779" w:hanging="257"/>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June 30, 1998</w:t>
      </w:r>
    </w:p>
    <w:p>
      <w:pPr>
        <w:spacing w:after="0" w:line="200" w:lineRule="exact"/>
        <w:rPr>
          <w:sz w:val="24"/>
          <w:szCs w:val="24"/>
          <w:color w:val="auto"/>
        </w:rPr>
      </w:pPr>
    </w:p>
    <w:p>
      <w:pPr>
        <w:spacing w:after="0" w:line="291"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600"/>
            <w:col w:w="1340" w:space="720"/>
            <w:col w:w="4979"/>
          </w:cols>
          <w:pgMar w:left="220" w:top="561" w:right="1440" w:bottom="1440" w:gutter="0" w:footer="0" w:header="0"/>
          <w:type w:val="continuous"/>
        </w:sectPr>
      </w:pPr>
    </w:p>
    <w:p>
      <w:pPr>
        <w:spacing w:after="0" w:line="138" w:lineRule="exact"/>
        <w:rPr>
          <w:sz w:val="24"/>
          <w:szCs w:val="24"/>
          <w:color w:val="auto"/>
        </w:rPr>
      </w:pPr>
    </w:p>
    <w:p>
      <w:pPr>
        <w:jc w:val="both"/>
        <w:ind w:left="860"/>
        <w:spacing w:after="0" w:line="252"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4"/>
          <w:szCs w:val="24"/>
          <w:color w:val="auto"/>
        </w:rPr>
      </w:pPr>
    </w:p>
    <w:p>
      <w:pPr>
        <w:sectPr>
          <w:pgSz w:w="11900" w:h="16838" w:orient="portrait"/>
          <w:cols w:equalWidth="0" w:num="2">
            <w:col w:w="4920" w:space="340"/>
            <w:col w:w="4979"/>
          </w:cols>
          <w:pgMar w:left="220" w:top="561" w:right="1440" w:bottom="1440" w:gutter="0" w:footer="0" w:header="0"/>
          <w:type w:val="continuous"/>
        </w:sectPr>
      </w:pPr>
    </w:p>
    <w:p>
      <w:pPr>
        <w:spacing w:after="0" w:line="129" w:lineRule="exact"/>
        <w:rPr>
          <w:sz w:val="24"/>
          <w:szCs w:val="24"/>
          <w:color w:val="auto"/>
        </w:rPr>
      </w:pPr>
    </w:p>
    <w:p>
      <w:pPr>
        <w:ind w:left="700"/>
        <w:spacing w:after="0"/>
        <w:tabs>
          <w:tab w:leader="none" w:pos="516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128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679" w:firstLine="1206"/>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June 30, 1998.</w:t>
      </w:r>
    </w:p>
    <w:p>
      <w:pPr>
        <w:spacing w:after="0" w:line="32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300" w:hanging="947"/>
        <w:spacing w:after="0"/>
        <w:tabs>
          <w:tab w:leader="none" w:pos="13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June 30, 1998</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6,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180"/>
            <w:col w:w="2880" w:space="720"/>
            <w:col w:w="60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640" w:space="720"/>
            <w:col w:w="401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June 30,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660" w:space="720"/>
            <w:col w:w="385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June 30, 1998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340" w:type="dxa"/>
            <w:vAlign w:val="bottom"/>
          </w:tcPr>
          <w:p>
            <w:pPr>
              <w:jc w:val="right"/>
              <w:ind w:right="534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00" w:type="dxa"/>
            <w:vAlign w:val="bottom"/>
          </w:tcPr>
          <w:p>
            <w:pPr>
              <w:spacing w:after="0"/>
              <w:rPr>
                <w:sz w:val="14"/>
                <w:szCs w:val="14"/>
                <w:color w:val="auto"/>
              </w:rPr>
            </w:pPr>
          </w:p>
        </w:tc>
        <w:tc>
          <w:tcPr>
            <w:tcW w:w="634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3160" w:type="dxa"/>
            <w:vAlign w:val="bottom"/>
          </w:tcPr>
          <w:p>
            <w:pPr>
              <w:jc w:val="right"/>
              <w:spacing w:after="0"/>
              <w:rPr>
                <w:sz w:val="20"/>
                <w:szCs w:val="20"/>
                <w:color w:val="auto"/>
              </w:rPr>
            </w:pPr>
            <w:r>
              <w:rPr>
                <w:rFonts w:ascii="Courier New" w:cs="Courier New" w:eastAsia="Courier New" w:hAnsi="Courier New"/>
                <w:sz w:val="10"/>
                <w:szCs w:val="10"/>
                <w:color w:val="auto"/>
                <w:w w:val="72"/>
              </w:rPr>
              <w:t>Press Release...........................................................</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3160" w:type="dxa"/>
            <w:vAlign w:val="bottom"/>
          </w:tcPr>
          <w:p>
            <w:pPr>
              <w:jc w:val="right"/>
              <w:spacing w:after="0"/>
              <w:rPr>
                <w:sz w:val="20"/>
                <w:szCs w:val="20"/>
                <w:color w:val="auto"/>
              </w:rPr>
            </w:pPr>
            <w:r>
              <w:rPr>
                <w:rFonts w:ascii="Courier New" w:cs="Courier New" w:eastAsia="Courier New" w:hAnsi="Courier New"/>
                <w:sz w:val="10"/>
                <w:szCs w:val="10"/>
                <w:color w:val="auto"/>
                <w:w w:val="73"/>
              </w:rPr>
              <w:t>Glossary of Terms......................................................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616"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Balance</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72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Rate</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Loehmanns Plaza</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07/21/98</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9.75%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6,274</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Federal Plaza</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03/10/01</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8.95%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27,854</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Tysons Station</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09/01/01</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9.875%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4,174</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Bristol</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08/01/98</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9.65%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10,674</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31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10/01/16 Variable ##</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9,400</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1"/>
        </w:trPr>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$ 58,376</w:t>
            </w:r>
          </w:p>
        </w:tc>
        <w:tc>
          <w:tcPr>
            <w:tcW w:w="64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497"/>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Revolving credit facilities</w:t>
            </w:r>
          </w:p>
        </w:tc>
        <w:tc>
          <w:tcPr>
            <w:tcW w:w="31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libor +.65%</w:t>
            </w: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$121,000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ind w:left="1300"/>
              <w:spacing w:after="0"/>
              <w:rPr>
                <w:sz w:val="20"/>
                <w:szCs w:val="20"/>
                <w:color w:val="auto"/>
              </w:rPr>
            </w:pPr>
            <w:r>
              <w:rPr>
                <w:rFonts w:ascii="Courier New" w:cs="Courier New" w:eastAsia="Courier New" w:hAnsi="Courier New"/>
                <w:sz w:val="14"/>
                <w:szCs w:val="14"/>
                <w:color w:val="auto"/>
              </w:rPr>
              <w:t>tenant buyout at Queen Anne Plaza</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01/15/06</w:t>
            </w:r>
          </w:p>
        </w:tc>
        <w:tc>
          <w:tcPr>
            <w:tcW w:w="17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8.875%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1,112</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ind w:left="1300"/>
              <w:spacing w:after="0"/>
              <w:rPr>
                <w:sz w:val="20"/>
                <w:szCs w:val="20"/>
                <w:color w:val="auto"/>
              </w:rPr>
            </w:pPr>
            <w:r>
              <w:rPr>
                <w:rFonts w:ascii="Courier New" w:cs="Courier New" w:eastAsia="Courier New" w:hAnsi="Courier New"/>
                <w:sz w:val="14"/>
                <w:szCs w:val="14"/>
                <w:color w:val="auto"/>
              </w:rPr>
              <w:t>renovation of Perring Plaza</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01/31/13</w:t>
            </w:r>
          </w:p>
        </w:tc>
        <w:tc>
          <w:tcPr>
            <w:tcW w:w="17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10.00%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2,738</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various</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various</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229</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1"/>
        </w:trPr>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$125,079</w:t>
            </w:r>
          </w:p>
        </w:tc>
        <w:tc>
          <w:tcPr>
            <w:tcW w:w="64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497"/>
        </w:trPr>
        <w:tc>
          <w:tcPr>
            <w:tcW w:w="518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04/30/02</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289</w:t>
            </w:r>
          </w:p>
        </w:tc>
        <w:tc>
          <w:tcPr>
            <w:tcW w:w="640" w:type="dxa"/>
            <w:vAlign w:val="bottom"/>
          </w:tcPr>
          <w:p>
            <w:pPr>
              <w:spacing w:after="0"/>
              <w:rPr>
                <w:sz w:val="14"/>
                <w:szCs w:val="14"/>
                <w:color w:val="auto"/>
              </w:rPr>
            </w:pPr>
          </w:p>
        </w:tc>
      </w:tr>
      <w:tr>
        <w:trPr>
          <w:trHeight w:val="166"/>
        </w:trPr>
        <w:tc>
          <w:tcPr>
            <w:tcW w:w="5180" w:type="dxa"/>
            <w:vAlign w:val="bottom"/>
          </w:tcPr>
          <w:p>
            <w:pPr>
              <w:ind w:left="1300"/>
              <w:spacing w:after="0"/>
              <w:rPr>
                <w:sz w:val="20"/>
                <w:szCs w:val="20"/>
                <w:color w:val="auto"/>
              </w:rPr>
            </w:pPr>
            <w:r>
              <w:rPr>
                <w:rFonts w:ascii="Courier New" w:cs="Courier New" w:eastAsia="Courier New" w:hAnsi="Courier New"/>
                <w:sz w:val="14"/>
                <w:szCs w:val="14"/>
                <w:color w:val="auto"/>
              </w:rPr>
              <w:t>debentures</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10/28/03</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75,000</w:t>
            </w:r>
          </w:p>
        </w:tc>
        <w:tc>
          <w:tcPr>
            <w:tcW w:w="640" w:type="dxa"/>
            <w:vAlign w:val="bottom"/>
          </w:tcPr>
          <w:p>
            <w:pPr>
              <w:spacing w:after="0"/>
              <w:rPr>
                <w:sz w:val="14"/>
                <w:szCs w:val="14"/>
                <w:color w:val="auto"/>
              </w:rPr>
            </w:pPr>
          </w:p>
        </w:tc>
      </w:tr>
      <w:tr>
        <w:trPr>
          <w:trHeight w:val="166"/>
        </w:trPr>
        <w:tc>
          <w:tcPr>
            <w:tcW w:w="5180" w:type="dxa"/>
            <w:vAlign w:val="bottom"/>
          </w:tcPr>
          <w:p>
            <w:pPr>
              <w:ind w:left="1300"/>
              <w:spacing w:after="0"/>
              <w:rPr>
                <w:sz w:val="20"/>
                <w:szCs w:val="20"/>
                <w:color w:val="auto"/>
              </w:rPr>
            </w:pPr>
            <w:r>
              <w:rPr>
                <w:rFonts w:ascii="Courier New" w:cs="Courier New" w:eastAsia="Courier New" w:hAnsi="Courier New"/>
                <w:sz w:val="14"/>
                <w:szCs w:val="14"/>
                <w:color w:val="auto"/>
              </w:rPr>
              <w:t>debentures</w:t>
            </w: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01/15/00</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8.875%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 *</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01/15/00</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7.530%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8% Notes (fixed)</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04/21/02</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8.000%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6 5/8% Notes (fixed)</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12/01/05</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6.625%</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7.48% Debentures</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08/15/26</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7.480%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6.82% Medium Term Notes</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08/01/27</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6.820%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6.74% Medium Term Notes *</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03/10/06</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6.370%</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39,500</w:t>
            </w:r>
          </w:p>
        </w:tc>
        <w:tc>
          <w:tcPr>
            <w:tcW w:w="640" w:type="dxa"/>
            <w:vAlign w:val="bottom"/>
          </w:tcPr>
          <w:p>
            <w:pPr>
              <w:spacing w:after="0"/>
              <w:rPr>
                <w:sz w:val="14"/>
                <w:szCs w:val="14"/>
                <w:color w:val="auto"/>
              </w:rPr>
            </w:pPr>
          </w:p>
        </w:tc>
      </w:tr>
      <w:tr>
        <w:trPr>
          <w:trHeight w:val="166"/>
        </w:trPr>
        <w:tc>
          <w:tcPr>
            <w:tcW w:w="5180" w:type="dxa"/>
            <w:vAlign w:val="bottom"/>
          </w:tcPr>
          <w:p>
            <w:pPr>
              <w:ind w:left="1120"/>
              <w:spacing w:after="0"/>
              <w:rPr>
                <w:sz w:val="20"/>
                <w:szCs w:val="20"/>
                <w:color w:val="auto"/>
              </w:rPr>
            </w:pPr>
            <w:r>
              <w:rPr>
                <w:rFonts w:ascii="Courier New" w:cs="Courier New" w:eastAsia="Courier New" w:hAnsi="Courier New"/>
                <w:sz w:val="14"/>
                <w:szCs w:val="14"/>
                <w:color w:val="auto"/>
              </w:rPr>
              <w:t>6.99% Medium Term Notes *</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03/10/06</w:t>
            </w:r>
          </w:p>
        </w:tc>
        <w:tc>
          <w:tcPr>
            <w:tcW w:w="1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6.894%</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40,500</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1"/>
        </w:trPr>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$410,289</w:t>
            </w:r>
          </w:p>
        </w:tc>
        <w:tc>
          <w:tcPr>
            <w:tcW w:w="64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1"/>
        </w:trPr>
        <w:tc>
          <w:tcPr>
            <w:tcW w:w="5180" w:type="dxa"/>
            <w:vAlign w:val="bottom"/>
          </w:tcPr>
          <w:p>
            <w:pPr>
              <w:spacing w:after="0"/>
              <w:rPr>
                <w:sz w:val="24"/>
                <w:szCs w:val="24"/>
                <w:color w:val="auto"/>
              </w:rPr>
            </w:pPr>
          </w:p>
        </w:tc>
        <w:tc>
          <w:tcPr>
            <w:tcW w:w="314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Total fixed rate debt</w:t>
            </w: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$463,344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78.04%</w:t>
            </w:r>
          </w:p>
        </w:tc>
      </w:tr>
      <w:tr>
        <w:trPr>
          <w:trHeight w:val="331"/>
        </w:trPr>
        <w:tc>
          <w:tcPr>
            <w:tcW w:w="5180" w:type="dxa"/>
            <w:vAlign w:val="bottom"/>
          </w:tcPr>
          <w:p>
            <w:pPr>
              <w:spacing w:after="0"/>
              <w:rPr>
                <w:sz w:val="24"/>
                <w:szCs w:val="24"/>
                <w:color w:val="auto"/>
              </w:rPr>
            </w:pPr>
          </w:p>
        </w:tc>
        <w:tc>
          <w:tcPr>
            <w:tcW w:w="314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Total variable rate debt</w:t>
            </w:r>
          </w:p>
        </w:tc>
        <w:tc>
          <w:tcPr>
            <w:tcW w:w="380" w:type="dxa"/>
            <w:vAlign w:val="bottom"/>
          </w:tcPr>
          <w:p>
            <w:pPr>
              <w:spacing w:after="0"/>
              <w:rPr>
                <w:sz w:val="24"/>
                <w:szCs w:val="2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130,400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21.96%</w:t>
            </w: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4"/>
                <w:szCs w:val="24"/>
                <w:color w:val="auto"/>
              </w:rPr>
            </w:pPr>
          </w:p>
        </w:tc>
        <w:tc>
          <w:tcPr>
            <w:tcW w:w="314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Total debt</w:t>
            </w: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$593,744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832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Weighted average interest rate:</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832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Fixed rate debt</w:t>
            </w: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7.30%</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Variable on revolving facilities</w:t>
            </w:r>
          </w:p>
        </w:tc>
        <w:tc>
          <w:tcPr>
            <w:tcW w:w="38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6.20%**</w:t>
            </w:r>
          </w:p>
        </w:tc>
        <w:tc>
          <w:tcPr>
            <w:tcW w:w="64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Variable on municipal bonds</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bl>
    <w:p>
      <w:pPr>
        <w:spacing w:after="0" w:line="335" w:lineRule="exact"/>
        <w:rPr>
          <w:sz w:val="20"/>
          <w:szCs w:val="20"/>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decreasing the effective interest.</w:t>
      </w:r>
    </w:p>
    <w:p>
      <w:pPr>
        <w:spacing w:after="0" w:line="7" w:lineRule="exact"/>
        <w:rPr>
          <w:sz w:val="20"/>
          <w:szCs w:val="20"/>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six months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ended June 30,1998.</w:t>
      </w:r>
    </w:p>
    <w:p>
      <w:pPr>
        <w:spacing w:after="0" w:line="7" w:lineRule="exact"/>
        <w:rPr>
          <w:sz w:val="20"/>
          <w:szCs w:val="20"/>
          <w:color w:val="auto"/>
        </w:rPr>
      </w:pPr>
    </w:p>
    <w:p>
      <w:pPr>
        <w:jc w:val="both"/>
        <w:ind w:left="360" w:right="5160" w:hanging="352"/>
        <w:spacing w:after="0" w:line="252"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540"/>
          </w:cols>
          <w:pgMar w:left="220" w:top="451"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Overall Occupancy</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(Quarter to Quarter Analysis)</w:t>
            </w:r>
          </w:p>
        </w:tc>
        <w:tc>
          <w:tcPr>
            <w:tcW w:w="11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June 30, 1998</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June 30, 1997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w:t>
            </w:r>
          </w:p>
        </w:tc>
        <w:tc>
          <w:tcPr>
            <w:tcW w:w="180" w:type="dxa"/>
            <w:vAlign w:val="bottom"/>
          </w:tcPr>
          <w:p>
            <w:pPr>
              <w:spacing w:after="0"/>
              <w:rPr>
                <w:sz w:val="14"/>
                <w:szCs w:val="14"/>
                <w:color w:val="auto"/>
              </w:rPr>
            </w:pPr>
          </w:p>
        </w:tc>
        <w:tc>
          <w:tcPr>
            <w:tcW w:w="4120" w:type="dxa"/>
            <w:vAlign w:val="bottom"/>
            <w:gridSpan w:val="7"/>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80" w:type="dxa"/>
            <w:vAlign w:val="bottom"/>
          </w:tcPr>
          <w:p>
            <w:pPr>
              <w:spacing w:after="0"/>
              <w:rPr>
                <w:sz w:val="24"/>
                <w:szCs w:val="2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Size</w:t>
            </w:r>
          </w:p>
        </w:tc>
        <w:tc>
          <w:tcPr>
            <w:tcW w:w="100" w:type="dxa"/>
            <w:vAlign w:val="bottom"/>
          </w:tcPr>
          <w:p>
            <w:pPr>
              <w:spacing w:after="0"/>
              <w:rPr>
                <w:sz w:val="24"/>
                <w:szCs w:val="2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Leased</w:t>
            </w:r>
          </w:p>
        </w:tc>
        <w:tc>
          <w:tcPr>
            <w:tcW w:w="1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60" w:type="dxa"/>
            <w:vAlign w:val="bottom"/>
            <w:gridSpan w:val="5"/>
          </w:tcPr>
          <w:p>
            <w:pPr>
              <w:ind w:left="360"/>
              <w:spacing w:after="0"/>
              <w:rPr>
                <w:sz w:val="20"/>
                <w:szCs w:val="20"/>
                <w:color w:val="auto"/>
              </w:rPr>
            </w:pPr>
            <w:r>
              <w:rPr>
                <w:rFonts w:ascii="Courier New" w:cs="Courier New" w:eastAsia="Courier New" w:hAnsi="Courier New"/>
                <w:sz w:val="14"/>
                <w:szCs w:val="14"/>
                <w:color w:val="auto"/>
              </w:rPr>
              <w:t>----------- ----------- -----------</w:t>
            </w:r>
          </w:p>
        </w:tc>
        <w:tc>
          <w:tcPr>
            <w:tcW w:w="30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 ----------- ---------</w:t>
            </w:r>
          </w:p>
        </w:tc>
        <w:tc>
          <w:tcPr>
            <w:tcW w:w="9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13,658,940</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12,989,036</w:t>
            </w:r>
          </w:p>
        </w:tc>
        <w:tc>
          <w:tcPr>
            <w:tcW w:w="180" w:type="dxa"/>
            <w:vAlign w:val="bottom"/>
          </w:tcPr>
          <w:p>
            <w:pPr>
              <w:spacing w:after="0"/>
              <w:rPr>
                <w:sz w:val="24"/>
                <w:szCs w:val="24"/>
                <w:color w:val="auto"/>
              </w:rPr>
            </w:pP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12,770,492</w:t>
            </w:r>
          </w:p>
        </w:tc>
        <w:tc>
          <w:tcPr>
            <w:tcW w:w="10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11,986,868</w:t>
            </w:r>
          </w:p>
        </w:tc>
        <w:tc>
          <w:tcPr>
            <w:tcW w:w="80" w:type="dxa"/>
            <w:vAlign w:val="bottom"/>
          </w:tcPr>
          <w:p>
            <w:pPr>
              <w:spacing w:after="0"/>
              <w:rPr>
                <w:sz w:val="24"/>
                <w:szCs w:val="2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5"/>
              </w:rPr>
              <w:t>281</w:t>
            </w:r>
          </w:p>
        </w:tc>
        <w:tc>
          <w:tcPr>
            <w:tcW w:w="18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282</w:t>
            </w:r>
          </w:p>
        </w:tc>
        <w:tc>
          <w:tcPr>
            <w:tcW w:w="10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280</w:t>
            </w:r>
          </w:p>
        </w:tc>
        <w:tc>
          <w:tcPr>
            <w:tcW w:w="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r>
      <w:tr>
        <w:trPr>
          <w:trHeight w:val="663"/>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Overall Occupancy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June 30, 1998</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March 31, 1998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c>
          <w:tcPr>
            <w:tcW w:w="300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 ----------- ---------</w:t>
            </w:r>
          </w:p>
        </w:tc>
        <w:tc>
          <w:tcPr>
            <w:tcW w:w="9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13,658,940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12,989,036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13,518,261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12,923,203</w:t>
            </w:r>
          </w:p>
        </w:tc>
        <w:tc>
          <w:tcPr>
            <w:tcW w:w="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5"/>
              </w:rPr>
              <w:t>281</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0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w:t>
            </w:r>
          </w:p>
        </w:tc>
        <w:tc>
          <w:tcPr>
            <w:tcW w:w="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r>
      <w:tr>
        <w:trPr>
          <w:trHeight w:val="497"/>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Overall Occupancy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21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December 31, 1997</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right="528"/>
              <w:spacing w:after="0"/>
              <w:rPr>
                <w:sz w:val="20"/>
                <w:szCs w:val="20"/>
                <w:color w:val="auto"/>
              </w:rPr>
            </w:pPr>
            <w:r>
              <w:rPr>
                <w:rFonts w:ascii="Courier New" w:cs="Courier New" w:eastAsia="Courier New" w:hAnsi="Courier New"/>
                <w:sz w:val="14"/>
                <w:szCs w:val="14"/>
                <w:color w:val="auto"/>
              </w:rPr>
              <w:t>September 30, 1997</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00" w:type="dxa"/>
            <w:vAlign w:val="bottom"/>
          </w:tcPr>
          <w:p>
            <w:pPr>
              <w:spacing w:after="0"/>
              <w:rPr>
                <w:sz w:val="24"/>
                <w:szCs w:val="24"/>
                <w:color w:val="auto"/>
              </w:rPr>
            </w:pPr>
          </w:p>
        </w:tc>
        <w:tc>
          <w:tcPr>
            <w:tcW w:w="1120" w:type="dxa"/>
            <w:vAlign w:val="bottom"/>
          </w:tcPr>
          <w:p>
            <w:pPr>
              <w:jc w:val="center"/>
              <w:ind w:left="328"/>
              <w:spacing w:after="0"/>
              <w:rPr>
                <w:sz w:val="20"/>
                <w:szCs w:val="20"/>
                <w:color w:val="auto"/>
              </w:rPr>
            </w:pPr>
            <w:r>
              <w:rPr>
                <w:rFonts w:ascii="Courier New" w:cs="Courier New" w:eastAsia="Courier New" w:hAnsi="Courier New"/>
                <w:sz w:val="14"/>
                <w:szCs w:val="14"/>
                <w:color w:val="auto"/>
              </w:rPr>
              <w:t>Leased</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c>
          <w:tcPr>
            <w:tcW w:w="3960" w:type="dxa"/>
            <w:vAlign w:val="bottom"/>
            <w:gridSpan w:val="6"/>
          </w:tcPr>
          <w:p>
            <w:pPr>
              <w:ind w:left="160"/>
              <w:spacing w:after="0"/>
              <w:rPr>
                <w:sz w:val="20"/>
                <w:szCs w:val="20"/>
                <w:color w:val="auto"/>
              </w:rPr>
            </w:pPr>
            <w:r>
              <w:rPr>
                <w:rFonts w:ascii="Courier New" w:cs="Courier New" w:eastAsia="Courier New" w:hAnsi="Courier New"/>
                <w:sz w:val="14"/>
                <w:szCs w:val="14"/>
                <w:color w:val="auto"/>
              </w:rPr>
              <w:t>-----------   ----------- ---------</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13,518,197</w:t>
            </w:r>
          </w:p>
        </w:tc>
        <w:tc>
          <w:tcPr>
            <w:tcW w:w="12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12,919,532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12,856,798</w:t>
            </w:r>
          </w:p>
        </w:tc>
        <w:tc>
          <w:tcPr>
            <w:tcW w:w="120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12,202,952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10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spacing w:after="0"/>
              <w:rPr>
                <w:sz w:val="14"/>
                <w:szCs w:val="14"/>
                <w:color w:val="auto"/>
              </w:rPr>
            </w:pPr>
          </w:p>
        </w:tc>
      </w:tr>
      <w:tr>
        <w:trPr>
          <w:trHeight w:val="497"/>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(Quarter to Quarter Comparison)</w:t>
            </w:r>
          </w:p>
        </w:tc>
        <w:tc>
          <w:tcPr>
            <w:tcW w:w="11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June 30, 1998</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30, 1997</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c>
          <w:tcPr>
            <w:tcW w:w="300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 ----------- ---------</w:t>
            </w:r>
          </w:p>
        </w:tc>
        <w:tc>
          <w:tcPr>
            <w:tcW w:w="9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11,938,810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11,358,594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11,821,443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11,186,570</w:t>
            </w:r>
          </w:p>
        </w:tc>
        <w:tc>
          <w:tcPr>
            <w:tcW w:w="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r>
      <w:tr>
        <w:trPr>
          <w:trHeight w:val="497"/>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21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At June 30, 1998</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Courier New" w:cs="Courier New" w:eastAsia="Courier New" w:hAnsi="Courier New"/>
                <w:sz w:val="14"/>
                <w:szCs w:val="14"/>
                <w:color w:val="auto"/>
              </w:rPr>
              <w:t>At March 31, 1998</w:t>
            </w:r>
          </w:p>
        </w:tc>
        <w:tc>
          <w:tcPr>
            <w:tcW w:w="9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Size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Leased</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Occupancy</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Size</w:t>
            </w:r>
          </w:p>
        </w:tc>
        <w:tc>
          <w:tcPr>
            <w:tcW w:w="10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w:t>
            </w:r>
          </w:p>
        </w:tc>
        <w:tc>
          <w:tcPr>
            <w:tcW w:w="300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 ----------- ---------</w:t>
            </w:r>
          </w:p>
        </w:tc>
        <w:tc>
          <w:tcPr>
            <w:tcW w:w="96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11,938,810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11,358,594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11,652,173</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11,119,804</w:t>
            </w:r>
          </w:p>
        </w:tc>
        <w:tc>
          <w:tcPr>
            <w:tcW w:w="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96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5"/>
              </w:rPr>
              <w:t>281</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0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spacing w:after="0"/>
              <w:rPr>
                <w:sz w:val="14"/>
                <w:szCs w:val="14"/>
                <w:color w:val="auto"/>
              </w:rPr>
            </w:pPr>
          </w:p>
        </w:tc>
      </w:tr>
      <w:tr>
        <w:trPr>
          <w:trHeight w:val="497"/>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62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310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At December 31, 1997</w:t>
            </w:r>
          </w:p>
        </w:tc>
        <w:tc>
          <w:tcPr>
            <w:tcW w:w="100" w:type="dxa"/>
            <w:vAlign w:val="bottom"/>
          </w:tcPr>
          <w:p>
            <w:pPr>
              <w:spacing w:after="0"/>
              <w:rPr>
                <w:sz w:val="14"/>
                <w:szCs w:val="14"/>
                <w:color w:val="auto"/>
              </w:rPr>
            </w:pPr>
          </w:p>
        </w:tc>
        <w:tc>
          <w:tcPr>
            <w:tcW w:w="310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At September 30, 1997</w:t>
            </w:r>
          </w:p>
        </w:tc>
      </w:tr>
      <w:tr>
        <w:trPr>
          <w:trHeight w:val="166"/>
        </w:trPr>
        <w:tc>
          <w:tcPr>
            <w:tcW w:w="36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Size</w:t>
            </w:r>
          </w:p>
        </w:tc>
        <w:tc>
          <w:tcPr>
            <w:tcW w:w="18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Leased</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Occupancy</w:t>
            </w:r>
          </w:p>
        </w:tc>
        <w:tc>
          <w:tcPr>
            <w:tcW w:w="100" w:type="dxa"/>
            <w:vAlign w:val="bottom"/>
          </w:tcPr>
          <w:p>
            <w:pPr>
              <w:spacing w:after="0"/>
              <w:rPr>
                <w:sz w:val="24"/>
                <w:szCs w:val="2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Size</w:t>
            </w:r>
          </w:p>
        </w:tc>
        <w:tc>
          <w:tcPr>
            <w:tcW w:w="8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Leased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w:t>
            </w:r>
          </w:p>
        </w:tc>
        <w:tc>
          <w:tcPr>
            <w:tcW w:w="1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2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12,188,308</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11,639,769</w:t>
            </w:r>
          </w:p>
        </w:tc>
        <w:tc>
          <w:tcPr>
            <w:tcW w:w="18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95%</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11,096,212</w:t>
            </w: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10,577,015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282</w:t>
            </w:r>
          </w:p>
        </w:tc>
        <w:tc>
          <w:tcPr>
            <w:tcW w:w="1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4"/>
                <w:szCs w:val="14"/>
                <w:color w:val="auto"/>
              </w:rPr>
              <w:t>99%</w:t>
            </w:r>
          </w:p>
        </w:tc>
        <w:tc>
          <w:tcPr>
            <w:tcW w:w="10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282</w:t>
            </w:r>
          </w:p>
        </w:tc>
        <w:tc>
          <w:tcPr>
            <w:tcW w:w="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1040"/>
          </w:cols>
          <w:pgMar w:left="220" w:top="451" w:right="6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Analysis)</w:t>
            </w:r>
          </w:p>
        </w:tc>
        <w:tc>
          <w:tcPr>
            <w:tcW w:w="120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 1998</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June 30, 1997</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13,658,940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12,778,700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12,770,492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11,724,538</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Overall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 1998</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March 31, 1998</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13,658,940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12,778,700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13,518,261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12,619,318</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spacing w:after="0"/>
              <w:rPr>
                <w:sz w:val="24"/>
                <w:szCs w:val="24"/>
                <w:color w:val="auto"/>
              </w:rPr>
            </w:pPr>
          </w:p>
        </w:tc>
        <w:tc>
          <w:tcPr>
            <w:tcW w:w="25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December 31, 1997</w:t>
            </w:r>
          </w:p>
        </w:tc>
        <w:tc>
          <w:tcPr>
            <w:tcW w:w="960" w:type="dxa"/>
            <w:vAlign w:val="bottom"/>
          </w:tcPr>
          <w:p>
            <w:pPr>
              <w:spacing w:after="0"/>
              <w:rPr>
                <w:sz w:val="24"/>
                <w:szCs w:val="24"/>
                <w:color w:val="auto"/>
              </w:rPr>
            </w:pPr>
          </w:p>
        </w:tc>
        <w:tc>
          <w:tcPr>
            <w:tcW w:w="25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September 30, 1997</w:t>
            </w: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13,518,197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12,757,485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12,856,798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12,056,781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r>
      <w:tr>
        <w:trPr>
          <w:trHeight w:val="828"/>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120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 1998</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June 30, 1997</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11,938,810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11,167,083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11,821,443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10,937,511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 1998</w:t>
            </w:r>
          </w:p>
        </w:tc>
        <w:tc>
          <w:tcPr>
            <w:tcW w:w="960" w:type="dxa"/>
            <w:vAlign w:val="bottom"/>
          </w:tcPr>
          <w:p>
            <w:pPr>
              <w:spacing w:after="0"/>
              <w:rPr>
                <w:sz w:val="14"/>
                <w:szCs w:val="14"/>
                <w:color w:val="auto"/>
              </w:rPr>
            </w:pPr>
          </w:p>
        </w:tc>
        <w:tc>
          <w:tcPr>
            <w:tcW w:w="25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At March 31, 1998</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11,938,810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11,167,083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11,652,173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10,819,572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spacing w:after="0"/>
              <w:rPr>
                <w:sz w:val="24"/>
                <w:szCs w:val="24"/>
                <w:color w:val="auto"/>
              </w:rPr>
            </w:pPr>
          </w:p>
        </w:tc>
        <w:tc>
          <w:tcPr>
            <w:tcW w:w="354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At December 31, 1997</w:t>
            </w:r>
          </w:p>
        </w:tc>
        <w:tc>
          <w:tcPr>
            <w:tcW w:w="352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At September 30, 1997</w:t>
            </w:r>
          </w:p>
        </w:tc>
      </w:tr>
      <w:tr>
        <w:trPr>
          <w:trHeight w:val="166"/>
        </w:trPr>
        <w:tc>
          <w:tcPr>
            <w:tcW w:w="354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0"/>
              </w:rPr>
              <w:t>--------------------------------------</w:t>
            </w:r>
          </w:p>
        </w:tc>
        <w:tc>
          <w:tcPr>
            <w:tcW w:w="96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Leases</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0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Income</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0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12,188,308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11,486,609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11,096,212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10,433,345</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w:t>
            </w:r>
          </w:p>
        </w:tc>
      </w:tr>
    </w:tbl>
    <w:p>
      <w:pPr>
        <w:sectPr>
          <w:pgSz w:w="11900" w:h="16838" w:orient="portrait"/>
          <w:cols w:equalWidth="0" w:num="1">
            <w:col w:w="10600"/>
          </w:cols>
          <w:pgMar w:left="220" w:top="947" w:right="107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20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06/30/98</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6,010,804</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96%</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5,301,511</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97%</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842,401</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94%</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634,076</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76%</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830,573</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94%</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39,575</w:t>
            </w:r>
          </w:p>
        </w:tc>
        <w:tc>
          <w:tcPr>
            <w:tcW w:w="122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95%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Square</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20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06/30/98</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3,645,394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2,365,410</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2,562,251</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2,739,260</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517,014</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325,387</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88%</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302,245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331,831</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85%</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88,095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742,478</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39,575</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95%</w:t>
            </w:r>
          </w:p>
        </w:tc>
      </w:tr>
    </w:tbl>
    <w:p>
      <w:pPr>
        <w:sectPr>
          <w:pgSz w:w="11900" w:h="16838" w:orient="portrait"/>
          <w:cols w:equalWidth="0" w:num="1">
            <w:col w:w="10239"/>
          </w:cols>
          <w:pgMar w:left="220" w:top="451"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Federal Realty</w:t>
            </w:r>
          </w:p>
        </w:tc>
        <w:tc>
          <w:tcPr>
            <w:tcW w:w="22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Investment Trust</w:t>
            </w: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Leasing Activity</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June 30, 1998</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497"/>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Average Prior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Average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Square</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 Lease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 Per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Rent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Rolling 12 Months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Feet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 (Years)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Square Foot</w:t>
            </w: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2nd Quarter</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241,132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$15.33</w:t>
            </w:r>
          </w:p>
        </w:tc>
        <w:tc>
          <w:tcPr>
            <w:tcW w:w="6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1st Quarter</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304,204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w:t>
            </w:r>
          </w:p>
        </w:tc>
        <w:tc>
          <w:tcPr>
            <w:tcW w:w="6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$17.43</w:t>
            </w:r>
          </w:p>
        </w:tc>
      </w:tr>
      <w:tr>
        <w:trPr>
          <w:trHeight w:val="166"/>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4th Quarter</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272,820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$17.07</w:t>
            </w:r>
          </w:p>
        </w:tc>
        <w:tc>
          <w:tcPr>
            <w:tcW w:w="6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$19.60</w:t>
            </w:r>
          </w:p>
        </w:tc>
      </w:tr>
      <w:tr>
        <w:trPr>
          <w:trHeight w:val="166"/>
        </w:trPr>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3rd Quarter</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270,550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$14.21</w:t>
            </w:r>
          </w:p>
        </w:tc>
        <w:tc>
          <w:tcPr>
            <w:tcW w:w="6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$16.12</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820" w:type="dxa"/>
            <w:vAlign w:val="bottom"/>
          </w:tcPr>
          <w:p>
            <w:pPr>
              <w:spacing w:after="0"/>
              <w:rPr>
                <w:sz w:val="14"/>
                <w:szCs w:val="14"/>
                <w:color w:val="auto"/>
              </w:rPr>
            </w:pP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287</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1,088,706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$15.50</w:t>
            </w:r>
          </w:p>
        </w:tc>
        <w:tc>
          <w:tcPr>
            <w:tcW w:w="6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$18.25</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Percentage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12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Annualized</w:t>
            </w:r>
          </w:p>
        </w:tc>
        <w:tc>
          <w:tcPr>
            <w:tcW w:w="1580" w:type="dxa"/>
            <w:vAlign w:val="bottom"/>
          </w:tcPr>
          <w:p>
            <w:pPr>
              <w:ind w:left="300"/>
              <w:spacing w:after="0"/>
              <w:rPr>
                <w:sz w:val="20"/>
                <w:szCs w:val="20"/>
                <w:color w:val="auto"/>
              </w:rPr>
            </w:pPr>
            <w:r>
              <w:rPr>
                <w:rFonts w:ascii="Courier New" w:cs="Courier New" w:eastAsia="Courier New" w:hAnsi="Courier New"/>
                <w:sz w:val="14"/>
                <w:szCs w:val="14"/>
                <w:color w:val="auto"/>
              </w:rPr>
              <w:t>Increase</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Rolling 12 Months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Rent</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over Prior Rent</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2nd Quarter 1998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$1,160,247</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$933,000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1st Quarter 1998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$623,425</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$990,000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4th Quarter 1997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$690,291</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$923,000</w:t>
            </w:r>
          </w:p>
        </w:tc>
      </w:tr>
      <w:tr>
        <w:trPr>
          <w:trHeight w:val="166"/>
        </w:trPr>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3rd Quarter 1997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$518,342</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$2,992,305</w:t>
            </w:r>
          </w:p>
        </w:tc>
        <w:tc>
          <w:tcPr>
            <w:tcW w:w="15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$4,115,000</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2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76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Annualized</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080" w:type="dxa"/>
            <w:vAlign w:val="bottom"/>
          </w:tcPr>
          <w:p>
            <w:pPr>
              <w:spacing w:after="0"/>
              <w:rPr>
                <w:sz w:val="14"/>
                <w:szCs w:val="14"/>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Square</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Lease</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Average Rent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Current</w:t>
            </w: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Rolling 12 Months</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Feet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Term (Years)</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 Square Foot</w:t>
            </w:r>
          </w:p>
        </w:tc>
        <w:tc>
          <w:tcPr>
            <w:tcW w:w="1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Rent</w:t>
            </w: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2nd Quarter 1998</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63,474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$14.30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$907,455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1st Quarter 1998</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55,877</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12.1</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$22.49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$1,256,594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4th Quarter 1997</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40,744</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$21.03</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$857,046</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$90,000</w:t>
            </w:r>
          </w:p>
        </w:tc>
      </w:tr>
      <w:tr>
        <w:trPr>
          <w:trHeight w:val="166"/>
        </w:trPr>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3rd Quarter 1997</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99,537</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$18.60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$1,851,254</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$133,000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259,632</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$18.77</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$4,872,349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$886,000</w:t>
            </w:r>
          </w:p>
        </w:tc>
      </w:tr>
    </w:tbl>
    <w:p>
      <w:pPr>
        <w:sectPr>
          <w:pgSz w:w="11900" w:h="16838" w:orient="portrait"/>
          <w:cols w:equalWidth="0" w:num="1">
            <w:col w:w="10780"/>
          </w:cols>
          <w:pgMar w:left="220" w:top="947" w:right="899" w:bottom="1440" w:gutter="0" w:footer="0" w:header="0"/>
        </w:sectPr>
      </w:pPr>
    </w:p>
    <w:bookmarkStart w:id="9" w:name="page10"/>
    <w:bookmarkEnd w:id="9"/>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ectPr>
          <w:pgSz w:w="11900" w:h="16838" w:orient="portrait"/>
          <w:cols w:equalWidth="0" w:num="1">
            <w:col w:w="10239"/>
          </w:cols>
          <w:pgMar w:left="220" w:top="616" w:right="1440" w:bottom="1440" w:gutter="0" w:footer="0" w:header="0"/>
        </w:sectPr>
      </w:pPr>
    </w:p>
    <w:bookmarkStart w:id="10" w:name="page11"/>
    <w:bookmarkEnd w:id="10"/>
    <w:p>
      <w:pPr>
        <w:ind w:left="484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301/998-8211</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SECOND QUARTER 1998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5,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second quarter of 1998 increased 5% to $20.9 million from $19.9 million in the second quarter of 1997. On a per share basis, funds from operations rose 2% to $.52 in the second quarter of 1998 from $.51 in the comparable quarter of 1997. Excluding the impact of prospective changes in accounting policies (EITF 97-11) requiring that internal acquisition costs be expensed rather than capitalized and acquisition write-offs, funds from operations per share for the second quarter would have increased 8% to $.55 in 1998 from $.51 in the second quarter of 1997.</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second quarter of 1998 versus the second quarter of 1997 shows the following:</w:t>
      </w:r>
    </w:p>
    <w:p>
      <w:pPr>
        <w:spacing w:after="0" w:line="160" w:lineRule="exact"/>
        <w:rPr>
          <w:sz w:val="20"/>
          <w:szCs w:val="20"/>
          <w:color w:val="auto"/>
        </w:rPr>
      </w:pPr>
    </w:p>
    <w:p>
      <w:pPr>
        <w:jc w:val="both"/>
        <w:ind w:left="440" w:right="3339" w:hanging="346"/>
        <w:spacing w:after="0" w:line="252" w:lineRule="auto"/>
        <w:tabs>
          <w:tab w:leader="none" w:pos="52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15% to $54.1 million in 1998 from $47.1 million in 1997. When adjusted to exclude properties acquired and sold during 1997 and 1998, rental income increased 4% to $46.1 million in 1998 from $44.2 million in 1997.</w:t>
      </w:r>
    </w:p>
    <w:p>
      <w:pPr>
        <w:spacing w:after="0" w:line="162" w:lineRule="exact"/>
        <w:rPr>
          <w:sz w:val="20"/>
          <w:szCs w:val="20"/>
          <w:color w:val="auto"/>
        </w:rPr>
      </w:pPr>
    </w:p>
    <w:p>
      <w:pPr>
        <w:ind w:left="440" w:right="3339" w:hanging="346"/>
        <w:spacing w:after="0" w:line="252" w:lineRule="auto"/>
        <w:tabs>
          <w:tab w:leader="none" w:pos="52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19% to $40.0 million in 1998 from $33.7 million in 1997. When adjusted to exclude properties acquired and sold during 1997 and 1998, net operating income increased 9% to $34.6 million in 1998 from $31.7 million in 1997.</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1" w:name="page12"/>
    <w:bookmarkEnd w:id="11"/>
    <w:p>
      <w:pPr>
        <w:ind w:left="440" w:right="3419" w:hanging="346"/>
        <w:spacing w:after="0" w:line="251" w:lineRule="auto"/>
        <w:tabs>
          <w:tab w:leader="none" w:pos="5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second quarter of 1998, the Trust signed leases for a total 305,000 square feet of retail space. On a same space basis, the Trust re-leased 241,000 square feet of retail space at an average increase in rent per square foot of 31%. The weighted average rent on these leases was $20.14 per square foot compared to the previous average rent of $15.33 per square foot.</w:t>
      </w:r>
    </w:p>
    <w:p>
      <w:pPr>
        <w:spacing w:after="0" w:line="164" w:lineRule="exact"/>
        <w:rPr>
          <w:sz w:val="20"/>
          <w:szCs w:val="20"/>
          <w:color w:val="auto"/>
        </w:rPr>
      </w:pPr>
    </w:p>
    <w:p>
      <w:pPr>
        <w:ind w:left="440" w:right="3339" w:hanging="346"/>
        <w:spacing w:after="0" w:line="252" w:lineRule="auto"/>
        <w:tabs>
          <w:tab w:leader="none" w:pos="52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95% at both June 30, 1998 and 1997. At June 30, 1998, the Trust's overall portfolio was 95% leased compared to 94% a year ago.</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Funds from operations also improved for the first six months of 1998 increasing 8% to $42.2 million or from $38.9 million in the first half of 1997. On a per share basis, funds from operations advanced 4% to $1.05 per share for the first six months of 1998 compared to $1.01 for the comparable period of 1997. If adjusted to exclude the impact of accounting changes and acquisition write-offs, funds from operations per share for the first six months of 1998 would have increased 8% to $1.09 from $1.01 for the first half of 1997.</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"While recent market conditions have made it difficult to acquire assets that add long-term value at attractive prices, we continue to focus keenly on improving margins in our existing portfolio and on creating a development pipeline of unique street retail assets. Federal's core portfolio continues to perform well and with a comprehensive reengineering effort currently in progress, is expected to continue to improve during the balance of this year and into 1999."</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116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30 consecutive years. Shares of the Trust are traded on the New York Stock Exchange under the symbol:FRT.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2" w:name="page13"/>
    <w:bookmarkEnd w:id="12"/>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(in thousands, except per share data)</w:t>
            </w: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3980" w:type="dxa"/>
            <w:vAlign w:val="bottom"/>
          </w:tcPr>
          <w:p>
            <w:pPr>
              <w:spacing w:after="0"/>
              <w:rPr>
                <w:sz w:val="24"/>
                <w:szCs w:val="24"/>
                <w:color w:val="auto"/>
              </w:rPr>
            </w:pPr>
          </w:p>
        </w:tc>
        <w:tc>
          <w:tcPr>
            <w:tcW w:w="188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Three Months Ended</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June 30,</w:t>
            </w:r>
          </w:p>
        </w:tc>
        <w:tc>
          <w:tcPr>
            <w:tcW w:w="940" w:type="dxa"/>
            <w:vAlign w:val="bottom"/>
          </w:tcPr>
          <w:p>
            <w:pPr>
              <w:spacing w:after="0"/>
              <w:rPr>
                <w:sz w:val="14"/>
                <w:szCs w:val="1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12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2020" w:type="dxa"/>
            <w:vAlign w:val="bottom"/>
            <w:gridSpan w:val="2"/>
          </w:tcPr>
          <w:p>
            <w:pPr>
              <w:jc w:val="right"/>
              <w:ind w:right="1248"/>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1998</w:t>
            </w:r>
          </w:p>
        </w:tc>
        <w:tc>
          <w:tcPr>
            <w:tcW w:w="34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$54,127</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$ 47,061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106,608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90,981</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1,341</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1,448</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2,948</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2,934</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2,293</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5,036</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5,520</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58,402</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50,802</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114,579</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99,449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11,347</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10,789</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23,269</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21,005</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5,745</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4,892</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11,217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9,466</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13,404</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11,999</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23,988</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3,995</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2,493</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5,836</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4,594</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11,203</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10,404</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21,972</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20,528</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45,694</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40,577</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88,391</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79,581</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ind w:left="100"/>
              <w:spacing w:after="0"/>
              <w:rPr>
                <w:sz w:val="20"/>
                <w:szCs w:val="20"/>
                <w:color w:val="auto"/>
              </w:rPr>
            </w:pPr>
            <w:r>
              <w:rPr>
                <w:rFonts w:ascii="Courier New" w:cs="Courier New" w:eastAsia="Courier New" w:hAnsi="Courier New"/>
                <w:sz w:val="14"/>
                <w:szCs w:val="14"/>
                <w:color w:val="auto"/>
              </w:rPr>
              <w:t>operations and gain on sale of real estate</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12,708</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10,225</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26,188</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19,868</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w:t>
            </w:r>
          </w:p>
        </w:tc>
        <w:tc>
          <w:tcPr>
            <w:tcW w:w="600" w:type="dxa"/>
            <w:vAlign w:val="bottom"/>
          </w:tcPr>
          <w:p>
            <w:pPr>
              <w:spacing w:after="0"/>
              <w:rPr>
                <w:sz w:val="14"/>
                <w:szCs w:val="14"/>
                <w:color w:val="auto"/>
              </w:rPr>
            </w:pPr>
          </w:p>
        </w:tc>
        <w:tc>
          <w:tcPr>
            <w:tcW w:w="14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(249)</w:t>
            </w:r>
          </w:p>
        </w:tc>
        <w:tc>
          <w:tcPr>
            <w:tcW w:w="10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(1,531)</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(581)</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before gain on sale of real estate</w:t>
            </w:r>
          </w:p>
        </w:tc>
        <w:tc>
          <w:tcPr>
            <w:tcW w:w="4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11,963</w:t>
            </w:r>
          </w:p>
        </w:tc>
        <w:tc>
          <w:tcPr>
            <w:tcW w:w="600" w:type="dxa"/>
            <w:vAlign w:val="bottom"/>
          </w:tcPr>
          <w:p>
            <w:pPr>
              <w:spacing w:after="0"/>
              <w:rPr>
                <w:sz w:val="24"/>
                <w:szCs w:val="2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9,976</w:t>
            </w:r>
          </w:p>
        </w:tc>
        <w:tc>
          <w:tcPr>
            <w:tcW w:w="10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24,657</w:t>
            </w:r>
          </w:p>
        </w:tc>
        <w:tc>
          <w:tcPr>
            <w:tcW w:w="3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19,287</w:t>
            </w:r>
          </w:p>
        </w:tc>
      </w:tr>
      <w:tr>
        <w:trPr>
          <w:trHeight w:val="331"/>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w:t>
            </w:r>
          </w:p>
        </w:tc>
        <w:tc>
          <w:tcPr>
            <w:tcW w:w="420" w:type="dxa"/>
            <w:vAlign w:val="bottom"/>
          </w:tcPr>
          <w:p>
            <w:pPr>
              <w:spacing w:after="0"/>
              <w:rPr>
                <w:sz w:val="24"/>
                <w:szCs w:val="2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24"/>
                <w:szCs w:val="2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7,034</w:t>
            </w:r>
          </w:p>
        </w:tc>
        <w:tc>
          <w:tcPr>
            <w:tcW w:w="100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7,034</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$11,963</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$ 17,010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24,657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26,321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(1,987)</w:t>
            </w:r>
          </w:p>
        </w:tc>
        <w:tc>
          <w:tcPr>
            <w:tcW w:w="600" w:type="dxa"/>
            <w:vAlign w:val="bottom"/>
          </w:tcPr>
          <w:p>
            <w:pPr>
              <w:spacing w:after="0"/>
              <w:rPr>
                <w:sz w:val="14"/>
                <w:szCs w:val="14"/>
                <w:color w:val="auto"/>
              </w:rPr>
            </w:pPr>
          </w:p>
        </w:tc>
        <w:tc>
          <w:tcPr>
            <w:tcW w:w="14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(3,975)</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$ 9,976</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$ 17,010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26,321</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0.69</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0.43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basic</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39,122</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38,754</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39,057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38,126</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42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39,900</w:t>
            </w:r>
          </w:p>
        </w:tc>
        <w:tc>
          <w:tcPr>
            <w:tcW w:w="600" w:type="dxa"/>
            <w:vAlign w:val="bottom"/>
          </w:tcPr>
          <w:p>
            <w:pPr>
              <w:spacing w:after="0"/>
              <w:rPr>
                <w:sz w:val="24"/>
                <w:szCs w:val="2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9"/>
              </w:rPr>
              <w:t>39,200</w:t>
            </w:r>
          </w:p>
        </w:tc>
        <w:tc>
          <w:tcPr>
            <w:tcW w:w="10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39,896</w:t>
            </w:r>
          </w:p>
        </w:tc>
        <w:tc>
          <w:tcPr>
            <w:tcW w:w="34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38,616</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$ 9,976</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$ 17,010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26,321</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Less: gain on sale of real estate</w:t>
            </w:r>
          </w:p>
        </w:tc>
        <w:tc>
          <w:tcPr>
            <w:tcW w:w="42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42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(7,034)</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(7,034)</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Add:  depreciation and amortization</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ind w:left="700"/>
              <w:spacing w:after="0"/>
              <w:rPr>
                <w:sz w:val="20"/>
                <w:szCs w:val="20"/>
                <w:color w:val="auto"/>
              </w:rPr>
            </w:pPr>
            <w:r>
              <w:rPr>
                <w:rFonts w:ascii="Courier New" w:cs="Courier New" w:eastAsia="Courier New" w:hAnsi="Courier New"/>
                <w:sz w:val="14"/>
                <w:szCs w:val="14"/>
                <w:color w:val="auto"/>
              </w:rPr>
              <w:t>of real estate assets</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10,168</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9,354</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19,906</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18,418</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ind w:left="700"/>
              <w:spacing w:after="0"/>
              <w:rPr>
                <w:sz w:val="20"/>
                <w:szCs w:val="20"/>
                <w:color w:val="auto"/>
              </w:rPr>
            </w:pPr>
            <w:r>
              <w:rPr>
                <w:rFonts w:ascii="Courier New" w:cs="Courier New" w:eastAsia="Courier New" w:hAnsi="Courier New"/>
                <w:sz w:val="14"/>
                <w:szCs w:val="14"/>
                <w:color w:val="auto"/>
              </w:rPr>
              <w:t>costs of leases</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w:t>
            </w:r>
          </w:p>
        </w:tc>
        <w:tc>
          <w:tcPr>
            <w:tcW w:w="600" w:type="dxa"/>
            <w:vAlign w:val="bottom"/>
          </w:tcPr>
          <w:p>
            <w:pPr>
              <w:spacing w:after="0"/>
              <w:rPr>
                <w:sz w:val="14"/>
                <w:szCs w:val="14"/>
                <w:color w:val="auto"/>
              </w:rPr>
            </w:pP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564</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1,181</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1,148</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Add:  income attributable to operating</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980" w:type="dxa"/>
            <w:vAlign w:val="bottom"/>
          </w:tcPr>
          <w:p>
            <w:pPr>
              <w:ind w:left="700"/>
              <w:spacing w:after="0"/>
              <w:rPr>
                <w:sz w:val="20"/>
                <w:szCs w:val="20"/>
                <w:color w:val="auto"/>
              </w:rPr>
            </w:pPr>
            <w:r>
              <w:rPr>
                <w:rFonts w:ascii="Courier New" w:cs="Courier New" w:eastAsia="Courier New" w:hAnsi="Courier New"/>
                <w:sz w:val="14"/>
                <w:szCs w:val="14"/>
                <w:color w:val="auto"/>
              </w:rPr>
              <w:t>partnership units</w:t>
            </w:r>
          </w:p>
        </w:tc>
        <w:tc>
          <w:tcPr>
            <w:tcW w:w="4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w:t>
            </w:r>
          </w:p>
        </w:tc>
        <w:tc>
          <w:tcPr>
            <w:tcW w:w="600" w:type="dxa"/>
            <w:vAlign w:val="bottom"/>
          </w:tcPr>
          <w:p>
            <w:pPr>
              <w:spacing w:after="0"/>
              <w:rPr>
                <w:sz w:val="14"/>
                <w:szCs w:val="14"/>
                <w:color w:val="auto"/>
              </w:rPr>
            </w:pPr>
          </w:p>
        </w:tc>
        <w:tc>
          <w:tcPr>
            <w:tcW w:w="14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diluted</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$20,939</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$ 19,894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42,183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38,853</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Funds from operations per share, diluted</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0.52(1)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3980" w:type="dxa"/>
            <w:vAlign w:val="bottom"/>
          </w:tcPr>
          <w:p>
            <w:pPr>
              <w:spacing w:after="0"/>
              <w:rPr>
                <w:sz w:val="14"/>
                <w:szCs w:val="14"/>
                <w:color w:val="auto"/>
              </w:rPr>
            </w:pP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4380" w:hanging="352"/>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FFO per share for the second quarter was $.55 or 8% better than the 1997 second quarter when excluding the impact of prospective changes in accounting policies (EITF 97-11) and acquisition write-offs.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$1,513,127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3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(265,622)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(247,497)</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1,247,505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1,206,142</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34,883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38,360</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13,554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17,711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18,794</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38,025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36,234</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$1,351,678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180,949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221,573</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125,079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119,028</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255,000</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75,289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90,552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91,873</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544,809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553,810</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$1,351,678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600" w:type="dxa"/>
            <w:vAlign w:val="bottom"/>
          </w:tcPr>
          <w:p>
            <w:pPr>
              <w:spacing w:after="0"/>
              <w:rPr>
                <w:sz w:val="14"/>
                <w:szCs w:val="14"/>
                <w:color w:val="auto"/>
              </w:rPr>
            </w:pP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sectPr>
      <w:pgSz w:w="11900" w:h="16838" w:orient="portrait"/>
      <w:cols w:equalWidth="0" w:num="1">
        <w:col w:w="10940"/>
      </w:cols>
      <w:pgMar w:left="220" w:top="451" w:right="739" w:bottom="25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2019-12-13T00:55:22Z</dcterms:created>
  <dcterms:modified xsi:type="dcterms:W3CDTF">2019-12-13T00:55:22Z</dcterms:modified>
</cp:coreProperties>
</file>