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2017</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4" w:right="239" w:bottom="1440" w:gutter="0" w:footer="0" w:header="0"/>
        </w:sectPr>
      </w:pPr>
    </w:p>
    <w:p>
      <w:pPr>
        <w:spacing w:after="0" w:line="59"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26" w:lineRule="exact"/>
        <w:rPr>
          <w:sz w:val="24"/>
          <w:szCs w:val="24"/>
          <w:color w:val="auto"/>
        </w:rPr>
      </w:pPr>
    </w:p>
    <w:p>
      <w:pPr>
        <w:sectPr>
          <w:pgSz w:w="11900" w:h="16838" w:orient="portrait"/>
          <w:cols w:equalWidth="0" w:num="2">
            <w:col w:w="6240" w:space="700"/>
            <w:col w:w="4480"/>
          </w:cols>
          <w:pgMar w:left="240" w:top="234" w:right="239" w:bottom="1440" w:gutter="0" w:footer="0" w:header="0"/>
          <w:type w:val="continuous"/>
        </w:sect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ectPr>
          <w:pgSz w:w="11900" w:h="16838" w:orient="portrait"/>
          <w:cols w:equalWidth="0" w:num="1">
            <w:col w:w="11420"/>
          </w:cols>
          <w:pgMar w:left="240" w:top="234" w:right="239" w:bottom="1440" w:gutter="0" w:footer="0" w:header="0"/>
          <w:type w:val="continuous"/>
        </w:sectPr>
      </w:pPr>
    </w:p>
    <w:p>
      <w:pPr>
        <w:spacing w:after="0" w:line="248" w:lineRule="exact"/>
        <w:rPr>
          <w:sz w:val="24"/>
          <w:szCs w:val="24"/>
          <w:color w:val="auto"/>
        </w:rPr>
      </w:pPr>
    </w:p>
    <w:p>
      <w:pPr>
        <w:ind w:left="2220"/>
        <w:spacing w:after="0"/>
        <w:rPr>
          <w:sz w:val="20"/>
          <w:szCs w:val="20"/>
          <w:color w:val="auto"/>
        </w:rPr>
      </w:pPr>
      <w:r>
        <w:rPr>
          <w:rFonts w:ascii="Arial" w:cs="Arial" w:eastAsia="Arial" w:hAnsi="Arial"/>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108" w:lineRule="exact"/>
        <w:rPr>
          <w:sz w:val="24"/>
          <w:szCs w:val="24"/>
          <w:color w:val="auto"/>
        </w:rPr>
      </w:pPr>
    </w:p>
    <w:p>
      <w:pPr>
        <w:sectPr>
          <w:pgSz w:w="11900" w:h="16838" w:orient="portrait"/>
          <w:cols w:equalWidth="0" w:num="2">
            <w:col w:w="7380" w:space="720"/>
            <w:col w:w="3320"/>
          </w:cols>
          <w:pgMar w:left="240" w:top="234" w:right="239" w:bottom="1440" w:gutter="0" w:footer="0" w:header="0"/>
          <w:type w:val="continuous"/>
        </w:sectPr>
      </w:pPr>
    </w:p>
    <w:p>
      <w:pPr>
        <w:ind w:left="1840"/>
        <w:spacing w:after="0"/>
        <w:rPr>
          <w:sz w:val="20"/>
          <w:szCs w:val="20"/>
          <w:color w:val="auto"/>
        </w:rPr>
      </w:pPr>
      <w:r>
        <w:rPr>
          <w:rFonts w:ascii="Arial" w:cs="Arial" w:eastAsia="Arial" w:hAnsi="Arial"/>
          <w:sz w:val="14"/>
          <w:szCs w:val="14"/>
          <w:b w:val="1"/>
          <w:bCs w:val="1"/>
          <w:color w:val="auto"/>
        </w:rPr>
        <w:t>(State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4" w:right="239" w:bottom="1440" w:gutter="0" w:footer="0" w:header="0"/>
          <w:type w:val="continuous"/>
        </w:sectPr>
      </w:pPr>
    </w:p>
    <w:p>
      <w:pPr>
        <w:spacing w:after="0" w:line="105"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w:t>
      </w:r>
    </w:p>
    <w:p>
      <w:pPr>
        <w:spacing w:after="0" w:line="108" w:lineRule="exact"/>
        <w:rPr>
          <w:sz w:val="24"/>
          <w:szCs w:val="24"/>
          <w:color w:val="auto"/>
        </w:rPr>
      </w:pPr>
    </w:p>
    <w:p>
      <w:pPr>
        <w:sectPr>
          <w:pgSz w:w="11900" w:h="16838" w:orient="portrait"/>
          <w:cols w:equalWidth="0" w:num="2">
            <w:col w:w="7600" w:space="720"/>
            <w:col w:w="3100"/>
          </w:cols>
          <w:pgMar w:left="240" w:top="234" w:right="2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5" w:lineRule="exact"/>
        <w:rPr>
          <w:sz w:val="24"/>
          <w:szCs w:val="24"/>
          <w:color w:val="auto"/>
        </w:rPr>
      </w:pPr>
    </w:p>
    <w:p>
      <w:pPr>
        <w:sectPr>
          <w:pgSz w:w="11900" w:h="16838" w:orient="portrait"/>
          <w:cols w:equalWidth="0" w:num="2">
            <w:col w:w="7480" w:space="720"/>
            <w:col w:w="3220"/>
          </w:cols>
          <w:pgMar w:left="240" w:top="23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72"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234" w:right="239" w:bottom="1440" w:gutter="0" w:footer="0" w:header="0"/>
          <w:type w:val="continuous"/>
        </w:sectPr>
      </w:pPr>
    </w:p>
    <w:p>
      <w:pPr>
        <w:spacing w:after="0" w:line="103"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Arial" w:cs="Arial" w:eastAsia="Arial" w:hAnsi="Arial"/>
                <w:sz w:val="18"/>
                <w:szCs w:val="18"/>
                <w:color w:val="auto"/>
                <w:w w:val="94"/>
              </w:rPr>
              <w:t>submit and post such files).</w:t>
            </w:r>
          </w:p>
        </w:tc>
        <w:tc>
          <w:tcPr>
            <w:tcW w:w="50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5"/>
        </w:trPr>
        <w:tc>
          <w:tcPr>
            <w:tcW w:w="11080" w:type="dxa"/>
            <w:vAlign w:val="bottom"/>
            <w:gridSpan w:val="3"/>
          </w:tcPr>
          <w:p>
            <w:pPr>
              <w:spacing w:after="0"/>
              <w:rPr>
                <w:sz w:val="20"/>
                <w:szCs w:val="20"/>
                <w:color w:val="auto"/>
              </w:rPr>
            </w:pPr>
            <w:r>
              <w:rPr>
                <w:rFonts w:ascii="Arial" w:cs="Arial" w:eastAsia="Arial" w:hAnsi="Arial"/>
                <w:sz w:val="18"/>
                <w:szCs w:val="18"/>
                <w:color w:val="auto"/>
                <w:w w:val="90"/>
              </w:rPr>
              <w:t>Indicate by check mark whether the Registrant is a large accelerated filer, an accelerated filer, a non-accelerated filer or a smaller reporting company. See</w:t>
            </w:r>
          </w:p>
        </w:tc>
        <w:tc>
          <w:tcPr>
            <w:tcW w:w="200" w:type="dxa"/>
            <w:vAlign w:val="bottom"/>
          </w:tcPr>
          <w:p>
            <w:pPr>
              <w:spacing w:after="0"/>
              <w:rPr>
                <w:sz w:val="23"/>
                <w:szCs w:val="23"/>
                <w:color w:val="auto"/>
              </w:rPr>
            </w:pPr>
          </w:p>
        </w:tc>
      </w:tr>
      <w:tr>
        <w:trPr>
          <w:trHeight w:val="230"/>
        </w:trPr>
        <w:tc>
          <w:tcPr>
            <w:tcW w:w="11080" w:type="dxa"/>
            <w:vAlign w:val="bottom"/>
            <w:gridSpan w:val="3"/>
          </w:tcPr>
          <w:p>
            <w:pPr>
              <w:spacing w:after="0"/>
              <w:rPr>
                <w:sz w:val="20"/>
                <w:szCs w:val="20"/>
                <w:color w:val="auto"/>
              </w:rPr>
            </w:pPr>
            <w:r>
              <w:rPr>
                <w:rFonts w:ascii="Arial" w:cs="Arial" w:eastAsia="Arial" w:hAnsi="Arial"/>
                <w:sz w:val="18"/>
                <w:szCs w:val="18"/>
                <w:color w:val="auto"/>
              </w:rPr>
              <w:t>definitions of “large accelerated filer,” “accelerated filer” and “smaller reporting company” in Rule 12b-2 of the Exchange Act. (Check one):</w:t>
            </w:r>
          </w:p>
        </w:tc>
        <w:tc>
          <w:tcPr>
            <w:tcW w:w="200" w:type="dxa"/>
            <w:vAlign w:val="bottom"/>
          </w:tcPr>
          <w:p>
            <w:pPr>
              <w:spacing w:after="0"/>
              <w:rPr>
                <w:sz w:val="20"/>
                <w:szCs w:val="20"/>
                <w:color w:val="auto"/>
              </w:rPr>
            </w:pPr>
          </w:p>
        </w:tc>
      </w:tr>
      <w:tr>
        <w:trPr>
          <w:trHeight w:val="398"/>
        </w:trPr>
        <w:tc>
          <w:tcPr>
            <w:tcW w:w="208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5020" w:type="dxa"/>
            <w:vAlign w:val="bottom"/>
          </w:tcPr>
          <w:p>
            <w:pPr>
              <w:ind w:left="360"/>
              <w:spacing w:after="0"/>
              <w:rPr>
                <w:sz w:val="20"/>
                <w:szCs w:val="20"/>
                <w:color w:val="auto"/>
              </w:rPr>
            </w:pPr>
            <w:r>
              <w:rPr>
                <w:rFonts w:ascii="Arial" w:cs="Arial" w:eastAsia="Arial" w:hAnsi="Arial"/>
                <w:sz w:val="18"/>
                <w:szCs w:val="18"/>
                <w:color w:val="auto"/>
              </w:rPr>
              <w:t>o (Do not check if a smaller reporting company)</w:t>
            </w:r>
          </w:p>
        </w:tc>
        <w:tc>
          <w:tcPr>
            <w:tcW w:w="3980" w:type="dxa"/>
            <w:vAlign w:val="bottom"/>
          </w:tcPr>
          <w:p>
            <w:pPr>
              <w:ind w:left="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Emerging growth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7"/>
        </w:trPr>
        <w:tc>
          <w:tcPr>
            <w:tcW w:w="11080" w:type="dxa"/>
            <w:vAlign w:val="bottom"/>
            <w:gridSpan w:val="3"/>
          </w:tcPr>
          <w:p>
            <w:pPr>
              <w:ind w:left="40"/>
              <w:spacing w:after="0"/>
              <w:rPr>
                <w:sz w:val="20"/>
                <w:szCs w:val="20"/>
                <w:color w:val="auto"/>
              </w:rPr>
            </w:pPr>
            <w:r>
              <w:rPr>
                <w:rFonts w:ascii="Arial" w:cs="Arial" w:eastAsia="Arial" w:hAnsi="Arial"/>
                <w:sz w:val="18"/>
                <w:szCs w:val="18"/>
                <w:color w:val="auto"/>
                <w:w w:val="92"/>
              </w:rPr>
              <w:t>If an emerging growth company, indicate by checkmark if the registrant has elected not use the extended transition period for complying with any new</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7100" w:type="dxa"/>
            <w:vAlign w:val="bottom"/>
            <w:gridSpan w:val="2"/>
          </w:tcPr>
          <w:p>
            <w:pPr>
              <w:ind w:left="40"/>
              <w:spacing w:after="0"/>
              <w:rPr>
                <w:sz w:val="20"/>
                <w:szCs w:val="20"/>
                <w:color w:val="auto"/>
              </w:rPr>
            </w:pPr>
            <w:r>
              <w:rPr>
                <w:rFonts w:ascii="Arial" w:cs="Arial" w:eastAsia="Arial" w:hAnsi="Arial"/>
                <w:sz w:val="18"/>
                <w:szCs w:val="18"/>
                <w:color w:val="auto"/>
                <w:w w:val="90"/>
              </w:rPr>
              <w:t>or revised financial accounting standards provided pursuant to Section 13(a) of the Exchange Act.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5" w:lineRule="exact"/>
        <w:rPr>
          <w:sz w:val="24"/>
          <w:szCs w:val="24"/>
          <w:color w:val="auto"/>
        </w:rPr>
      </w:pPr>
    </w:p>
    <w:p>
      <w:pPr>
        <w:ind w:right="1800"/>
        <w:spacing w:after="0" w:line="30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October 27, 2017 was 72,546,870.</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9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12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7"/>
              </w:rPr>
              <w:t>QUARTER ENDED SEPTEMBER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48"/>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Balance Sheets as of September 30, 2017 (unaudited) and December 31, 2016</w:t>
            </w:r>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6"/>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w w:val="95"/>
              </w:rPr>
              <w:t>Consolidated Statements of Comprehensive Income (unaudited) for the three and nine months ended September 30, 2017 and</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190"/>
        </w:trPr>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20" w:type="dxa"/>
            <w:vAlign w:val="bottom"/>
          </w:tcPr>
          <w:p>
            <w:pPr>
              <w:ind w:left="140"/>
              <w:spacing w:after="0" w:line="190" w:lineRule="exact"/>
              <w:rPr>
                <w:sz w:val="20"/>
                <w:szCs w:val="20"/>
                <w:color w:val="auto"/>
              </w:rPr>
            </w:pPr>
            <w:r>
              <w:rPr>
                <w:rFonts w:ascii="Arial" w:cs="Arial" w:eastAsia="Arial" w:hAnsi="Arial"/>
                <w:sz w:val="18"/>
                <w:szCs w:val="18"/>
                <w:color w:val="auto"/>
              </w:rPr>
              <w:t>2016</w:t>
            </w:r>
          </w:p>
        </w:tc>
        <w:tc>
          <w:tcPr>
            <w:tcW w:w="80" w:type="dxa"/>
            <w:vAlign w:val="bottom"/>
          </w:tcPr>
          <w:p>
            <w:pPr>
              <w:spacing w:after="0"/>
              <w:rPr>
                <w:sz w:val="16"/>
                <w:szCs w:val="16"/>
                <w:color w:val="auto"/>
              </w:rPr>
            </w:pPr>
          </w:p>
        </w:tc>
        <w:tc>
          <w:tcPr>
            <w:tcW w:w="10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2017 and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2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w:t>
            </w:r>
          </w:p>
        </w:tc>
        <w:tc>
          <w:tcPr>
            <w:tcW w:w="98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1A.</w:t>
            </w:r>
          </w:p>
        </w:tc>
        <w:tc>
          <w:tcPr>
            <w:tcW w:w="98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2.</w:t>
            </w:r>
          </w:p>
        </w:tc>
        <w:tc>
          <w:tcPr>
            <w:tcW w:w="98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3.</w:t>
            </w:r>
          </w:p>
        </w:tc>
        <w:tc>
          <w:tcPr>
            <w:tcW w:w="98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4.</w:t>
            </w:r>
          </w:p>
        </w:tc>
        <w:tc>
          <w:tcPr>
            <w:tcW w:w="98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5.</w:t>
            </w:r>
          </w:p>
        </w:tc>
        <w:tc>
          <w:tcPr>
            <w:tcW w:w="982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1400" w:type="dxa"/>
            <w:vAlign w:val="bottom"/>
            <w:gridSpan w:val="2"/>
          </w:tcPr>
          <w:p>
            <w:pPr>
              <w:ind w:left="620"/>
              <w:spacing w:after="0"/>
              <w:rPr>
                <w:sz w:val="20"/>
                <w:szCs w:val="20"/>
                <w:color w:val="auto"/>
              </w:rPr>
            </w:pPr>
            <w:r>
              <w:rPr>
                <w:rFonts w:ascii="Arial" w:cs="Arial" w:eastAsia="Arial" w:hAnsi="Arial"/>
                <w:sz w:val="18"/>
                <w:szCs w:val="18"/>
                <w:color w:val="auto"/>
              </w:rPr>
              <w:t>Item 6.</w:t>
            </w:r>
          </w:p>
        </w:tc>
        <w:tc>
          <w:tcPr>
            <w:tcW w:w="98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574"/>
        </w:trPr>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SIGNATURES</w:t>
            </w:r>
          </w:p>
        </w:tc>
        <w:tc>
          <w:tcPr>
            <w:tcW w:w="98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939"/>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20" w:type="dxa"/>
            <w:vAlign w:val="bottom"/>
          </w:tcPr>
          <w:p>
            <w:pPr>
              <w:jc w:val="center"/>
              <w:ind w:right="111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76"/>
        </w:trPr>
        <w:tc>
          <w:tcPr>
            <w:tcW w:w="8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4"/>
          </w:tcPr>
          <w:p>
            <w:pPr>
              <w:jc w:val="right"/>
              <w:ind w:right="111"/>
              <w:spacing w:after="0" w:line="153" w:lineRule="exact"/>
              <w:rPr>
                <w:sz w:val="20"/>
                <w:szCs w:val="20"/>
                <w:color w:val="auto"/>
              </w:rPr>
            </w:pPr>
            <w:r>
              <w:rPr>
                <w:rFonts w:ascii="Arial" w:cs="Arial" w:eastAsia="Arial" w:hAnsi="Arial"/>
                <w:sz w:val="14"/>
                <w:szCs w:val="14"/>
                <w:b w:val="1"/>
                <w:bCs w:val="1"/>
                <w:color w:val="auto"/>
                <w:w w:val="93"/>
              </w:rPr>
              <w:t>(In thousands, except share and per</w:t>
            </w:r>
          </w:p>
        </w:tc>
        <w:tc>
          <w:tcPr>
            <w:tcW w:w="0" w:type="dxa"/>
            <w:vAlign w:val="bottom"/>
          </w:tcPr>
          <w:p>
            <w:pPr>
              <w:spacing w:after="0"/>
              <w:rPr>
                <w:sz w:val="1"/>
                <w:szCs w:val="1"/>
                <w:color w:val="auto"/>
              </w:rPr>
            </w:pPr>
          </w:p>
        </w:tc>
      </w:tr>
      <w:tr>
        <w:trPr>
          <w:trHeight w:val="186"/>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8"/>
              </w:rPr>
              <w:t>Operating (including $1,666,691 and $1,226,918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6,758,728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6,125,957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769,882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599,260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Asset held for sale</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33,856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7,528,610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6,759,073</w:t>
            </w:r>
          </w:p>
        </w:tc>
        <w:tc>
          <w:tcPr>
            <w:tcW w:w="0" w:type="dxa"/>
            <w:vAlign w:val="bottom"/>
          </w:tcPr>
          <w:p>
            <w:pPr>
              <w:spacing w:after="0"/>
              <w:rPr>
                <w:sz w:val="1"/>
                <w:szCs w:val="1"/>
                <w:color w:val="auto"/>
              </w:rPr>
            </w:pPr>
          </w:p>
        </w:tc>
      </w:tr>
      <w:tr>
        <w:trPr>
          <w:trHeight w:val="229"/>
        </w:trPr>
        <w:tc>
          <w:tcPr>
            <w:tcW w:w="8800" w:type="dxa"/>
            <w:vAlign w:val="bottom"/>
          </w:tcPr>
          <w:p>
            <w:pPr>
              <w:ind w:left="720"/>
              <w:spacing w:after="0"/>
              <w:rPr>
                <w:sz w:val="20"/>
                <w:szCs w:val="20"/>
                <w:color w:val="auto"/>
              </w:rPr>
            </w:pPr>
            <w:r>
              <w:rPr>
                <w:rFonts w:ascii="Arial" w:cs="Arial" w:eastAsia="Arial" w:hAnsi="Arial"/>
                <w:sz w:val="18"/>
                <w:szCs w:val="18"/>
                <w:color w:val="auto"/>
                <w:w w:val="93"/>
              </w:rPr>
              <w:t>Less accumulated depreciation and amortization (including $236,391 and $209,239 of consolidated variable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interest entities, respectively)</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(1,828,845)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(1,729,234)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5,699,765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5,029,839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22,850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23,368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116,749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Mortgage notes receivable, net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29,904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243,290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208,555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6,221,137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w w:val="93"/>
              </w:rPr>
              <w:t>Mortgages payable (including $461,873 and $439,120 of consolidated variable interest entities,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493,240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471,117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71,590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320,718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279,151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2,377,939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1,976,594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206,441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201,756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71,440</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175,464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115,817</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3,735,531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3,203,750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143,694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Preferred shares, authorized 15,000,000 shares, $.01 par: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5.0% Series C Cumulative Redeemable Preferred Shares, (stated at liquidation preference $25,000 per share),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6,000 and 0 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tcPr>
          <w:p>
            <w:pPr>
              <w:ind w:left="820"/>
              <w:spacing w:after="0"/>
              <w:rPr>
                <w:sz w:val="20"/>
                <w:szCs w:val="20"/>
                <w:color w:val="auto"/>
              </w:rPr>
            </w:pPr>
            <w:r>
              <w:rPr>
                <w:rFonts w:ascii="Arial" w:cs="Arial" w:eastAsia="Arial" w:hAnsi="Arial"/>
                <w:sz w:val="18"/>
                <w:szCs w:val="18"/>
                <w:color w:val="auto"/>
                <w:w w:val="93"/>
              </w:rPr>
              <w:t>5.417% Series 1 Cumulative Convertible Preferred Shares, (stated at liquidation preference $25 per share),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820"/>
              <w:spacing w:after="0"/>
              <w:rPr>
                <w:sz w:val="20"/>
                <w:szCs w:val="20"/>
                <w:color w:val="auto"/>
              </w:rPr>
            </w:pPr>
            <w:r>
              <w:rPr>
                <w:rFonts w:ascii="Arial" w:cs="Arial" w:eastAsia="Arial" w:hAnsi="Arial"/>
                <w:sz w:val="18"/>
                <w:szCs w:val="18"/>
                <w:color w:val="auto"/>
              </w:rPr>
              <w:t>399,896 shares issued and outstanding</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Common shares of beneficial interest, $.01 par, 100,000,000 shares authorized, 72,542,909 and 71,995,897</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2,773,890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2,718,325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(749,734)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2,208,954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1,976,733</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124,837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99,102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2,333,791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2,075,835</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6,221,137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5,423,279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09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6" w:right="239" w:bottom="1097"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585,712</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8,559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217,953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201,157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633,391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597,482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41,250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38,588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119,487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118,385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71,164</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25,278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159,656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145,137</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133,456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120,696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384,260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359,964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237,518</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(Loss) income from real estate partnerships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166,701</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w w:val="95"/>
              </w:rPr>
              <w:t>Gain on sale of real estate and change in control of interests, net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50,775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69,949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32,458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245,085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199,159</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239,258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191,873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Dividends on preferred shares</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106,600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58,841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191,467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1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w:t>
            </w: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72,091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71,319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70,626</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DILUTED:</w:t>
            </w: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60"/>
              <w:spacing w:after="0"/>
              <w:rPr>
                <w:sz w:val="20"/>
                <w:szCs w:val="20"/>
                <w:color w:val="auto"/>
              </w:rPr>
            </w:pPr>
            <w:r>
              <w:rPr>
                <w:rFonts w:ascii="Arial" w:cs="Arial" w:eastAsia="Arial" w:hAnsi="Arial"/>
                <w:sz w:val="18"/>
                <w:szCs w:val="18"/>
                <w:color w:val="auto"/>
              </w:rPr>
              <w:t>Net income available for common shareholders</w:t>
            </w:r>
          </w:p>
        </w:tc>
        <w:tc>
          <w:tcPr>
            <w:tcW w:w="146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w:t>
            </w: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246,920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197,875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241,093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4"/>
            <w:vMerge w:val="restart"/>
          </w:tcPr>
          <w:p>
            <w:pPr>
              <w:jc w:val="right"/>
              <w:ind w:right="21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640" w:type="dxa"/>
            <w:vAlign w:val="bottom"/>
            <w:gridSpan w:val="4"/>
            <w:vMerge w:val="restart"/>
          </w:tcPr>
          <w:p>
            <w:pPr>
              <w:jc w:val="right"/>
              <w:ind w:right="219"/>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vMerge w:val="restart"/>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7"/>
          </w:tcPr>
          <w:p>
            <w:pPr>
              <w:ind w:left="360"/>
              <w:spacing w:after="0"/>
              <w:rPr>
                <w:sz w:val="20"/>
                <w:szCs w:val="20"/>
                <w:color w:val="auto"/>
              </w:rPr>
            </w:pPr>
            <w:r>
              <w:rPr>
                <w:rFonts w:ascii="Arial" w:cs="Arial" w:eastAsia="Arial" w:hAnsi="Arial"/>
                <w:sz w:val="14"/>
                <w:szCs w:val="14"/>
                <w:b w:val="1"/>
                <w:bCs w:val="1"/>
                <w:color w:val="auto"/>
                <w:w w:val="97"/>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shd w:val="clear" w:color="auto" w:fill="CCEEFF"/>
              </w:rPr>
              <w:t>BALANCE AT DECEMBER 31, 2016</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71,995,897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$2,718,325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(749,734)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99,102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$ 2,075,835</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January 1, 2017 adoption of new</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accounting standard - See Note 2</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5"/>
              </w:rPr>
              <w:t>Net income, excluding $2,774 attributable</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239,258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242,311</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5"/>
              </w:rPr>
              <w:t>Other comprehensive income - change in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fair value of interest rate swaps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1,835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(213,954)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(213,954)</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Common shares issued, net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325,451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42,690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42,694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Preferred shares issued, net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144,973</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112,334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8,213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8,214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plan</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1,809</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105,291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9,401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9,402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Shares withheld for employee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20,030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2,569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(2,569)</w:t>
            </w: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Contributions from noncontrolling</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interests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35,264</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35,264</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Purchase of noncontrolling interest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(5,578)</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(5,535)</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shd w:val="clear" w:color="auto" w:fill="CCEEFF"/>
              </w:rPr>
              <w:t>BALANCE AT 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405,896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6"/>
              </w:rPr>
              <w:t>159,997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72,542,909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$2,773,890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(724,919)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124,837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$ 2,333,791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190"/>
        </w:trPr>
        <w:tc>
          <w:tcPr>
            <w:tcW w:w="8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199,159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159,656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145,137</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(69,949)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(32,458)</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(income) from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accounts receivable,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(3,604)</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(25,769)</w:t>
            </w:r>
          </w:p>
        </w:tc>
      </w:tr>
      <w:tr>
        <w:trPr>
          <w:trHeight w:val="243"/>
        </w:trPr>
        <w:tc>
          <w:tcPr>
            <w:tcW w:w="8560" w:type="dxa"/>
            <w:vAlign w:val="bottom"/>
          </w:tcPr>
          <w:p>
            <w:pPr>
              <w:ind w:left="720"/>
              <w:spacing w:after="0"/>
              <w:rPr>
                <w:sz w:val="20"/>
                <w:szCs w:val="20"/>
                <w:color w:val="auto"/>
              </w:rPr>
            </w:pPr>
            <w:r>
              <w:rPr>
                <w:rFonts w:ascii="Arial" w:cs="Arial" w:eastAsia="Arial" w:hAnsi="Arial"/>
                <w:sz w:val="18"/>
                <w:szCs w:val="18"/>
                <w:color w:val="auto"/>
              </w:rPr>
              <w:t>Increase in accounts payable and accrued expenses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13,617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11,164</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(decrease) in security deposits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339,638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293,408</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(436,652)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(135,151)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(335,666)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(263,606)</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(40,326)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real estate and real estate partnership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(3,494)</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(11,471)</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repayment of mortgage and other notes receivable,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11,721</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(708,280)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(438,417)</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Net borrowings (repayment) under revolving credit facility, net of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(53,500)</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399,454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241,787</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Repayment of mortgages and capital leases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(38,849)</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300,040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Issuance of preferred shares, net of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145,456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(210,845)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(197,750)</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Shares withheld for employee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(4,436)</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(22,350)</w:t>
            </w:r>
          </w:p>
        </w:tc>
      </w:tr>
      <w:tr>
        <w:trPr>
          <w:trHeight w:val="27"/>
        </w:trPr>
        <w:tc>
          <w:tcPr>
            <w:tcW w:w="8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368,124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225,244</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80,235</w:t>
            </w:r>
          </w:p>
        </w:tc>
      </w:tr>
      <w:tr>
        <w:trPr>
          <w:trHeight w:val="27"/>
        </w:trPr>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21,046</w:t>
            </w:r>
          </w:p>
        </w:tc>
      </w:tr>
      <w:tr>
        <w:trPr>
          <w:trHeight w:val="237"/>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22,850</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101,281</w:t>
            </w:r>
          </w:p>
        </w:tc>
      </w:tr>
      <w:tr>
        <w:trPr>
          <w:trHeight w:val="27"/>
        </w:trPr>
        <w:tc>
          <w:tcPr>
            <w:tcW w:w="8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6"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September 30, 2017, we owned or had a majority interest in community and neighborhood shopping centers and mixed-use properties which are operated as 104 predominantly retail real estate projects.</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consolidated balance sheet as of December 31, 2016,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2017 are not necessarily indicative of the results that may be expected for the full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2016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currently under construction on 221 condominium units at our Assembly Row and Pike &amp; Rose properties. Gains or losses on the sale of these condominium units are recognized in accordance with the provisions of ASC Topic 360-20, “Property, Plant and Equipment – Real Estate Sales.” We account for contracted condominium sales under the percentage-of-completion method, based on an evaluation of the criteria specified in ASC Topic 360-20 including: the legal commitment of the purchaser in the real estate contract, whether the construction of the project is beyond a preliminary phase, whether sufficient units have been contracted to ensure the project will not revert to a rental project, the ability to reasonably estimate the aggregate project sale proceeds and aggregate project costs, and the determination that the buyer has made an adequate initial and continuing cash investment under the contract. When the percentage-of-completion criteria have not been met, no profit is recognized. The application of this criteria can be complex and requires us to make assumptions.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6" w:right="25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May 2014, the FASB issued ASU 2014-09, "Revenue from Contracts with Customers." ASU 2014-09 as amended and interpreted by ASU 2015-14, ASU 2016-08, ASU 2016-10, ASU 2016-12, and ASU 2016-20, supersedes nearly all existing revenue recognition guidance under GAAP and replaces it with a core revenue recognition principle, that an entity will recognize revenue when it transfers control of promised goods or services to customers in an amount that reflects the consideration to which the entity expects to be entitled in exchange for those goods or services, and creates a five-step model for revenue recognition in accordance with this principle. While we are still completing the assessment of the impact of these standards to our consolidated financial statements, we believe the majority of our revenue falls outside of the scope of this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guidance. However, the new guidance will affect the accounting method related to our gains on condominium sales. Currently, gains on contracted sales are recognized using the percentage-of-completion method, with the gain recognized once certain criteria have been met in advance of legal closing (see further discussion in Note 3 to the consolidated financial statements). Under the new guidance, condominium sale gains will be recognized as the condominium units are legally sold, which will typically be upon closing. We intend to implement the new revenue recognition guidance retrospectively with the cumulative effect recognized in retained earnings at the date of initial application.</w:t>
      </w:r>
    </w:p>
    <w:p>
      <w:pPr>
        <w:spacing w:after="0" w:line="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2017, the FASB issued ASU 2017-05, "Other Income - Gains and Losses from the Derecognition of Nonfinancial Assets (Subtopic 610-20): Clarifying the Scope of Asset Derecognition Guidance and Accounting for Partial Sales of Nonfinancial Assets." ASU 2017-05 clarifies that ASC 610-20 applies to all nonfinancial assets (including real estate) for which the counterparty is not a customer and also clarifies that all businesses are derecognized using the deconsolidation guidance. Additionally, it defines an insubstance nonfinancial asset as a financial asset that is promised to a counterparty in a contract in which substantially all of the fair value of the assets promised in the contract is concentrated in nonfinancial assets, which excludes cash or cash equivalents and liabilities. The new guidance is expected to impact the gain recognized when a real estate asset is sold to a non-customer and a noncontrolling interest is retained. Under the current guidance, a partial sale is recognized and carryover basis is used for the retained interest, however, the new guidance eliminates the use of carryover basis and generally requires a full gain to be recognized. ASU 2017-05 is effective for us in the first quarter of 2018, and we are currently assessing the impact of this standard to our consolidated financial statements.</w:t>
      </w:r>
    </w:p>
    <w:p>
      <w:pPr>
        <w:spacing w:after="0" w:line="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May 2017, the FASB issued ASU 2017-09, "Compensation-Stock Compensation (Topic 718): Scope of Modification Accounting." ASU 2017-09 clarifies when changes to the terms or conditions of a share-based payment award must be accounted for as modifications. Under the new guidance, an entity will not apply modification accounting if the awards' fair value, vesting conditions, and the classification of the award as equity or a liability are the same immediately before and after the change. ASU 2017-09 is effective for us in the first quarter of 2018, is applied prospectively to awards granted or modified after the adoption date, and is not expected to have a significant impact to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Additionally, ASU 2016-09 requires the cash paid to a taxing authority when shares are withheld to pay employee taxes to be classified as a "financing activity" rather than an "operating activity," as was done previously on the Statement of Cash Flows. We adopted this standard effective January 1, 2017, and as a result, we are now accounting for forfeitures as they occur, and have recorded the cumulative impact on the adoption date as a $0.1 million adjustment to additional paid in capital and retained earnings. The amount reclassified from "operating activities" to "financing activities" for shares withheld for employee taxes was $4.4 million.</w:t>
      </w:r>
    </w:p>
    <w:p>
      <w:pPr>
        <w:spacing w:after="0" w:line="11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January 2017, the FASB issued ASU 2017-01, "Clarifying the Definition of a Business." ASU 2017-01 changes the definition of a business to exclude acquisitions where substantially all of the fair value of the assets acquired are concentrated in a single identifiable asset or a group of similar identifiable assets. Given this change in definition, we believe most of our shopping center acquisitions will no longer be considered business combinations but rather asset acquisitions. While there are various differences between the accounting for an asset acquisition and a business combination, the largest impact will be that transaction costs are capitalized for asset acquisitions rather than expensed when they were considered business combinations. Based on acquisitions in the past several years, transaction costs for a single shopping center acquisition have typically ranged from $0.2 million to $2.4 million with significantly higher transaction costs expected for an acquisition of a larger portfolio. We adopted this standard effective January 1, 2017, and are applying the new guidance prospectively. Our acquisitions in the first nine months of 2017 (further discussed in Note 3 below) qualified as asset acquisitions and consequently, all transaction costs were capitalized.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92,520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83,803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73,952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71,143</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70,486</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66,921</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loans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79,401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DownREIT operating partnership units issued with acquisition of noncontrolling 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2,569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18,679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leased three parcels of land at our Assembly Row property to two ground lessees. During 2016, both lessees exercised purchase options under the related ground leases. The sale transaction related to the purchase option on one of our ground leases was completed on April 4, 2017 for a sales price of $36.0 million. On June 28, 2017, the sale transactions related to the purchase options on our other two ground lease parcels were completed for a total sales price of $17.3 million. The net gain recognized in connection with these transactions was approximately $15.4 million.</w:t>
      </w:r>
    </w:p>
    <w:p>
      <w:pPr>
        <w:spacing w:after="0" w:line="3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Additionally, approximately $2.4 million was allocated to noncontrolling interests.</w:t>
      </w:r>
    </w:p>
    <w:p>
      <w:pPr>
        <w:spacing w:after="0" w:line="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August 2, 2017, we acquired an approximately 90% interest in a joint venture that owns six shopping centers in Los Angeles County, California based on a gross value of $357 million, including the assumption of $79.4 million of mortgage debt. Approximately $7.8 million of assets acquired were allocated to lease intangibles and included within other assets. Approximately $36.2 million of net assets acquired were allocated to lease liabilities and included in other liabilities. Additionally, approximately $30.6 million was allocated to noncontrolling interests. That joint venture also acquired a 24.5% interest in La Alameda, a shopping center in Walnut Park, California for $19.8 million. The property has $41.0 million of mortgage debt, of which the joint venture's share is approximately $10 million. Additional information on the properties is listed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3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838"/>
        </w:trPr>
        <w:tc>
          <w:tcPr>
            <w:tcW w:w="1220" w:type="dxa"/>
            <w:vAlign w:val="bottom"/>
            <w:tcBorders>
              <w:top w:val="single" w:sz="8" w:color="0000EE"/>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spacing w:after="0"/>
              <w:rPr>
                <w:sz w:val="24"/>
                <w:szCs w:val="24"/>
                <w:color w:val="auto"/>
              </w:rPr>
            </w:pP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5920" w:type="dxa"/>
            <w:vAlign w:val="bottom"/>
            <w:gridSpan w:val="2"/>
          </w:tcPr>
          <w:p>
            <w:pPr>
              <w:jc w:val="center"/>
              <w:ind w:right="4340"/>
              <w:spacing w:after="0"/>
              <w:rPr>
                <w:sz w:val="20"/>
                <w:szCs w:val="20"/>
                <w:color w:val="auto"/>
              </w:rPr>
            </w:pPr>
            <w:r>
              <w:rPr>
                <w:rFonts w:ascii="Arial" w:cs="Arial" w:eastAsia="Arial" w:hAnsi="Arial"/>
                <w:sz w:val="16"/>
                <w:szCs w:val="16"/>
                <w:b w:val="1"/>
                <w:bCs w:val="1"/>
                <w:color w:val="auto"/>
              </w:rPr>
              <w:t>GLA</w:t>
            </w:r>
          </w:p>
        </w:tc>
      </w:tr>
      <w:tr>
        <w:trPr>
          <w:trHeight w:val="33"/>
        </w:trPr>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8"/>
        </w:trPr>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920" w:type="dxa"/>
            <w:vAlign w:val="bottom"/>
            <w:gridSpan w:val="2"/>
          </w:tcPr>
          <w:p>
            <w:pPr>
              <w:jc w:val="center"/>
              <w:ind w:right="4340"/>
              <w:spacing w:after="0"/>
              <w:rPr>
                <w:sz w:val="20"/>
                <w:szCs w:val="20"/>
                <w:color w:val="auto"/>
              </w:rPr>
            </w:pPr>
            <w:r>
              <w:rPr>
                <w:rFonts w:ascii="Arial" w:cs="Arial" w:eastAsia="Arial" w:hAnsi="Arial"/>
                <w:sz w:val="14"/>
                <w:szCs w:val="14"/>
                <w:b w:val="1"/>
                <w:bCs w:val="1"/>
                <w:color w:val="auto"/>
                <w:w w:val="93"/>
              </w:rPr>
              <w:t>(in square feet)</w:t>
            </w: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222,000</w:t>
            </w:r>
          </w:p>
        </w:tc>
        <w:tc>
          <w:tcPr>
            <w:tcW w:w="4340" w:type="dxa"/>
            <w:vAlign w:val="bottom"/>
            <w:tcBorders>
              <w:bottom w:val="single" w:sz="8" w:color="CCEEFF"/>
            </w:tcBorders>
            <w:shd w:val="clear" w:color="auto" w:fill="CCEEFF"/>
          </w:tcPr>
          <w:p>
            <w:pPr>
              <w:spacing w:after="0"/>
              <w:rPr>
                <w:sz w:val="22"/>
                <w:szCs w:val="22"/>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330,000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245,000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204,000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148,000</w:t>
            </w:r>
          </w:p>
        </w:tc>
        <w:tc>
          <w:tcPr>
            <w:tcW w:w="4340" w:type="dxa"/>
            <w:vAlign w:val="bottom"/>
            <w:tcBorders>
              <w:bottom w:val="single" w:sz="8" w:color="CCEEFF"/>
            </w:tcBorders>
            <w:shd w:val="clear" w:color="auto" w:fill="CCEEFF"/>
          </w:tcPr>
          <w:p>
            <w:pPr>
              <w:spacing w:after="0"/>
              <w:rPr>
                <w:sz w:val="23"/>
                <w:szCs w:val="23"/>
                <w:color w:val="auto"/>
              </w:rPr>
            </w:pPr>
          </w:p>
        </w:tc>
      </w:tr>
      <w:tr>
        <w:trPr>
          <w:trHeight w:val="217"/>
        </w:trPr>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1,352,000</w:t>
            </w:r>
          </w:p>
        </w:tc>
        <w:tc>
          <w:tcPr>
            <w:tcW w:w="43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Property is currently being redeveloped. GLA reflects approximate square footage once the property is open and operating.</w:t>
      </w:r>
    </w:p>
    <w:p>
      <w:pPr>
        <w:spacing w:after="0" w:line="12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unaudited pro forma financial data includes the incremental revenues, operating expenses (including approximately $2.8 million and $8.5 million of depreciation and amortization expense for the three and nine months ended September 30, 2017 and 2016, respectively), and interest expense/financing costs related to the properties acquired on August 2, 2017 as if they had occurred on January 1, 2016. The pro forma financial information is presented for informational purposes only and may not be indicative of what actual results of income would have been, nor does it represent the results of income for future periods.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8"/>
                <w:szCs w:val="18"/>
                <w:color w:val="auto"/>
              </w:rPr>
            </w:pPr>
          </w:p>
        </w:tc>
        <w:tc>
          <w:tcPr>
            <w:tcW w:w="230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w w:val="93"/>
              </w:rPr>
              <w:t>Nine Months Ended</w:t>
            </w:r>
          </w:p>
        </w:tc>
      </w:tr>
      <w:tr>
        <w:trPr>
          <w:trHeight w:val="270"/>
        </w:trPr>
        <w:tc>
          <w:tcPr>
            <w:tcW w:w="6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gridSpan w:val="2"/>
          </w:tcPr>
          <w:p>
            <w:pPr>
              <w:jc w:val="center"/>
              <w:ind w:left="439"/>
              <w:spacing w:after="0"/>
              <w:rPr>
                <w:sz w:val="20"/>
                <w:szCs w:val="20"/>
                <w:color w:val="auto"/>
              </w:rPr>
            </w:pPr>
            <w:r>
              <w:rPr>
                <w:rFonts w:ascii="Arial" w:cs="Arial" w:eastAsia="Arial" w:hAnsi="Arial"/>
                <w:sz w:val="16"/>
                <w:szCs w:val="16"/>
                <w:b w:val="1"/>
                <w:bCs w:val="1"/>
                <w:color w:val="auto"/>
                <w:w w:val="91"/>
              </w:rPr>
              <w:t>September 30,</w:t>
            </w:r>
          </w:p>
        </w:tc>
        <w:tc>
          <w:tcPr>
            <w:tcW w:w="780" w:type="dxa"/>
            <w:vAlign w:val="bottom"/>
          </w:tcPr>
          <w:p>
            <w:pPr>
              <w:spacing w:after="0"/>
              <w:rPr>
                <w:sz w:val="23"/>
                <w:szCs w:val="23"/>
                <w:color w:val="auto"/>
              </w:rPr>
            </w:pP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780" w:type="dxa"/>
            <w:vAlign w:val="bottom"/>
          </w:tcPr>
          <w:p>
            <w:pPr>
              <w:jc w:val="right"/>
              <w:ind w:right="379"/>
              <w:spacing w:after="0"/>
              <w:rPr>
                <w:sz w:val="20"/>
                <w:szCs w:val="20"/>
                <w:color w:val="auto"/>
              </w:rPr>
            </w:pPr>
            <w:r>
              <w:rPr>
                <w:rFonts w:ascii="Arial" w:cs="Arial" w:eastAsia="Arial" w:hAnsi="Arial"/>
                <w:sz w:val="16"/>
                <w:szCs w:val="16"/>
                <w:b w:val="1"/>
                <w:bCs w:val="1"/>
                <w:color w:val="auto"/>
                <w:w w:val="84"/>
              </w:rPr>
              <w:t>2016</w:t>
            </w:r>
          </w:p>
        </w:tc>
      </w:tr>
      <w:tr>
        <w:trPr>
          <w:trHeight w:val="3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w w:val="91"/>
              </w:rPr>
              <w:t>(in millions) (unaudited)</w:t>
            </w: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55"/>
        </w:trPr>
        <w:tc>
          <w:tcPr>
            <w:tcW w:w="6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220.2</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649.0</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616.0</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Net income available for common shareholders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106.2</w:t>
            </w:r>
          </w:p>
        </w:tc>
        <w:tc>
          <w:tcPr>
            <w:tcW w:w="5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235.9</w:t>
            </w:r>
          </w:p>
        </w:tc>
        <w:tc>
          <w:tcPr>
            <w:tcW w:w="5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187.5</w:t>
            </w:r>
          </w:p>
        </w:tc>
      </w:tr>
    </w:tbl>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25, 2017, we sold our property located at 150 Post Street in San Francisco, California for a sales price of $69.3 million, resulting in a gain of $45.2 million.</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25, 2017, we sold our North Lake Commons property in Lake Zurich, Illinois for a sales price of $15.6 million, resulting in a gain of $4.9 million.</w:t>
      </w:r>
    </w:p>
    <w:p>
      <w:pPr>
        <w:spacing w:after="0" w:line="1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three and nine months ended September 30, 2017 we recognized a $0.6 million and $3.9 million gain, respectively, net of $0.3 million and $2.0 million of income taxes, respectively, related to the sale of condominiums at our Assembly Row property based on the percentage-of-completion method. In connection with recording the gain, we recognized a receivable of $59.1 million as of September 30, 2017. The closing of the Assembly Row condominium sales is expected to commence in 2018. As of September 30, 2017, no gain has been recognized for contracted condominium sales at Pike &amp; Rose, as not all of the criteria necessary for profit recognition have been met.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June 23, 2017, we issued $400.0 million aggregate principal amount of fixed rate senior unsecured notes in two separate series. We issued $300.0 million of 3.25% notes that mature on July 15, 2027, were offered at 99.083% of the principal amount, with a yield to maturity of 3.358%. Additionally, we issued $100.0 million of 4.50% notes due December 1, 2044. The 4.50% notes were offered at 105.760% of the principal amount, with a yield to maturity of</w:t>
      </w:r>
    </w:p>
    <w:p>
      <w:pPr>
        <w:ind w:right="480"/>
        <w:spacing w:after="0" w:line="261" w:lineRule="auto"/>
        <w:rPr>
          <w:sz w:val="20"/>
          <w:szCs w:val="20"/>
          <w:color w:val="auto"/>
        </w:rPr>
      </w:pPr>
      <w:r>
        <w:rPr>
          <w:rFonts w:ascii="Arial" w:cs="Arial" w:eastAsia="Arial" w:hAnsi="Arial"/>
          <w:sz w:val="18"/>
          <w:szCs w:val="18"/>
          <w:color w:val="auto"/>
        </w:rPr>
        <w:t>4.143%, and have the same terms and are of the same series as the senior notes first issued on November 14, 2014. Our net proceeds from the June note offering after net issuance premium, underwriting fees and other costs was approximately $399.5 million.</w:t>
      </w:r>
    </w:p>
    <w:p>
      <w:pPr>
        <w:spacing w:after="0" w:line="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six shopping centers in Los Angeles County, California on August 2, 2017 (as further discussed in Note 3), we assumed mortgage loans with a face amount of $79.4 million and a fair value of $80.1 million. The mortgage loans are secured by the individual properties with the following contractual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544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1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703"/>
        </w:trPr>
        <w:tc>
          <w:tcPr>
            <w:tcW w:w="122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jc w:val="center"/>
              <w:ind w:left="356"/>
              <w:spacing w:after="0"/>
              <w:rPr>
                <w:sz w:val="20"/>
                <w:szCs w:val="20"/>
                <w:color w:val="auto"/>
              </w:rPr>
            </w:pPr>
            <w:r>
              <w:rPr>
                <w:rFonts w:ascii="Arial" w:cs="Arial" w:eastAsia="Arial" w:hAnsi="Arial"/>
                <w:sz w:val="16"/>
                <w:szCs w:val="16"/>
                <w:b w:val="1"/>
                <w:bCs w:val="1"/>
                <w:color w:val="auto"/>
                <w:w w:val="94"/>
              </w:rPr>
              <w:t>Principal</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2"/>
          </w:tcPr>
          <w:p>
            <w:pPr>
              <w:ind w:left="380"/>
              <w:spacing w:after="0"/>
              <w:rPr>
                <w:sz w:val="20"/>
                <w:szCs w:val="20"/>
                <w:color w:val="auto"/>
              </w:rPr>
            </w:pPr>
            <w:r>
              <w:rPr>
                <w:rFonts w:ascii="Arial" w:cs="Arial" w:eastAsia="Arial" w:hAnsi="Arial"/>
                <w:sz w:val="16"/>
                <w:szCs w:val="16"/>
                <w:b w:val="1"/>
                <w:bCs w:val="1"/>
                <w:color w:val="auto"/>
              </w:rPr>
              <w:t>Stated Interest Rate</w:t>
            </w: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12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360" w:type="dxa"/>
            <w:vAlign w:val="bottom"/>
          </w:tcPr>
          <w:p>
            <w:pPr>
              <w:jc w:val="center"/>
              <w:ind w:left="376"/>
              <w:spacing w:after="0"/>
              <w:rPr>
                <w:sz w:val="20"/>
                <w:szCs w:val="20"/>
                <w:color w:val="auto"/>
              </w:rPr>
            </w:pPr>
            <w:r>
              <w:rPr>
                <w:rFonts w:ascii="Arial" w:cs="Arial" w:eastAsia="Arial" w:hAnsi="Arial"/>
                <w:sz w:val="16"/>
                <w:szCs w:val="16"/>
                <w:b w:val="1"/>
                <w:bCs w:val="1"/>
                <w:color w:val="auto"/>
                <w:w w:val="91"/>
              </w:rPr>
              <w:t>(in millions)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Sylmar Towne Center</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6, 2021</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Plaza Del Sol</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December 1, 2021</w:t>
            </w:r>
          </w:p>
        </w:tc>
      </w:tr>
      <w:tr>
        <w:trPr>
          <w:trHeight w:val="27"/>
        </w:trPr>
        <w:tc>
          <w:tcPr>
            <w:tcW w:w="1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Azalea</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1, 2025</w:t>
            </w:r>
          </w:p>
        </w:tc>
      </w:tr>
      <w:tr>
        <w:trPr>
          <w:trHeight w:val="243"/>
        </w:trPr>
        <w:tc>
          <w:tcPr>
            <w:tcW w:w="5440" w:type="dxa"/>
            <w:vAlign w:val="bottom"/>
            <w:gridSpan w:val="2"/>
          </w:tcPr>
          <w:p>
            <w:pPr>
              <w:ind w:left="40"/>
              <w:spacing w:after="0"/>
              <w:rPr>
                <w:sz w:val="20"/>
                <w:szCs w:val="20"/>
                <w:color w:val="auto"/>
              </w:rPr>
            </w:pPr>
            <w:r>
              <w:rPr>
                <w:rFonts w:ascii="Arial" w:cs="Arial" w:eastAsia="Arial" w:hAnsi="Arial"/>
                <w:sz w:val="18"/>
                <w:szCs w:val="18"/>
                <w:color w:val="auto"/>
              </w:rPr>
              <w:t>Bell Gardens</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13.3</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 2026</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August 31, 2017, we refinanced the $41.8 million mortgage loan, at par, on The Grove at Shrewsbury (East) at a face amount of $43.6 million. The new mortgage loan bears interest at 3.77% and matures on September 1, 2027.</w:t>
      </w:r>
    </w:p>
    <w:p>
      <w:pPr>
        <w:spacing w:after="0" w:line="11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and nine months ended September 30, 2017, the maximum amount of borrowings outstanding under our $800.0 million revolving credit facility was $281.5 million and $344.0 million, respectively, and the weighted average interest rate, before amortization of debt fees, was 2.1% and 1.9%, respectively. During the three and nine months ended September 30, 2017, the weighted average borrowings outstanding were $172.7 million and $173.0 million, respectively. At September 30, 2017, there was $41.5 million outstanding balance. Our revolving credit facility, term loan and certain notes require us to comply with various financial covenants, including the maintenance of minimum shareholders’ equity and debt coverage ratios and a maximum ratio of debt to net worth. As of September 30, 2017, we were in compliance with all default related debt covenants.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1080" w:type="dxa"/>
            <w:vAlign w:val="bottom"/>
          </w:tcPr>
          <w:p>
            <w:pPr>
              <w:jc w:val="right"/>
              <w:ind w:right="441"/>
              <w:spacing w:after="0" w:line="153"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Value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813,958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826,012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750,268</w:t>
            </w: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760,260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2,377,939</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2,452,494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1"/>
              <w:spacing w:after="0"/>
              <w:rPr>
                <w:sz w:val="20"/>
                <w:szCs w:val="20"/>
                <w:color w:val="auto"/>
              </w:rPr>
            </w:pPr>
            <w:r>
              <w:rPr>
                <w:rFonts w:ascii="Arial" w:cs="Arial" w:eastAsia="Arial" w:hAnsi="Arial"/>
                <w:sz w:val="18"/>
                <w:szCs w:val="18"/>
                <w:color w:val="auto"/>
              </w:rPr>
              <w:t>1,976,594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2,015,973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September 30, 2017,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$0.7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2017, and we do not anticipate it will have a significant effect in the future.</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2017 was a liability of $0.7 million and is included in "accounts payable and accrued expenses" on our consolidated balance sheet. For the three and nine months ended September 30, 2017, the change in valuation on our interest rate swaps resulted in a $0.4 million and $1.8 million decrease in our derivative liability, respectively, (including $0.4 million and $1.5 million, respectively, reclassified from other comprehensive loss to interest expense). The change in valuation on our interest rate swaps is included in "accumulated other comprehensive loss."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2017</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742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2,577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787,962 downREIT operating partnership units are outstanding which have a total fair value of $97.9 million, based on our closing stock price on September 30, 2017.</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January 12, 2017, we exercised our purchase option on non-controlling interests in San Antonio Center for $2.6 million of cash and 44,195 of downREIT operating partnership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2017, we issued 226,739 common shares at a weighted average price per share of $131.00 for net cash proceeds of $29.3 million and paid $0.3 million in commissions and $0.1 million in additional offering expenses related to the sales of these common shares. For the nine months ended September 30, 2017, we issued 325,397 common shares at a weighted average price per share of $133.09 for net cash proceeds of $42.7 million and paid $0.4 million in commissions and $0.1 million in additional offering expenses related to the sales of these common shares. As of September 30, 2017, we had the capacity to issue up to $327.6 million in common shares under our ATM equity program.</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29, 2017, we issued 6,000,000 Depository Shares, each representing 1/1000th interest in a 5.0% Series C Cumulative Redeemable Preferred Share, par value $0.01 per share, ("Series C Preferred Shares") at the liquidation preference of $25.00 per depository share (or $25,000 per Series C Preferred share) in an underwritten public offering. The Series C Preferred Shares accrue dividends at a rate of 5.0% of the $25,000 liquidation preference per year and are redeemable at our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147,971</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137,009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434,390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409,027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36,476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43,602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40,565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124,997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119,004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4,334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13,049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13,339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212,048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620,741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585,712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4"/>
                <w:szCs w:val="24"/>
                <w:color w:val="auto"/>
              </w:rPr>
            </w:pPr>
          </w:p>
        </w:tc>
        <w:tc>
          <w:tcPr>
            <w:tcW w:w="2380" w:type="dxa"/>
            <w:vAlign w:val="bottom"/>
            <w:gridSpan w:val="4"/>
          </w:tcPr>
          <w:p>
            <w:pPr>
              <w:jc w:val="center"/>
              <w:ind w:right="33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common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2,945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2,766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2,540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2,391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7,816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and nine months ended September 30, 2017 and 2016,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0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682 anti-dilutive stock options for the three and nine months ended September 30, 2017, and no anti-</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dilutive stock options for the thee and nine months ended September 30, 2016.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76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7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 share data)</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58,107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175,136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166,701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Income from continuing operations attributable to noncontrolling interests</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55,508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168,366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159,800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5"/>
              </w:rPr>
              <w:t>106,283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58,671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238,025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190,933</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72,091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71,983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70,626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72,206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71,489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72,110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70,804</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available for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56,002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54,271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169,599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160,740</w:t>
            </w:r>
          </w:p>
        </w:tc>
        <w:tc>
          <w:tcPr>
            <w:tcW w:w="0" w:type="dxa"/>
            <w:vAlign w:val="bottom"/>
          </w:tcPr>
          <w:p>
            <w:pPr>
              <w:spacing w:after="0"/>
              <w:rPr>
                <w:sz w:val="1"/>
                <w:szCs w:val="1"/>
                <w:color w:val="auto"/>
              </w:rPr>
            </w:pPr>
          </w:p>
        </w:tc>
      </w:tr>
      <w:tr>
        <w:trPr>
          <w:trHeight w:val="702"/>
        </w:trPr>
        <w:tc>
          <w:tcPr>
            <w:tcW w:w="7440" w:type="dxa"/>
            <w:vAlign w:val="bottom"/>
          </w:tcPr>
          <w:p>
            <w:pPr>
              <w:ind w:left="562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2016 filed with the Securities and Exchange Commission (the “SEC”) on February 13, 2017.</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2016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September 30, 2017, we owned or had a majority interest in community and neighborhood shopping centers and mixed-use properties which are operated as 104 predominantly retail real estate projects comprising approximately 24.1 million square feet. In total, the real estate projects were 94.9% leased and 93.8% occupied at September 30,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Significant Property Acquisitions &amp; Dispositions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April 4, 2017 and June 28, 2017, the sale transactions at our Assembly Row property in Somerville, Massachusetts related to the purchase options on our Partners HealthCare and AvalonBay ground lease parcels, respectively, closed. The total sales price was $53.3 million, which resulted in a gain of $15.4 million.</w:t>
      </w:r>
    </w:p>
    <w:p>
      <w:pPr>
        <w:spacing w:after="0" w:line="4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May 19, 2017, we acquired the fee interest in a 71,000 square foot, mixed-use property located in Berkeley, California based on a gross value of $23.9 million. The acquisition was completed through a newly formed entity for which we own a 90% controlling interest. Approximately $0.8 million and $0.3 million of net assets acquired were allocated to other assets for "above market leases," and other liabilities for "below market leases," respectively. Additionally, approximately $2.4 million was allocated to noncontrolling interests.</w:t>
      </w:r>
    </w:p>
    <w:p>
      <w:pPr>
        <w:spacing w:after="0" w:line="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August 2, 2017, we acquired an approximately 90% interest in a joint venture that owns six shopping centers in Los Angeles County, California based on a gross value of $357 million, including the assumption of $79.4 million of mortgage debt. Approximately $7.8 million of assets acquired were allocated to lease intangibles and included within other assets. Approximately $36.2 million of net assets acquired were allocated to lease liabilities and included in other liabilities. Additionally, approximately $30.6 million was allocated to noncontrolling interests. That joint venture also acquired a 24.5% interest in La Alameda, a shopping center in Walnut Park, California for $19.8 million. The property has $41 million of mortgage debt, of which the joint venture's share is approximately $10 million. Additional information on the properties is listed below: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2420" w:type="dxa"/>
            <w:vAlign w:val="bottom"/>
            <w:gridSpan w:val="2"/>
          </w:tcPr>
          <w:p>
            <w:pPr>
              <w:spacing w:after="0"/>
              <w:rPr>
                <w:sz w:val="20"/>
                <w:szCs w:val="20"/>
                <w:color w:val="auto"/>
              </w:rPr>
            </w:pPr>
            <w:r>
              <w:rPr>
                <w:rFonts w:ascii="Arial" w:cs="Arial" w:eastAsia="Arial" w:hAnsi="Arial"/>
                <w:sz w:val="16"/>
                <w:szCs w:val="16"/>
                <w:b w:val="1"/>
                <w:bCs w:val="1"/>
                <w:color w:val="0000EE"/>
              </w:rPr>
              <w:t>Table of Contents</w:t>
            </w:r>
          </w:p>
        </w:tc>
        <w:tc>
          <w:tcPr>
            <w:tcW w:w="3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838"/>
        </w:trPr>
        <w:tc>
          <w:tcPr>
            <w:tcW w:w="1220" w:type="dxa"/>
            <w:vAlign w:val="bottom"/>
            <w:tcBorders>
              <w:top w:val="single" w:sz="8" w:color="0000EE"/>
            </w:tcBorders>
          </w:tcPr>
          <w:p>
            <w:pPr>
              <w:ind w:left="40"/>
              <w:spacing w:after="0"/>
              <w:rPr>
                <w:sz w:val="20"/>
                <w:szCs w:val="20"/>
                <w:color w:val="auto"/>
              </w:rPr>
            </w:pPr>
            <w:r>
              <w:rPr>
                <w:rFonts w:ascii="Arial" w:cs="Arial" w:eastAsia="Arial" w:hAnsi="Arial"/>
                <w:sz w:val="16"/>
                <w:szCs w:val="16"/>
                <w:b w:val="1"/>
                <w:bCs w:val="1"/>
                <w:color w:val="auto"/>
              </w:rPr>
              <w:t>Property</w:t>
            </w:r>
          </w:p>
        </w:tc>
        <w:tc>
          <w:tcPr>
            <w:tcW w:w="1200" w:type="dxa"/>
            <w:vAlign w:val="bottom"/>
          </w:tcPr>
          <w:p>
            <w:pPr>
              <w:spacing w:after="0"/>
              <w:rPr>
                <w:sz w:val="24"/>
                <w:szCs w:val="24"/>
                <w:color w:val="auto"/>
              </w:rPr>
            </w:pPr>
          </w:p>
        </w:tc>
        <w:tc>
          <w:tcPr>
            <w:tcW w:w="3080" w:type="dxa"/>
            <w:vAlign w:val="bottom"/>
          </w:tcPr>
          <w:p>
            <w:pPr>
              <w:ind w:left="700"/>
              <w:spacing w:after="0"/>
              <w:rPr>
                <w:sz w:val="20"/>
                <w:szCs w:val="20"/>
                <w:color w:val="auto"/>
              </w:rPr>
            </w:pPr>
            <w:r>
              <w:rPr>
                <w:rFonts w:ascii="Arial" w:cs="Arial" w:eastAsia="Arial" w:hAnsi="Arial"/>
                <w:sz w:val="16"/>
                <w:szCs w:val="16"/>
                <w:b w:val="1"/>
                <w:bCs w:val="1"/>
                <w:color w:val="auto"/>
              </w:rPr>
              <w:t>City/State</w:t>
            </w:r>
          </w:p>
        </w:tc>
        <w:tc>
          <w:tcPr>
            <w:tcW w:w="5920" w:type="dxa"/>
            <w:vAlign w:val="bottom"/>
            <w:gridSpan w:val="2"/>
          </w:tcPr>
          <w:p>
            <w:pPr>
              <w:jc w:val="center"/>
              <w:ind w:right="4340"/>
              <w:spacing w:after="0"/>
              <w:rPr>
                <w:sz w:val="20"/>
                <w:szCs w:val="20"/>
                <w:color w:val="auto"/>
              </w:rPr>
            </w:pPr>
            <w:r>
              <w:rPr>
                <w:rFonts w:ascii="Arial" w:cs="Arial" w:eastAsia="Arial" w:hAnsi="Arial"/>
                <w:sz w:val="16"/>
                <w:szCs w:val="16"/>
                <w:b w:val="1"/>
                <w:bCs w:val="1"/>
                <w:color w:val="auto"/>
              </w:rPr>
              <w:t>GLA</w:t>
            </w:r>
          </w:p>
        </w:tc>
      </w:tr>
      <w:tr>
        <w:trPr>
          <w:trHeight w:val="33"/>
        </w:trPr>
        <w:tc>
          <w:tcPr>
            <w:tcW w:w="1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58"/>
        </w:trPr>
        <w:tc>
          <w:tcPr>
            <w:tcW w:w="1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5920" w:type="dxa"/>
            <w:vAlign w:val="bottom"/>
            <w:gridSpan w:val="2"/>
          </w:tcPr>
          <w:p>
            <w:pPr>
              <w:jc w:val="center"/>
              <w:ind w:right="4340"/>
              <w:spacing w:after="0"/>
              <w:rPr>
                <w:sz w:val="20"/>
                <w:szCs w:val="20"/>
                <w:color w:val="auto"/>
              </w:rPr>
            </w:pPr>
            <w:r>
              <w:rPr>
                <w:rFonts w:ascii="Arial" w:cs="Arial" w:eastAsia="Arial" w:hAnsi="Arial"/>
                <w:sz w:val="14"/>
                <w:szCs w:val="14"/>
                <w:b w:val="1"/>
                <w:bCs w:val="1"/>
                <w:color w:val="auto"/>
                <w:w w:val="93"/>
              </w:rPr>
              <w:t>(in square feet)</w:t>
            </w:r>
          </w:p>
        </w:tc>
      </w:tr>
      <w:tr>
        <w:trPr>
          <w:trHeight w:val="256"/>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Azalea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Gate,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222,000</w:t>
            </w:r>
          </w:p>
        </w:tc>
        <w:tc>
          <w:tcPr>
            <w:tcW w:w="4340" w:type="dxa"/>
            <w:vAlign w:val="bottom"/>
            <w:tcBorders>
              <w:bottom w:val="single" w:sz="8" w:color="CCEEFF"/>
            </w:tcBorders>
            <w:shd w:val="clear" w:color="auto" w:fill="CCEEFF"/>
          </w:tcPr>
          <w:p>
            <w:pPr>
              <w:spacing w:after="0"/>
              <w:rPr>
                <w:sz w:val="22"/>
                <w:szCs w:val="22"/>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Bell Gardens</w:t>
            </w:r>
          </w:p>
        </w:tc>
        <w:tc>
          <w:tcPr>
            <w:tcW w:w="3080" w:type="dxa"/>
            <w:vAlign w:val="bottom"/>
          </w:tcPr>
          <w:p>
            <w:pPr>
              <w:ind w:left="700"/>
              <w:spacing w:after="0"/>
              <w:rPr>
                <w:sz w:val="20"/>
                <w:szCs w:val="20"/>
                <w:color w:val="auto"/>
              </w:rPr>
            </w:pPr>
            <w:r>
              <w:rPr>
                <w:rFonts w:ascii="Arial" w:cs="Arial" w:eastAsia="Arial" w:hAnsi="Arial"/>
                <w:sz w:val="16"/>
                <w:szCs w:val="16"/>
                <w:color w:val="auto"/>
              </w:rPr>
              <w:t>Bell Gardens,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330,000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 Alameda</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Walnut Park,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245,000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Olivo at Mission Hills (1)</w:t>
            </w:r>
          </w:p>
        </w:tc>
        <w:tc>
          <w:tcPr>
            <w:tcW w:w="3080" w:type="dxa"/>
            <w:vAlign w:val="bottom"/>
          </w:tcPr>
          <w:p>
            <w:pPr>
              <w:ind w:left="700"/>
              <w:spacing w:after="0"/>
              <w:rPr>
                <w:sz w:val="20"/>
                <w:szCs w:val="20"/>
                <w:color w:val="auto"/>
              </w:rPr>
            </w:pPr>
            <w:r>
              <w:rPr>
                <w:rFonts w:ascii="Arial" w:cs="Arial" w:eastAsia="Arial" w:hAnsi="Arial"/>
                <w:sz w:val="16"/>
                <w:szCs w:val="16"/>
                <w:color w:val="auto"/>
              </w:rPr>
              <w:t>Mission Hills,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155,000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Plaza Del Sol</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South El Monte,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48,000</w:t>
            </w:r>
          </w:p>
        </w:tc>
        <w:tc>
          <w:tcPr>
            <w:tcW w:w="4340" w:type="dxa"/>
            <w:vAlign w:val="bottom"/>
            <w:tcBorders>
              <w:bottom w:val="single" w:sz="8" w:color="CCEEFF"/>
            </w:tcBorders>
            <w:shd w:val="clear" w:color="auto" w:fill="CCEEFF"/>
          </w:tcPr>
          <w:p>
            <w:pPr>
              <w:spacing w:after="0"/>
              <w:rPr>
                <w:sz w:val="21"/>
                <w:szCs w:val="21"/>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Plaza Pacoima</w:t>
            </w:r>
          </w:p>
        </w:tc>
        <w:tc>
          <w:tcPr>
            <w:tcW w:w="3080" w:type="dxa"/>
            <w:vAlign w:val="bottom"/>
          </w:tcPr>
          <w:p>
            <w:pPr>
              <w:ind w:left="700"/>
              <w:spacing w:after="0"/>
              <w:rPr>
                <w:sz w:val="20"/>
                <w:szCs w:val="20"/>
                <w:color w:val="auto"/>
              </w:rPr>
            </w:pPr>
            <w:r>
              <w:rPr>
                <w:rFonts w:ascii="Arial" w:cs="Arial" w:eastAsia="Arial" w:hAnsi="Arial"/>
                <w:sz w:val="16"/>
                <w:szCs w:val="16"/>
                <w:color w:val="auto"/>
              </w:rPr>
              <w:t>Pacoima, CA</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204,000</w:t>
            </w:r>
          </w:p>
        </w:tc>
        <w:tc>
          <w:tcPr>
            <w:tcW w:w="434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340" w:type="dxa"/>
            <w:vAlign w:val="bottom"/>
          </w:tcPr>
          <w:p>
            <w:pPr>
              <w:spacing w:after="0"/>
              <w:rPr>
                <w:sz w:val="2"/>
                <w:szCs w:val="2"/>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Sylmar Towne Center</w:t>
            </w:r>
          </w:p>
        </w:tc>
        <w:tc>
          <w:tcPr>
            <w:tcW w:w="3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Sylmar, CA</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148,000</w:t>
            </w:r>
          </w:p>
        </w:tc>
        <w:tc>
          <w:tcPr>
            <w:tcW w:w="4340" w:type="dxa"/>
            <w:vAlign w:val="bottom"/>
            <w:tcBorders>
              <w:bottom w:val="single" w:sz="8" w:color="CCEEFF"/>
            </w:tcBorders>
            <w:shd w:val="clear" w:color="auto" w:fill="CCEEFF"/>
          </w:tcPr>
          <w:p>
            <w:pPr>
              <w:spacing w:after="0"/>
              <w:rPr>
                <w:sz w:val="23"/>
                <w:szCs w:val="23"/>
                <w:color w:val="auto"/>
              </w:rPr>
            </w:pPr>
          </w:p>
        </w:tc>
      </w:tr>
      <w:tr>
        <w:trPr>
          <w:trHeight w:val="217"/>
        </w:trPr>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1,352,000</w:t>
            </w:r>
          </w:p>
        </w:tc>
        <w:tc>
          <w:tcPr>
            <w:tcW w:w="4340" w:type="dxa"/>
            <w:vAlign w:val="bottom"/>
          </w:tcPr>
          <w:p>
            <w:pPr>
              <w:spacing w:after="0"/>
              <w:rPr>
                <w:sz w:val="18"/>
                <w:szCs w:val="18"/>
                <w:color w:val="auto"/>
              </w:rPr>
            </w:pPr>
          </w:p>
        </w:tc>
      </w:tr>
      <w:tr>
        <w:trPr>
          <w:trHeight w:val="33"/>
        </w:trPr>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340" w:type="dxa"/>
            <w:vAlign w:val="bottom"/>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r>
        <w:trPr>
          <w:trHeight w:val="102"/>
        </w:trPr>
        <w:tc>
          <w:tcPr>
            <w:tcW w:w="12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Property is currently being redeveloped. GLA reflects approximate square footage once the property is open and operating.</w:t>
      </w:r>
    </w:p>
    <w:p>
      <w:pPr>
        <w:spacing w:after="0" w:line="20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August 25, 2017, we sold our property at 150 Post Street in San Francisco, California for a sales price of $69.3 million, resulting in a gain of $45.2 million.</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25, 2017, we sold our North Lake Commons property in Lake Zurich, Illinois for a sales price of $15.6 million, resulting in a gain of $4.9 million.</w:t>
      </w:r>
    </w:p>
    <w:p>
      <w:pPr>
        <w:spacing w:after="0" w:line="1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three and nine months ended September 30, 2017 we recognized a $0.6 million and $3.9 million gain, respectively, net of $0.3 million and $2.0 million of income taxes, respectively, related to the sale of condominiums at our Assembly Row property based on the percentage-of-completion method. In connection with recording the gain, we recognized a receivable of $59.1 million. The closing of the Assembly Row condominium sales is expected to commence in 2018. As of September 30, 2017, no gain has been recognized for contracted condominium sales at Pike &amp; Rose, as not all of the criteria necessary for profit recognition have been met.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Significant Debt and Equity Transactions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5, 2017 we refinanced the $175.0 million mortgage loan on Plaza El Segundo at a face amount of $125.0 million and repaid the remaining $50.0 million at par. The new mortgage loan bears interest at 3.83% and matures on June 5, 2027.</w:t>
      </w:r>
    </w:p>
    <w:p>
      <w:pPr>
        <w:spacing w:after="0" w:line="35"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On June 23, 2017, we issued $400.0 million aggregate principal amount of fixed rate senior unsecured notes in two separate series. We issued $300.0 million of 3.25% notes that mature on July 15, 2027, were offered at 99.083% of the principal amount, with a yield to maturity of 3.358%. Additionally, we issued $100.0 million of 4.50% notes due December 1, 2044. The 4.50% notes were offered at 105.760% of the principal amount, with a yield to maturity of</w:t>
      </w:r>
    </w:p>
    <w:p>
      <w:pPr>
        <w:ind w:right="460"/>
        <w:spacing w:after="0" w:line="261" w:lineRule="auto"/>
        <w:rPr>
          <w:sz w:val="20"/>
          <w:szCs w:val="20"/>
          <w:color w:val="auto"/>
        </w:rPr>
      </w:pPr>
      <w:r>
        <w:rPr>
          <w:rFonts w:ascii="Arial" w:cs="Arial" w:eastAsia="Arial" w:hAnsi="Arial"/>
          <w:sz w:val="18"/>
          <w:szCs w:val="18"/>
          <w:color w:val="auto"/>
        </w:rPr>
        <w:t>4.143%, and have the same terms and are of the same series as our senior notes first issued on November 14, 2014. Our net proceeds from the June note offering after net issuance premium, underwriting fees and other costs was approximately $399.5 million.</w:t>
      </w:r>
    </w:p>
    <w:p>
      <w:pPr>
        <w:spacing w:after="0" w:line="4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connection with the acquisition of six shopping centers in Los Angeles County, California on August 2, 2017 (as further discussed above), we assumed mortgage loans with a face amount of $79.4 million and a fair value of $80.1 million. The mortgage loans are secured by the individual properties with the following contractual terms: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40" w:type="dxa"/>
            <w:vAlign w:val="bottom"/>
          </w:tcPr>
          <w:p>
            <w:pPr>
              <w:spacing w:after="0"/>
              <w:rPr>
                <w:sz w:val="18"/>
                <w:szCs w:val="18"/>
                <w:color w:val="auto"/>
              </w:rPr>
            </w:pPr>
          </w:p>
        </w:tc>
        <w:tc>
          <w:tcPr>
            <w:tcW w:w="1360" w:type="dxa"/>
            <w:vAlign w:val="bottom"/>
          </w:tcPr>
          <w:p>
            <w:pPr>
              <w:jc w:val="center"/>
              <w:ind w:left="356"/>
              <w:spacing w:after="0"/>
              <w:rPr>
                <w:sz w:val="20"/>
                <w:szCs w:val="20"/>
                <w:color w:val="auto"/>
              </w:rPr>
            </w:pPr>
            <w:r>
              <w:rPr>
                <w:rFonts w:ascii="Arial" w:cs="Arial" w:eastAsia="Arial" w:hAnsi="Arial"/>
                <w:sz w:val="16"/>
                <w:szCs w:val="16"/>
                <w:b w:val="1"/>
                <w:bCs w:val="1"/>
                <w:color w:val="auto"/>
                <w:w w:val="94"/>
              </w:rPr>
              <w:t>Principal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ind w:left="380"/>
              <w:spacing w:after="0"/>
              <w:rPr>
                <w:sz w:val="20"/>
                <w:szCs w:val="20"/>
                <w:color w:val="auto"/>
              </w:rPr>
            </w:pPr>
            <w:r>
              <w:rPr>
                <w:rFonts w:ascii="Arial" w:cs="Arial" w:eastAsia="Arial" w:hAnsi="Arial"/>
                <w:sz w:val="16"/>
                <w:szCs w:val="16"/>
                <w:b w:val="1"/>
                <w:bCs w:val="1"/>
                <w:color w:val="auto"/>
              </w:rPr>
              <w:t>Stated Interest Rate</w:t>
            </w:r>
          </w:p>
        </w:tc>
        <w:tc>
          <w:tcPr>
            <w:tcW w:w="1820" w:type="dxa"/>
            <w:vAlign w:val="bottom"/>
          </w:tcPr>
          <w:p>
            <w:pPr>
              <w:jc w:val="right"/>
              <w:ind w:right="332"/>
              <w:spacing w:after="0"/>
              <w:rPr>
                <w:sz w:val="20"/>
                <w:szCs w:val="20"/>
                <w:color w:val="auto"/>
              </w:rPr>
            </w:pPr>
            <w:r>
              <w:rPr>
                <w:rFonts w:ascii="Arial" w:cs="Arial" w:eastAsia="Arial" w:hAnsi="Arial"/>
                <w:sz w:val="16"/>
                <w:szCs w:val="16"/>
                <w:b w:val="1"/>
                <w:bCs w:val="1"/>
                <w:color w:val="auto"/>
              </w:rPr>
              <w:t>Maturity Date</w:t>
            </w:r>
          </w:p>
        </w:tc>
      </w:tr>
      <w:tr>
        <w:trPr>
          <w:trHeight w:val="33"/>
        </w:trPr>
        <w:tc>
          <w:tcPr>
            <w:tcW w:w="5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5440" w:type="dxa"/>
            <w:vAlign w:val="bottom"/>
          </w:tcPr>
          <w:p>
            <w:pPr>
              <w:spacing w:after="0"/>
              <w:rPr>
                <w:sz w:val="20"/>
                <w:szCs w:val="20"/>
                <w:color w:val="auto"/>
              </w:rPr>
            </w:pPr>
          </w:p>
        </w:tc>
        <w:tc>
          <w:tcPr>
            <w:tcW w:w="1360" w:type="dxa"/>
            <w:vAlign w:val="bottom"/>
          </w:tcPr>
          <w:p>
            <w:pPr>
              <w:jc w:val="center"/>
              <w:ind w:left="376"/>
              <w:spacing w:after="0"/>
              <w:rPr>
                <w:sz w:val="20"/>
                <w:szCs w:val="20"/>
                <w:color w:val="auto"/>
              </w:rPr>
            </w:pPr>
            <w:r>
              <w:rPr>
                <w:rFonts w:ascii="Arial" w:cs="Arial" w:eastAsia="Arial" w:hAnsi="Arial"/>
                <w:sz w:val="16"/>
                <w:szCs w:val="16"/>
                <w:b w:val="1"/>
                <w:bCs w:val="1"/>
                <w:color w:val="auto"/>
                <w:w w:val="91"/>
              </w:rPr>
              <w:t>(in millions)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Sylmar Towne Center</w:t>
            </w: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June 6, 2021</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Plaza Del Sol</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December 1, 2021</w:t>
            </w: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Azalea</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1, 2025</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Bell Gardens</w:t>
            </w:r>
          </w:p>
        </w:tc>
        <w:tc>
          <w:tcPr>
            <w:tcW w:w="136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13.3</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August 1, 2026</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August 31, 2017, we refinanced the $41.8 million mortgage loan, at par, on The Grove at Shrewsbury (East) at a face amount of $43.6 million. The new mortgage loan bears interest at 3.77% and matures on September 1, 2027.</w:t>
      </w:r>
    </w:p>
    <w:p>
      <w:pPr>
        <w:spacing w:after="0" w:line="11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2017, we issued 226,739 common shares at a weighted average price per share of $131.00 for net cash proceeds of $29.3 million and paid $0.3 million in commissions and $0.1 million in additional offering expenses related to the sales of these common shares. For the nine months ended September 30,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2017, we issued 325,397 common shares at a weighted average price per share of $133.09 for net cash proceeds of $42.7 million and paid $0.4 million in commissions and $0.1 million in additional offering expenses related to the sales of these common shares. As of September 30, 2017, we had the capacity to issue up to $327.6 million in common shares under our ATM equity program.</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29, 2017, we issued 6,000,000 Depository Shares, each representing 1/1000th interest in a 5.0% Series C Cumulative Redeemable Preferred Share, par value $0.01 per share, ("Series C Preferred Shares") at the liquidation preference of $25.00 per depository share (or $25,000 per Series C Preferred share) in an underwritten public offering. The Series C Preferred Shares accrue dividends at a rate of 5.0% of the $25,000 liquidation preference per year and are redeemable at our option on or after September 29, 2022. Additionally, they are not convertible and holders of these shares generally have no voting rights, unless we fail to pay dividends for six or more quarters. The net proceeds after underwriting fees and other costs were approximately $145.0 million.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$320 million and $6 million, respectively, for the nine months ended September 30, 2017, and $289 million and $7 million, respectively, for the nine months ended September 30, 2016. We capitalized external and internal costs related to other property improvements of $47 million and $2 million, respectively, for the nine months ended September 30, 2017, and $39 million and $2 million for the nine months ended September 30, 2016. We capitalized external and internal costs related to leasing activities of $6 million and $5 million, respectively, for the nine months ended September 30, 2017, and $7 million and $4 million, respectively, for the nine months ended September 30, 2016. The amount of capitalized internal costs for salaries and related benefits for development and redevelopment activities, other property improvements, and leasing activities were $6 million, $2 million, and $5 million, for the nine months ended September 30, 2017, and $6 million, $2 million, and $4 million, respectively, for the nine months ended September 30, 2016. Total capitalized costs were $386 million and $348 million for the nine months ended September 30, 2017 and 2016,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in 2017, an uptick in the number of retail tenants closing early and/or filing for bankruptcy. We believe the locations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2017, no single tenant accounted for more than 2.9% of annualized base rent.</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total cost of approximately $242 million that we expect to stabilize in the next several years.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continue our ongoing redevelopment efforts at Santana Row and are proceeding with an eight story 284,000 square foot office building which will include 29,000 square feet of retail space and 1,300 parking spaces. The building is expected to cost between $205 million and $215 million and to deliver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1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Construction of Phase II of Assembly Row which will include 161,000 square feet of retail space, a 158 room boutique hotel and 447 residential units is underway. The hotel will be owned and operated by a joint venture in which we are a partner. Approximately 36,000 square feet of retail space in Phase II has opened in 2017, and in September, the first tenants moved into the new residential building. Total expected costs range from $280 million to $295 million and delivery is expected through 2017 and 2018. Phase II will also include 122 for-sale condominium units with an expected total cost of $74 million to $79 million. Additionally, as part of the second phase, we entered into a ground lease agreement with Partners HealthCare to bring 741,500 square feet of office space to Assembly Row. The ground lease agreement included a purchase option, which was exercised and the related sale closed on April 4, 2017.</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Construction of Phase II of Pike &amp; Rose is also underway. Phase II will include approximately 216,000 square feet of retail space, a 177 room boutique hotel and 272 residential units. Approximately 102,000 square feet of retail space in Phase II has opened in 2017, and in August, the first tenants moved into the new residential building. Total expected costs range from $200 million to $207 million and delivery is expected through 2017 and 2018. The hotel will be owned and operated by a joint venture in which we are a partner. Phase II will also include 99 for-sale condominium units with an expected cost of $53 million to $58 million.</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Including costs incurred in the first nine months of 2017, we expect to invest between $270 million and $300 million at Assembly Row and Pike &amp; Rose in 2017.</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2017, the leasable square feet in our properties was 94.9% leased and 93.8%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third quarter of 2017, we signed leases for a total of 424,000 square feet of retail space including 400,000 square feet of comparable space leases (leases for which there was a prior tenant) at an average rental increase of 14% on a cash basis and 27% on a straight-line basis. New leases for comparable spaces were signed for 165,000 square feet at an average rental increase of 23% on a cash basis and 36% on a straight-line basis. Renewals for comparable spaces were signed for 234,000 square feet at an average rental increase of 8% on a cash basis and 20% on a straight-line basis. Tenant improvements and incentives for comparable spaces were $51.81 per square foot for new leases and $7.89 per square foot for renewals for the three months ended September 30, 2017.</w:t>
      </w:r>
    </w:p>
    <w:p>
      <w:pPr>
        <w:spacing w:after="0" w:line="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the nine months ended September 30, 2017, we signed leases for a total of 1,448,000 square feet of retail space including 1,321,000 square feet of comparable space leases (leases for which there was a prior tenant) at an average rental increase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6" w:right="25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13% on a cash basis and 26% on a straight-line basis. New leases for comparable spaces were signed for 615,000 square feet at an average rental increase of 19% on a cash basis and 33% on a straight-line basis. Renewals for comparable spaces were signed for 706,000 square feet at an average rental increase of 9% on a cash basis and 21% on a straight-line basis. Tenant improvements and incentives for comparable spaces were $62.57 per square foot for new leases and $14.33 per square foot for renewals for the nine months ended September 30, 2017.</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2017 generally become effective over the following two years though some may not become effective until 2020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2017 will be in line with, or slightly above,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nine months ended September 30, 2017, all or a portion of 83 and 78 properties, respectively, were considered same-center and 16 and 15 properties, respectively, were considered redevelopment or expansion. For the nine months ended September 30, 2017, one property and one portion of a property were moved from redevelopment to same-center and two properties were removed from same-center as they were sold in the third quarter of 2017, compared to the designations as of December 31, 2016. While there is judgment surrounding changes in designations, we typically move redevelopment properties to same-center once they have stabilized, which is typically considered 95% physical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 - THREE MONTHS ENDED SEPTEMBER 30,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212,048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14,579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2,412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217,953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201,157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16,796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27,492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2,519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149,211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137,596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11,615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(6,708)</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58,107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1,854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45,830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926.8 %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108,882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61,198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47,684</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106,777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58,977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47,800</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property revenue increased $16.8 million, or 8.3%, to $218.0 million in the three months ended September 30, 2017 compared to $201.2 million in the three months ended September 30, 2016. The percentage occupied at our shopping centers was 93.8% at September 30, 2017 compared to 93.1% at September 30, 2016.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$14.6 million, or 7.4%, to $212.0 million in the three months ended September 30, 2017 compared to $197.5 million in the three months ended September 30, 2016 due primarily to the following:</w:t>
      </w:r>
    </w:p>
    <w:p>
      <w:pPr>
        <w:spacing w:after="0" w:line="19" w:lineRule="exact"/>
        <w:rPr>
          <w:sz w:val="20"/>
          <w:szCs w:val="20"/>
          <w:color w:val="auto"/>
        </w:rPr>
      </w:pPr>
    </w:p>
    <w:p>
      <w:pPr>
        <w:ind w:left="1140" w:right="560" w:hanging="241"/>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$7.4 million from acquisitions, primarily related to the six shopping centers acquired in Los Angeles County, California, Riverpoint Center, and Hastings Ranch Plaza,</w:t>
      </w:r>
    </w:p>
    <w:p>
      <w:pPr>
        <w:spacing w:after="0" w:line="8" w:lineRule="exact"/>
        <w:rPr>
          <w:rFonts w:ascii="Arial" w:cs="Arial" w:eastAsia="Arial" w:hAnsi="Arial"/>
          <w:sz w:val="18"/>
          <w:szCs w:val="18"/>
          <w:color w:val="auto"/>
        </w:rPr>
      </w:pPr>
    </w:p>
    <w:p>
      <w:pPr>
        <w:ind w:left="1140" w:right="80" w:hanging="241"/>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$3.7 million at redevelopment properties due to the opening of our new office building at Santana Row in late 2016, the lease-up of two of our retail redevelopments, partially offset by lower occupancy at two of our retail properties in Florida in the beginning stages of redevelopment,</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$2.8 million at same-center properties due primarily to higher rental rates of approximately $2.3 million, and</w:t>
      </w:r>
    </w:p>
    <w:p>
      <w:pPr>
        <w:spacing w:after="0" w:line="63" w:lineRule="exact"/>
        <w:rPr>
          <w:rFonts w:ascii="Arial" w:cs="Arial" w:eastAsia="Arial" w:hAnsi="Arial"/>
          <w:sz w:val="18"/>
          <w:szCs w:val="18"/>
          <w:color w:val="auto"/>
        </w:rPr>
      </w:pPr>
    </w:p>
    <w:p>
      <w:pPr>
        <w:ind w:left="1140" w:right="220" w:hanging="241"/>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$0.9 million from Assembly Row and Pike &amp; Rose due primarily to the lease-up of residential units at Pike &amp; Rose and the opening of the second phase of retail at both properties during 2017, partially offset by lower income from ground lease parcels which were sold in 2017.</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Other property income increased $2.4 million or 87.4% to $5.2 million in the three months ended September 30, 2017 compared to $2.8 million in the three months ended September 30, 2016.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Mortgage interest income decreased $0.2 million, or 21.0%, to $0.7 million in the three months ended September 30, 2017 compared to $0.9 million in the three months ended September 30, 2016. This decrease is related to a mortgage note receivable that was repaid in September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Total property expenses increased $5.2 million, or 8.2%, to $68.7 million in the three months ended September 30, 2017 compared to $63.6 million in the three months ended September 30, 2016.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Rental expenses increased $2.7 million, or 6.9%, to $41.3 million in the three months ended September 30, 2017 compared to $38.6 million in the three months ended September 30, 2016. This increase is primarily due to the following:</w:t>
      </w:r>
    </w:p>
    <w:p>
      <w:pPr>
        <w:spacing w:after="0" w:line="8" w:lineRule="exact"/>
        <w:rPr>
          <w:sz w:val="20"/>
          <w:szCs w:val="20"/>
          <w:color w:val="auto"/>
        </w:rPr>
      </w:pPr>
    </w:p>
    <w:p>
      <w:pPr>
        <w:ind w:left="1140" w:right="160" w:hanging="241"/>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$1.5 million from acquisitions, primarily related to six shopping centers acquired in Los Angeles County, California, Hastings Ranch Plaza, and Riverpoint Center,</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$0.8 million from Assembly Row and Pike &amp; Rose primarily related to Phase II of both properties,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$0.5 million from redevelopment and same-center properties primarily due to higher bad debt expense.</w:t>
      </w:r>
    </w:p>
    <w:p>
      <w:pPr>
        <w:spacing w:after="0" w:line="17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19.0% in the three months ended September 30, 2017 from 19.3% in the three months ended September 30,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Real estate tax expense increased $2.5 million, or 10.1%, to $27.5 million in the three months ended September 30, 2017 compared to $25.0 million in the three months ended September 30, 2016 due primarily to</w:t>
      </w:r>
    </w:p>
    <w:p>
      <w:pPr>
        <w:spacing w:after="0" w:line="8" w:lineRule="exact"/>
        <w:rPr>
          <w:sz w:val="20"/>
          <w:szCs w:val="20"/>
          <w:color w:val="auto"/>
        </w:rPr>
      </w:pPr>
    </w:p>
    <w:p>
      <w:pPr>
        <w:ind w:left="1140" w:right="18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$1.5 million from acquisitions, primarily related to our acquisition of six shopping centers in Los Angeles County, California, Riverpoint Center, and Hastings Ranch Plaza, and</w:t>
      </w:r>
    </w:p>
    <w:p>
      <w:pPr>
        <w:spacing w:after="0" w:line="8" w:lineRule="exact"/>
        <w:rPr>
          <w:rFonts w:ascii="Arial" w:cs="Arial" w:eastAsia="Arial" w:hAnsi="Arial"/>
          <w:sz w:val="18"/>
          <w:szCs w:val="18"/>
          <w:color w:val="auto"/>
        </w:rPr>
      </w:pPr>
    </w:p>
    <w:p>
      <w:pPr>
        <w:ind w:left="1140" w:right="240" w:hanging="241"/>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at redevelopment and same-center properties due primarily to higher assessments and our new office building at Santana Row.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Property operating income increased $11.6 million, or 8.4%, to $149.2 million in the three months ended September 30, 2017 compared to $137.6 million in the three months ended September 30, 2016. This increase is primarily due to growth in earnings at same-center and redevelopment properties, our acquisition of six shopping centers in Los Angeles County, California in August 2017 and Riverpoint Center in March 2017, and Assembly Row and Pike &amp; Rose.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General and administrative expense increased $0.9 million, or 10.6%, to $9.1 million in the three months ended September 30, 2017 from $8.2 million in the three months ended September 30, 2016. This increase is primarily due to higher personnel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Depreciation and amortization expense increased $6.7 million, or 13.7%, to $55.6 million in the three months ended September 30, 2017 from $48.9 million in the three months ended September 30, 2016. This increase is primarily due to 2017 acquisitions (primarily the acquisition of six shopping centers in Los Angeles County, California and Riverpoint Center),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redevelopment properties (largely the new office building at Santana Row), same-center properties, and Assembly Row and Pike &amp; Rose.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income increased $4.0 million, or 5.0%, to $84.5 million in the three months ended September 30, 2017 compared to $80.5 million in the three months ended September 30, 2016. This increase is primarily due to growth in earnings at same-center and redevelopment properties, 2017 acquisitions, and earnings growth at Assembly Row and Pike &amp; Rose.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increased $2.0 million, or 8.1%, to $26.3 million in the three months ended September 30, 2017 compared to $24.3 million in the three months ended September 30, 2016. This increase is due primarily to the following:</w:t>
      </w:r>
    </w:p>
    <w:p>
      <w:pPr>
        <w:spacing w:after="0" w:line="8" w:lineRule="exact"/>
        <w:rPr>
          <w:sz w:val="20"/>
          <w:szCs w:val="20"/>
          <w:color w:val="auto"/>
        </w:rPr>
      </w:pPr>
    </w:p>
    <w:p>
      <w:pPr>
        <w:ind w:left="1140" w:right="80" w:hanging="241"/>
        <w:spacing w:after="0" w:line="317" w:lineRule="auto"/>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increase of $6.0 million due to higher borrowings primarily attributable to the $300 million 3.25% senior notes and the reopening of $100 million on the 4.50% senior notes, both issued in June 2017 and higher weighted average borrowings on our revolving credit facility,</w:t>
      </w: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$2.2 million in capitalized interest,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$1.8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$33.2 million and $29.0 million in the three months ended September 30, 2017 and 2016, respectively. Capitalized interest was $6.9 million and $4.7 million in the three months ended September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$50.8 million gain on sale of real estate, net for the three months ended September 30, 2017 is primarily due to the following:</w:t>
      </w:r>
    </w:p>
    <w:p>
      <w:pPr>
        <w:spacing w:after="0" w:line="63" w:lineRule="exact"/>
        <w:rPr>
          <w:sz w:val="20"/>
          <w:szCs w:val="20"/>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$0.6 million net percentage-of-completion gain, related to condominiums under binding contract at our Assembly Row property.</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$4.9 million gain for the three months ended September 30, 2016 is due to the reversal of the unused portion of the warranty reserve for condominium units at Santana Row, as the statutorily mandated latent construction defect period ended in third quarter 2016.</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6" w:right="29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2017 AND 2016</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585,712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35,029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1,870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633,391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597,482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35,909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7,940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189,549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434,800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407,933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26,867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(14,519)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11,613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(Loss) income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(822.0)%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175,136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166,701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8,435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37,491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245,085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199,159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45,926</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1,459</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239,258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191,873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47,385</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right="180" w:hanging="332"/>
        <w:spacing w:after="0" w:line="259"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property revenue increased $35.9 million, or 6.0%, to $633.4 million in the nine months ended September 30, 2017 compared to $597.5 million in the nine months ended September 30, 2016. The percentage occupied at our shopping centers was 93.8% at September 30, 2017 compared to 93.1% at September 30, 2016.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$35.0 million, or 6.0%, to $620.7 million in the nine months ended September 30, 2017 compared to $585.7 million in the nine months ended September 30, 2016 due primarily to the following:</w:t>
      </w:r>
    </w:p>
    <w:p>
      <w:pPr>
        <w:spacing w:after="0" w:line="19" w:lineRule="exact"/>
        <w:rPr>
          <w:sz w:val="20"/>
          <w:szCs w:val="20"/>
          <w:color w:val="auto"/>
        </w:rPr>
      </w:pPr>
    </w:p>
    <w:p>
      <w:pPr>
        <w:ind w:left="1140" w:right="60" w:hanging="241"/>
        <w:spacing w:after="0" w:line="286"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$13.1 million at redevelopment properties due to the opening of our new office building at Santana Row in late 2016, the lease-up of three of our retail redevelopments, and the lease-up of the new residential building at Congressional Plaza throughout 2016, partially offset by lower occupancy at two of our retail properties in Florida in the beginning stages of redevelopment,</w:t>
      </w:r>
    </w:p>
    <w:p>
      <w:pPr>
        <w:spacing w:after="0" w:line="3" w:lineRule="exact"/>
        <w:rPr>
          <w:rFonts w:ascii="Arial" w:cs="Arial" w:eastAsia="Arial" w:hAnsi="Arial"/>
          <w:sz w:val="17"/>
          <w:szCs w:val="17"/>
          <w:color w:val="auto"/>
        </w:rPr>
      </w:pPr>
    </w:p>
    <w:p>
      <w:pPr>
        <w:ind w:left="1140" w:right="480" w:hanging="241"/>
        <w:spacing w:after="0" w:line="277"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$11.2 million from acquisitions, primarily related to the six shopping centers acquired in Los Angeles County, California, Riverpoint Center, and Hastings Ranch Plaza.</w:t>
      </w:r>
    </w:p>
    <w:p>
      <w:pPr>
        <w:spacing w:after="0" w:line="8" w:lineRule="exact"/>
        <w:rPr>
          <w:rFonts w:ascii="Arial" w:cs="Arial" w:eastAsia="Arial" w:hAnsi="Arial"/>
          <w:sz w:val="18"/>
          <w:szCs w:val="18"/>
          <w:color w:val="auto"/>
        </w:rPr>
      </w:pPr>
    </w:p>
    <w:p>
      <w:pPr>
        <w:ind w:left="1140" w:right="40" w:hanging="241"/>
        <w:spacing w:after="0" w:line="264"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$4.1 million at same-center properties due primarily to higher rental rates of approximately $4.5 million and higher recoveries of $0.7 million primarily the net result of higher real estate tax assessments partially offset by lower snow removal expense, partially offset by lower average occupancy of approximately $0.9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140" w:right="360" w:hanging="241"/>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$4.0 million from Assembly Row and Pike &amp; Rose due primarily to the lease-up of residential units and the opening of the second phase of retail at Pike &amp; Rose during third quarter 2017,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$2.4 million from the acquisition of six previously unconsolidated Clarion joint venture properties in January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Other property income increased $1.9 million, or 21.8%, to $10.4 million in the nine months ended September 30, 2017 compared to $8.6 million in the nine months ended September 30, 2016. Included in other property income are items which, although recurring, inherently tend to fluctuate more than rental income from period to period, such as lease termination fees. This increase is primarily related to higher lease termination fees.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Mortgage interest income decreased $1.0 million, or 30.8%, to $2.2 million in the nine months ended September 30, 2017 compared to $3.2 million in the nine months ended September 30, 2016. This decrease is related to a mortgage note receivable that was repaid in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property expenses increased $9.0 million, or 4.8%, to $198.6 million in the nine months ended September 30, 2017 compared to $189.5 million in the nine months ended September 30, 2016.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Rental expenses increased $1.1 million, or 0.9%, to $119.5 million in the nine months ended September 30, 2017 compared to $118.4 million in the nine months ended September 30, 2016. This increase is primarily due to the following:</w:t>
      </w:r>
    </w:p>
    <w:p>
      <w:pPr>
        <w:spacing w:after="0" w:line="8" w:lineRule="exact"/>
        <w:rPr>
          <w:sz w:val="20"/>
          <w:szCs w:val="20"/>
          <w:color w:val="auto"/>
        </w:rPr>
      </w:pPr>
    </w:p>
    <w:p>
      <w:pPr>
        <w:ind w:left="1140" w:right="140" w:hanging="241"/>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$2.4 million from acquisitions, primarily related to our acquisition of six shopping centers in Los Angeles County, California, Hastings Ranch Plaza, and Riverpoint Center,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$0.4 million from Assembly Row and Pike &amp; Rose,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90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 decrease of $1.6 million at same-center and redevelopment properties primarily due to lower snow removal costs.</w:t>
      </w:r>
    </w:p>
    <w:p>
      <w:pPr>
        <w:spacing w:after="0" w:line="17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18.9% in the nine months ended September 30, 2017 from 19.9% in the nine months ended September 30,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Real estate tax expense increased $7.9 million, or 11.2%, to $79.1 million in the nine months ended September 30, 2017 compared to $71.2 million in the nine months ended September 30, 2016 due primarily to:</w:t>
      </w:r>
    </w:p>
    <w:p>
      <w:pPr>
        <w:spacing w:after="0" w:line="8" w:lineRule="exact"/>
        <w:rPr>
          <w:sz w:val="20"/>
          <w:szCs w:val="20"/>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$3.4 million at same-center properties due primarily to higher assessments,</w:t>
      </w:r>
    </w:p>
    <w:p>
      <w:pPr>
        <w:spacing w:after="0" w:line="63" w:lineRule="exact"/>
        <w:rPr>
          <w:rFonts w:ascii="Arial" w:cs="Arial" w:eastAsia="Arial" w:hAnsi="Arial"/>
          <w:sz w:val="18"/>
          <w:szCs w:val="18"/>
          <w:color w:val="auto"/>
        </w:rPr>
      </w:pPr>
    </w:p>
    <w:p>
      <w:pPr>
        <w:ind w:left="1140" w:right="80" w:hanging="241"/>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$2.3 million from acquisitions, primarily related to Riverpoint Center, six shopping centers in Los Angeles County, California, and Hastings Ranch Plaza,</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$1.5 million from redevelopment properties, primarily related to our new office building at Santana Row,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$0.5 million from Assembly Row and Pike &amp; Rose.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Property operating income increased $26.9 million, or 6.6%, to $434.8 million in the nine months ended September 30, 2017 compared to $407.9 million in the nine months ended September 30, 2016. This increase is primarily due to growth in earnings at redevelopment and same-center properties, 2017 acquisitions, Assembly Row and Pike &amp; Rose (primarily the lease-up of residential units at Pike &amp; Rose, higher lease termination fees, and the opening of the second phase of retail at Pike &amp; Rose), and the acquisition of the six previously unconsolidated Clarion joint venture properties in January 2016. The increases are partially offset by lower mortgage interest income related to a note receivable that was repaid in 2016.</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6" w:right="27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General </w:t>
      </w:r>
      <w:r>
        <w:rPr>
          <w:rFonts w:ascii="Arial" w:cs="Arial" w:eastAsia="Arial" w:hAnsi="Arial"/>
          <w:sz w:val="18"/>
          <w:szCs w:val="18"/>
          <w:i w:val="1"/>
          <w:iCs w:val="1"/>
          <w:color w:val="auto"/>
        </w:rPr>
        <w:t>and Administrative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General and administrative expense increased $0.7 million, or 2.9%, to $26.0 million in the nine months ended September 30, 2017 from $25.3 million in the nine months ended September 30, 2016. The increase is primarily due to higher personnel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and amortization expense increased $14.5 million, or 10.0%, to $159.7 million in the nine months ended September 30, 2017 from $145.1 million in the nine months ended September 30, 2016. This increase is primarily due to redevelopment properties (largely the new office building at Santana Row), 2017 acquisitions, Assembly Row and Pike &amp; Rose, and same-center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Operating income increased $11.6 million, or 4.9%, to $249.1 million in the nine months ended September 30, 2017 compared to $237.5 million in the nine months ended September 30, 2016. This increase is primarily due to growth in earnings at redevelopment and same-center properties, Assembly Row and Pike &amp; Rose, our 2017 acquisitions, and the acquisition of the six previously unconsolidated Clarion joint venture properties in January 2016, partially offset by lower mortgage interest income related to a note receivable that was repaid in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increased $2.8 million, or 3.9%, to $74.0 million in the nine months ended September 30, 2017 compared to $71.1 million in the nine months ended September 30, 2016. This increase is due primarily to the following:</w:t>
      </w:r>
    </w:p>
    <w:p>
      <w:pPr>
        <w:spacing w:after="0" w:line="8" w:lineRule="exact"/>
        <w:rPr>
          <w:sz w:val="20"/>
          <w:szCs w:val="20"/>
          <w:color w:val="auto"/>
        </w:rPr>
      </w:pPr>
    </w:p>
    <w:p>
      <w:pPr>
        <w:ind w:left="1140" w:right="20" w:hanging="241"/>
        <w:spacing w:after="0" w:line="264"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$10.8 million due to higher borrowings primarily attributable to the $300 million 3.25% senior notes and the reopening of $100 million on the 4.5% senior notes, both issued in June 2017, the 3.625% senior notes issued in July 2016, and higher weighted average borrowings on our revolving credit facility,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$5.9 million in capitalized interest,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$2.1 million due to a lower overall weighted average borrowing rate.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$92.5 million and $83.8 million in the nine months ended September 30, 2017 and 2016, respectively. Capitalized interest was $18.6 million and $12.7 million in the nine months ended September 30, 2017 and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and Change in Control of Interests, Net</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$69.9 million gain on sale of real estate and change in control of interests, net for the nine months ended September 30, 2017 is primarily due to the following:</w:t>
      </w:r>
    </w:p>
    <w:p>
      <w:pPr>
        <w:spacing w:after="0" w:line="8" w:lineRule="exact"/>
        <w:rPr>
          <w:sz w:val="20"/>
          <w:szCs w:val="20"/>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$45.2 million gain related to the sale of our 150 Post Street property in August 2017,</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$15.4 million gain related to the sale of three ground lease parcels at our Assembly Row property in Somerville, Massachusetts,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$4.9 million gain related to the sale of our North Lake Commons property in September 2017, and</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$3.9 million net percentage-of-completion gain, related to condominiums under binding contract at our Assembly Row property.</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$32.5 million gain on sale of real estate and change in control of interests, net for the nine months ended September 30, 2016 is primarily due to the following:</w:t>
      </w:r>
    </w:p>
    <w:p>
      <w:pPr>
        <w:spacing w:after="0" w:line="8" w:lineRule="exact"/>
        <w:rPr>
          <w:sz w:val="20"/>
          <w:szCs w:val="20"/>
          <w:color w:val="auto"/>
        </w:rPr>
      </w:pPr>
    </w:p>
    <w:p>
      <w:pPr>
        <w:ind w:left="1140" w:right="80" w:hanging="241"/>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$25.7 million gain related to our obtaining control of six properties when we acquired Clarion’s 70% interest in the partnership that owned those properties. The properties were previously accounted for under the equity method of accounting. We consolidated these assets effective January 13, 2016, and consequently recognized a gain on obtaining the controlling interest,</w:t>
      </w:r>
    </w:p>
    <w:p>
      <w:pPr>
        <w:spacing w:after="0" w:line="19" w:lineRule="exact"/>
        <w:rPr>
          <w:rFonts w:ascii="Arial" w:cs="Arial" w:eastAsia="Arial" w:hAnsi="Arial"/>
          <w:sz w:val="18"/>
          <w:szCs w:val="18"/>
          <w:color w:val="auto"/>
        </w:rPr>
      </w:pPr>
    </w:p>
    <w:p>
      <w:pPr>
        <w:ind w:left="1140" w:hanging="241"/>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$4.9 million gain related to the reversal of the unused portion of the warranty reserve for condominium units at Santana Row, as the statutorily mandated latent construction defect period ended in third quarter 2016, and</w:t>
      </w:r>
    </w:p>
    <w:p>
      <w:pPr>
        <w:spacing w:after="0" w:line="8" w:lineRule="exact"/>
        <w:rPr>
          <w:rFonts w:ascii="Arial" w:cs="Arial" w:eastAsia="Arial" w:hAnsi="Arial"/>
          <w:sz w:val="18"/>
          <w:szCs w:val="18"/>
          <w:color w:val="auto"/>
        </w:rPr>
      </w:pPr>
    </w:p>
    <w:p>
      <w:pPr>
        <w:ind w:left="1140" w:right="200" w:hanging="241"/>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$1.8 million gain related to the sale of a building in Coconut Grove, Florida. Our share of the gain, net of noncontrolling interests, was $0.7 million.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largely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At September 30, 2017, we had cash and cash equivalents of $22.9 million and $41.5 million outstanding on our $800.0 million unsecured revolving credit facility which matures on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September 30, 2017, we had the capacity to issue up to $327.6 million in common shares under our ATM equity program.</w:t>
      </w:r>
    </w:p>
    <w:p>
      <w:pPr>
        <w:spacing w:after="0" w:line="10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the nine months ended September 30, 2017, the maximum amount of borrowings outstanding under our revolving credit facility was $344.0 million, the weighted average amount of borrowings outstanding was $173.0 million and the weighted average interest rate, before amortization of debt fees, was 1.9%. On June 23, 2017, we issued $300.0 million of 3.25% senior unsecured notes that mature on July 15, 2027, and $100.0 million of 4.50% notes that mature on December 1, 2044 for net proceeds (after net issuance premium, underwriting fees and other costs) of approximately $399.5 million. On September 29, 2017, we issued 6,000,000 Depository Shares, each representing a 1/1000th interest in a 5.0% Series C Cumulative Redeemable Preferred Share ("Series C Preferred Shares") for net proceeds (after underwriting fees and other costs) of approximately $145.0 million. For the remainder of 2017, we have no further debt maturing.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1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overall capital requirements for the remainder of 2017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the construction of our next phase of Santana Row, and our redevelopment pipeline.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6" w:right="2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339,638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293,408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(708,280)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(438,417)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368,124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225,244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80,235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21,046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22,850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101,281</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operating activities increased $46.2 million to $339.6 million during the nine months ended September 30, 2017 from $293.4 million during the nine months ended September 30, 2016. The increase was primarily attributable to higher net income before certain non-cash items, lower escrow balances, and higher prepaid rent.</w:t>
      </w:r>
    </w:p>
    <w:p>
      <w:pPr>
        <w:spacing w:after="0" w:line="1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Net cash used in investing activities increased $269.9 million to $708.3 million during the nine months ended September 30, 2017 from $438.4 million during the nine months ended September 30, 2016. The increase was primarily attributable to:</w:t>
      </w:r>
    </w:p>
    <w:p>
      <w:pPr>
        <w:spacing w:after="0" w:line="8" w:lineRule="exact"/>
        <w:rPr>
          <w:sz w:val="20"/>
          <w:szCs w:val="20"/>
          <w:color w:val="auto"/>
        </w:rPr>
      </w:pPr>
    </w:p>
    <w:p>
      <w:pPr>
        <w:ind w:left="1140" w:right="24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$301.5 million increase in acquisitions of real estate, primarily due to the August 2017 acquisition of six shopping centers in Los Angeles County, California,</w:t>
      </w:r>
    </w:p>
    <w:p>
      <w:pPr>
        <w:spacing w:after="0" w:line="8" w:lineRule="exact"/>
        <w:rPr>
          <w:rFonts w:ascii="Arial" w:cs="Arial" w:eastAsia="Arial" w:hAnsi="Arial"/>
          <w:sz w:val="18"/>
          <w:szCs w:val="18"/>
          <w:color w:val="auto"/>
        </w:rPr>
      </w:pPr>
    </w:p>
    <w:p>
      <w:pPr>
        <w:ind w:left="1140" w:right="34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$84.4 million increase in capital expenditures as we continue to invest in Pike &amp; Rose, Assembly Row, Santana Row, and other current redevelopments, and</w:t>
      </w:r>
    </w:p>
    <w:p>
      <w:pPr>
        <w:spacing w:after="0" w:line="8" w:lineRule="exact"/>
        <w:rPr>
          <w:rFonts w:ascii="Arial" w:cs="Arial" w:eastAsia="Arial" w:hAnsi="Arial"/>
          <w:sz w:val="18"/>
          <w:szCs w:val="18"/>
          <w:color w:val="auto"/>
        </w:rPr>
      </w:pPr>
    </w:p>
    <w:p>
      <w:pPr>
        <w:ind w:right="60" w:firstLine="899"/>
        <w:spacing w:after="0" w:line="277" w:lineRule="auto"/>
        <w:tabs>
          <w:tab w:leader="none" w:pos="11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$12.2 million decrease in repayments of mortgage notes receivable due to the payoff of an $11.7 million note receivable in September 2016, partially offset by</w:t>
      </w:r>
    </w:p>
    <w:p>
      <w:pPr>
        <w:spacing w:after="0" w:line="8" w:lineRule="exact"/>
        <w:rPr>
          <w:rFonts w:ascii="Arial" w:cs="Arial" w:eastAsia="Arial" w:hAnsi="Arial"/>
          <w:sz w:val="18"/>
          <w:szCs w:val="18"/>
          <w:color w:val="auto"/>
        </w:rPr>
      </w:pPr>
    </w:p>
    <w:p>
      <w:pPr>
        <w:ind w:left="1140" w:right="320" w:hanging="241"/>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$127.5 million in proceeds primarily from the sale of our property at 150 Post Street, three land parcels at Assembly Row, and North Lake Commons in 2017.</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financing activities increased $142.9 million to $368.1 million during the nine months ended September 30, 2017 from $225.2 million during the nine months ended September 30, 2016. The increase was primarily attributable to:</w:t>
      </w:r>
    </w:p>
    <w:p>
      <w:pPr>
        <w:spacing w:after="0" w:line="8" w:lineRule="exact"/>
        <w:rPr>
          <w:sz w:val="20"/>
          <w:szCs w:val="20"/>
          <w:color w:val="auto"/>
        </w:rPr>
      </w:pPr>
    </w:p>
    <w:p>
      <w:pPr>
        <w:ind w:left="1140" w:right="80" w:hanging="241"/>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$399.5 million net proceeds from the June 2017 issuance of $300.0 million of 3.25% senior unsecured notes that mature on July 15, 2027 and $100.0 million of 4.50% notes that mature on December 1, 2044, compared to $241.8 million in net proceeds from the issuance of 3.625% senior notes in July 2016,</w:t>
      </w:r>
    </w:p>
    <w:p>
      <w:pPr>
        <w:spacing w:after="0" w:line="19" w:lineRule="exact"/>
        <w:rPr>
          <w:rFonts w:ascii="Arial" w:cs="Arial" w:eastAsia="Arial" w:hAnsi="Arial"/>
          <w:sz w:val="18"/>
          <w:szCs w:val="18"/>
          <w:color w:val="auto"/>
        </w:rPr>
      </w:pP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$145.5 million in net proceeds from the September 29, 2017 issuance of 6,000 Series C Preferred Shares,</w:t>
      </w:r>
    </w:p>
    <w:p>
      <w:pPr>
        <w:spacing w:after="0" w:line="63" w:lineRule="exact"/>
        <w:rPr>
          <w:rFonts w:ascii="Arial" w:cs="Arial" w:eastAsia="Arial" w:hAnsi="Arial"/>
          <w:sz w:val="18"/>
          <w:szCs w:val="18"/>
          <w:color w:val="auto"/>
        </w:rPr>
      </w:pPr>
    </w:p>
    <w:p>
      <w:pPr>
        <w:ind w:left="1140" w:hanging="241"/>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$41.5 million of borrowings on our revolving credit facility in 2017 as compared to $53.5 million of repayments in 2016,</w:t>
      </w:r>
    </w:p>
    <w:p>
      <w:pPr>
        <w:spacing w:after="0" w:line="63" w:lineRule="exact"/>
        <w:rPr>
          <w:rFonts w:ascii="Arial" w:cs="Arial" w:eastAsia="Arial" w:hAnsi="Arial"/>
          <w:sz w:val="18"/>
          <w:szCs w:val="18"/>
          <w:color w:val="auto"/>
        </w:rPr>
      </w:pPr>
    </w:p>
    <w:p>
      <w:pPr>
        <w:ind w:left="1140" w:right="680" w:hanging="241"/>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$13.0 million increase in contributions from noncontrolling interests primarily due to contributions to fund the $50.0 million partial repayment of the Plaza El Segundo mortgage loan, and</w:t>
      </w:r>
    </w:p>
    <w:p>
      <w:pPr>
        <w:spacing w:after="0" w:line="8" w:lineRule="exact"/>
        <w:rPr>
          <w:rFonts w:ascii="Arial" w:cs="Arial" w:eastAsia="Arial" w:hAnsi="Arial"/>
          <w:sz w:val="18"/>
          <w:szCs w:val="18"/>
          <w:color w:val="auto"/>
        </w:rPr>
      </w:pPr>
    </w:p>
    <w:p>
      <w:pPr>
        <w:ind w:left="1140" w:hanging="241"/>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$9.5 million decrease in distributions to and redemptions of noncontrolling interests primarily due to the 2016 acquisition of the 10%</w:t>
      </w:r>
    </w:p>
    <w:p>
      <w:pPr>
        <w:spacing w:after="0" w:line="35" w:lineRule="exact"/>
        <w:rPr>
          <w:sz w:val="20"/>
          <w:szCs w:val="20"/>
          <w:color w:val="auto"/>
        </w:rPr>
      </w:pPr>
    </w:p>
    <w:p>
      <w:pPr>
        <w:ind w:left="60" w:right="4180" w:firstLine="1080"/>
        <w:spacing w:after="0" w:line="261" w:lineRule="auto"/>
        <w:rPr>
          <w:sz w:val="20"/>
          <w:szCs w:val="20"/>
          <w:color w:val="auto"/>
        </w:rPr>
      </w:pPr>
      <w:r>
        <w:rPr>
          <w:rFonts w:ascii="Arial" w:cs="Arial" w:eastAsia="Arial" w:hAnsi="Arial"/>
          <w:sz w:val="18"/>
          <w:szCs w:val="18"/>
          <w:color w:val="auto"/>
        </w:rPr>
        <w:t>noncontrolling interest of a partnership which owns a project in Southern California, partially offset by</w:t>
      </w:r>
    </w:p>
    <w:p>
      <w:pPr>
        <w:spacing w:after="0" w:line="22" w:lineRule="exact"/>
        <w:rPr>
          <w:sz w:val="20"/>
          <w:szCs w:val="20"/>
          <w:color w:val="auto"/>
        </w:rPr>
      </w:pPr>
    </w:p>
    <w:p>
      <w:pPr>
        <w:ind w:left="1140" w:right="120" w:hanging="241"/>
        <w:spacing w:after="0" w:line="259"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$248.9 million decrease in net proceeds from the issuance of common shares primarily due to our March 2016 issuance of 1.0 million common shares at $149.43 per share in an underwritten public offering, and 1.0 million common shares under our ATM equity program at a weighted average price of $155.48 during the nine months ended September 30, 2016, compared to 0.3 million common shares at a weighted average share price of $133.09 in 2017,</w:t>
      </w:r>
    </w:p>
    <w:p>
      <w:pPr>
        <w:spacing w:after="0" w:line="24" w:lineRule="exact"/>
        <w:rPr>
          <w:rFonts w:ascii="Arial" w:cs="Arial" w:eastAsia="Arial" w:hAnsi="Arial"/>
          <w:sz w:val="18"/>
          <w:szCs w:val="18"/>
          <w:color w:val="auto"/>
        </w:rPr>
      </w:pPr>
    </w:p>
    <w:p>
      <w:pPr>
        <w:ind w:left="1140" w:right="260" w:hanging="241"/>
        <w:spacing w:after="0" w:line="298" w:lineRule="auto"/>
        <w:tabs>
          <w:tab w:leader="none" w:pos="11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$16.0 million increase in repayment of mortgages and capital leases primarily due to the $50.0 million pay down of the Plaza El Segundo mortgage loan on June 5, 2017, as compared to the payoff of $34.4 million of mortgage loans on April 1, 2016, and</w:t>
      </w:r>
    </w:p>
    <w:p>
      <w:pPr>
        <w:ind w:left="1140" w:right="820" w:hanging="241"/>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$13.1 million increase in dividends paid to shareholders due to an increase in the dividend rate and an increased number of shares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20" w:type="dxa"/>
            <w:vAlign w:val="bottom"/>
          </w:tcPr>
          <w:p>
            <w:pPr>
              <w:spacing w:after="0"/>
              <w:rPr>
                <w:sz w:val="12"/>
                <w:szCs w:val="12"/>
                <w:color w:val="auto"/>
              </w:rPr>
            </w:pPr>
          </w:p>
        </w:tc>
        <w:tc>
          <w:tcPr>
            <w:tcW w:w="122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2"/>
              </w:rPr>
              <w:t>of September 30,</w:t>
            </w: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20,939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Sylmar Towne Center</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6,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Plaza Del Sol</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8,621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December 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71,478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Azalea</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1, 2025</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Bell Gardens</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13,245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August 1,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5,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43,600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43,600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September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6,346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493,009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493,240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Term loan (1)</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w w:val="99"/>
              </w:rPr>
              <w:t>November 21,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4,908</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shd w:val="clear" w:color="auto" w:fill="CCEEFF"/>
              </w:rPr>
              <w:t>Various through 2028</w:t>
            </w: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Revolving credit facility (2)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800,000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41,500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shd w:val="clear" w:color="auto" w:fill="CCEEFF"/>
              </w:rPr>
              <w:t>LIBOR + 0.825%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321,408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notes payable</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320,718</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3.25%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July 15,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3.625%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2046</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2,394,200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 and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(16,261)</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2,377,939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600"/>
              <w:spacing w:after="0"/>
              <w:rPr>
                <w:sz w:val="20"/>
                <w:szCs w:val="20"/>
                <w:color w:val="auto"/>
              </w:rPr>
            </w:pPr>
            <w:r>
              <w:rPr>
                <w:rFonts w:ascii="Arial" w:cs="Arial" w:eastAsia="Arial" w:hAnsi="Arial"/>
                <w:sz w:val="16"/>
                <w:szCs w:val="16"/>
                <w:color w:val="auto"/>
              </w:rPr>
              <w:t>Various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71,565</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w w:val="91"/>
              </w:rPr>
              <w:t>Various through 2106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3,263,462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20" w:hanging="652"/>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2017 was $344.0 million, and the weighted average interest rate on borrowings under our revolving credit facility, before amortization of debt fees, was 1.9%.</w:t>
      </w:r>
    </w:p>
    <w:p>
      <w:pPr>
        <w:sectPr>
          <w:pgSz w:w="11900" w:h="16838" w:orient="portrait"/>
          <w:cols w:equalWidth="0" w:num="1">
            <w:col w:w="11420"/>
          </w:cols>
          <w:pgMar w:left="240" w:top="126"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6"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revolving credit facility, term loan and other debt agreements include financial and other covenants that may limit our operating activities in the future. As of September 30, 2017, we were in compliance with all financial and other covenants related to our revolving credit facility, term loan and senior notes. Additionally, as of September 30, 2017, we were in compliance with all of the financial and other covenants that could trigger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1,425</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1,561</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275,513</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16,251</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291,801</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567</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25,820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26,429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192,129</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65,539</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257,714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250,700</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30,541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281,292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1,996,576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353,433</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71,376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2,421,385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2,715,608</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493,009</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71,565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3,280,182</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$275.0 million unsecured term loan matures on November 21, 2018, subject to a one-year extension at our option.</w:t>
      </w:r>
    </w:p>
    <w:p>
      <w:pPr>
        <w:spacing w:after="0" w:line="63"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$800.0 million revolving credit facility matures on April 20, 2020, subject to two six-month extensions at our option. As of September 30, 2017, there was $41.5 million outstanding under this credit facility.</w:t>
      </w:r>
    </w:p>
    <w:p>
      <w:pPr>
        <w:spacing w:after="0" w:line="8" w:lineRule="exact"/>
        <w:rPr>
          <w:rFonts w:ascii="Arial" w:cs="Arial" w:eastAsia="Arial" w:hAnsi="Arial"/>
          <w:sz w:val="18"/>
          <w:szCs w:val="18"/>
          <w:color w:val="auto"/>
        </w:rPr>
      </w:pPr>
    </w:p>
    <w:p>
      <w:pPr>
        <w:ind w:left="660" w:right="26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premium/(discount) and debt issuance costs on mortgage loans, notes payable, and senior notes as of September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2017, we are party to two interest rate swap agreements that effectively fixed the rate on the term loan at 2.62%. Both swaps were designated and qualified as cash flow hedges and were recorded at fair value. Hedge ineffectiveness has not impacted earnings as of September 30, 2017, and we do not anticipate it will have a significant effect in the future.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245,085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199,159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(7,286)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 and change in control of interests,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42,779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139,112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126,806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109,578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101,310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323,241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300,275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 (1)</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109,968</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101,661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324,491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301,440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(1)(2)</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71,642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500" w:hanging="652"/>
        <w:spacing w:after="0" w:line="31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the three and nine months ended September 30, 2017, dividends on our Series 1 preferred stock are not deducted in the calculation of FFO available to common shareholders, as the related shares are dilutive and included in "weighted average common shares, diluted."</w:t>
      </w:r>
    </w:p>
    <w:p>
      <w:pPr>
        <w:jc w:val="both"/>
        <w:ind w:left="660" w:right="6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2017,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September 30, 2017, we had $3.2 billion of fixed-rate debt outstanding, including our $275.0 million term loan as the rate is effectively fixed by two interest rate swap agreements; we also had $71.6 million of capital lease obligations. If market interest rates used to calculate the fair value on our fixed-rate debt instruments at September 30, 2017 had been 1.0% higher, the fair value of those debt instruments on that date would have decreased by approximately $226.1 million. If market interest rates used to calculate the fair value on our fixed-rate debt instruments at September 30, 2017 had been 1.0% lower, the fair value of those debt instruments on that date would have increased by approximately $260.8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Generally, we believe that our primary interest rate risk is due to fluctuations in interest rates on our outstanding variable rate debt. At September 30, 2017, we had $41.5 million of variable rate debt outstanding on our revolving credit facility. Based upon this amount of variable rate debt and the specific terms, if market interest rates increased 1.0%, our annual interest expense would increase by approximately $0.4 million with a corresponding decrease in our net income and cash flows for the year. Conversely, if market interest rates decreased 1.0%, our annual interest expense would decrease by approximately $0.4 million with a corresponding increase in our net income and cash flows for the year.</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2017. Based on this evaluation, our management, including our Chief Executive Officer and Chief Financial Officer, concluded that our disclosure controls and procedures were effective as of September 30, 2017 to provide reasonable assurance that information required to be disclosed in our reports filed or submitted under the Securities Exchange Act of 1934 is (i) recorded, processed, summarized and reported within the time periods specified in the rules and forms of the SEC and</w:t>
      </w:r>
    </w:p>
    <w:p>
      <w:pPr>
        <w:spacing w:after="0" w:line="2" w:lineRule="exact"/>
        <w:rPr>
          <w:sz w:val="20"/>
          <w:szCs w:val="20"/>
          <w:color w:val="auto"/>
        </w:rPr>
      </w:pPr>
    </w:p>
    <w:p>
      <w:pPr>
        <w:ind w:right="100" w:firstLine="8"/>
        <w:spacing w:after="0" w:line="261"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accumulated and communicated to the Trust’s management including its principal executive and principal financial officer as appropriate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developments in any of our legal proceedings since the disclosure contained in our Annual Report to Form 10-K for the fiscal year ended December 31, 2016.</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2016 filed with the SEC on February 13, 2017.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right="20" w:hanging="801"/>
        <w:spacing w:after="0" w:line="264"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126" w:right="27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amount upfront in infrastructure, and assumes receipt of public funding which has been committed but not entirely funded;</w:t>
      </w:r>
    </w:p>
    <w:p>
      <w:pPr>
        <w:spacing w:after="0" w:line="88" w:lineRule="exact"/>
        <w:rPr>
          <w:sz w:val="20"/>
          <w:szCs w:val="20"/>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460" w:hanging="807"/>
        <w:spacing w:after="0" w:line="277" w:lineRule="auto"/>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160" w:hanging="807"/>
        <w:spacing w:after="0" w:line="277" w:lineRule="auto"/>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180" w:hanging="801"/>
        <w:spacing w:after="0" w:line="286" w:lineRule="auto"/>
        <w:tabs>
          <w:tab w:leader="none" w:pos="1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hanging="801"/>
        <w:spacing w:after="0" w:line="264"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126"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33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6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480"/>
        </w:trPr>
        <w:tc>
          <w:tcPr>
            <w:tcW w:w="4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9260" w:type="dxa"/>
            <w:vAlign w:val="bottom"/>
          </w:tcPr>
          <w:p>
            <w:pPr>
              <w:spacing w:after="0"/>
              <w:rPr>
                <w:sz w:val="24"/>
                <w:szCs w:val="24"/>
                <w:color w:val="auto"/>
              </w:rPr>
            </w:pPr>
          </w:p>
        </w:tc>
      </w:tr>
      <w:tr>
        <w:trPr>
          <w:trHeight w:val="324"/>
        </w:trPr>
        <w:tc>
          <w:tcPr>
            <w:tcW w:w="360" w:type="dxa"/>
            <w:vAlign w:val="bottom"/>
            <w:tcBorders>
              <w:top w:val="single" w:sz="8" w:color="auto"/>
            </w:tcBorders>
            <w:gridSpan w:val="2"/>
          </w:tcPr>
          <w:p>
            <w:pPr>
              <w:ind w:left="40"/>
              <w:spacing w:after="0"/>
              <w:rPr>
                <w:rFonts w:ascii="Arial" w:cs="Arial" w:eastAsia="Arial" w:hAnsi="Arial"/>
                <w:sz w:val="18"/>
                <w:szCs w:val="18"/>
                <w:color w:val="0000FF"/>
                <w:w w:val="85"/>
              </w:rPr>
            </w:pPr>
            <w:hyperlink w:anchor="page3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60" w:type="dxa"/>
            <w:vAlign w:val="bottom"/>
            <w:gridSpan w:val="2"/>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7">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Rule 13a-14(a) 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72"/>
        </w:trPr>
        <w:tc>
          <w:tcPr>
            <w:tcW w:w="360" w:type="dxa"/>
            <w:vAlign w:val="bottom"/>
            <w:gridSpan w:val="2"/>
          </w:tcPr>
          <w:p>
            <w:pPr>
              <w:ind w:left="40"/>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w w:val="89"/>
              </w:rPr>
              <w:t>Section 1350</w:t>
            </w:r>
          </w:p>
        </w:tc>
        <w:tc>
          <w:tcPr>
            <w:tcW w:w="9260" w:type="dxa"/>
            <w:vAlign w:val="bottom"/>
          </w:tcPr>
          <w:p>
            <w:pPr>
              <w:ind w:left="20"/>
              <w:spacing w:after="0"/>
              <w:rPr>
                <w:sz w:val="20"/>
                <w:szCs w:val="20"/>
                <w:color w:val="auto"/>
              </w:rPr>
            </w:pPr>
            <w:r>
              <w:rPr>
                <w:rFonts w:ascii="Arial" w:cs="Arial" w:eastAsia="Arial" w:hAnsi="Arial"/>
                <w:sz w:val="18"/>
                <w:szCs w:val="18"/>
                <w:color w:val="auto"/>
              </w:rPr>
              <w:t>Certification of Principal Financial Officer (filed herewith)</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right="180" w:hanging="1165"/>
        <w:spacing w:after="0" w:line="259" w:lineRule="auto"/>
        <w:tabs>
          <w:tab w:leader="none" w:pos="1200" w:val="left"/>
        </w:tabs>
        <w:numPr>
          <w:ilvl w:val="0"/>
          <w:numId w:val="31"/>
        </w:numPr>
        <w:rPr>
          <w:rFonts w:ascii="Arial" w:cs="Arial" w:eastAsia="Arial" w:hAnsi="Arial"/>
          <w:sz w:val="18"/>
          <w:szCs w:val="18"/>
          <w:u w:val="single" w:color="auto"/>
          <w:color w:val="0000FF"/>
        </w:rPr>
      </w:pPr>
      <w:r>
        <w:rPr>
          <w:rFonts w:ascii="Arial" w:cs="Arial" w:eastAsia="Arial" w:hAnsi="Arial"/>
          <w:sz w:val="18"/>
          <w:szCs w:val="18"/>
          <w:color w:val="auto"/>
        </w:rPr>
        <w:t>The following materials from Federal Realty Investment Trust’s Quarterly Report on Form 10-Q for the quarter ended September 30, 2017,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Daniel Guglielmone</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2017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2017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November 1, 2017</w:t>
      </w:r>
      <w:r>
        <w:rPr>
          <w:sz w:val="20"/>
          <w:szCs w:val="20"/>
          <w:color w:val="auto"/>
        </w:rPr>
        <w:tab/>
      </w:r>
      <w:r>
        <w:rPr>
          <w:rFonts w:ascii="Arial" w:cs="Arial" w:eastAsia="Arial" w:hAnsi="Arial"/>
          <w:sz w:val="16"/>
          <w:szCs w:val="16"/>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Roman"/>
      <w:start w:val="2"/>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lvl w:ilvl="1">
      <w:lvlJc w:val="left"/>
      <w:lvlText w:val="•"/>
      <w:numFmt w:val="bullet"/>
      <w:start w:val="1"/>
    </w:lvl>
  </w:abstractNum>
  <w:abstractNum w:abstractNumId="30">
    <w:nsid w:val="4516DDE9"/>
    <w:multiLevelType w:val="hybridMultilevel"/>
    <w:lvl w:ilvl="0">
      <w:lvlJc w:val="left"/>
      <w:lvlText w:val="%1"/>
      <w:numFmt w:val="decimal"/>
      <w:start w:val="10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2019-12-29T04:00:44Z</dcterms:created>
  <dcterms:modified xsi:type="dcterms:W3CDTF">2019-12-29T04:00:44Z</dcterms:modified>
</cp:coreProperties>
</file>