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CURRENT REPORT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173"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14"/>
          <w:szCs w:val="14"/>
          <w:color w:val="auto"/>
        </w:rPr>
        <w:t>Date of Report (Date of earliest event reported) March 31, 2003</w:t>
      </w:r>
    </w:p>
    <w:p>
      <w:pPr>
        <w:spacing w:after="0" w:line="173" w:lineRule="exact"/>
        <w:rPr>
          <w:sz w:val="24"/>
          <w:szCs w:val="24"/>
          <w:color w:val="auto"/>
        </w:rPr>
      </w:pPr>
    </w:p>
    <w:p>
      <w:pPr>
        <w:ind w:left="17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ind w:left="860"/>
              <w:spacing w:after="0"/>
              <w:rPr>
                <w:sz w:val="20"/>
                <w:szCs w:val="20"/>
                <w:color w:val="auto"/>
              </w:rPr>
            </w:pPr>
            <w:r>
              <w:rPr>
                <w:rFonts w:ascii="Courier New" w:cs="Courier New" w:eastAsia="Courier New" w:hAnsi="Courier New"/>
                <w:sz w:val="14"/>
                <w:szCs w:val="14"/>
                <w:color w:val="auto"/>
              </w:rPr>
              <w:t>Maryland</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1-07533</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52-0782497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(State or other jurisdiction</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(Commission</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of incorporation)</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File Number)</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Identification No.)</w:t>
            </w:r>
          </w:p>
        </w:tc>
      </w:tr>
    </w:tbl>
    <w:p>
      <w:pPr>
        <w:spacing w:after="0" w:line="200" w:lineRule="exact"/>
        <w:rPr>
          <w:sz w:val="24"/>
          <w:szCs w:val="24"/>
          <w:color w:val="auto"/>
        </w:rPr>
      </w:pPr>
    </w:p>
    <w:p>
      <w:pPr>
        <w:sectPr>
          <w:pgSz w:w="11900" w:h="16838" w:orient="portrait"/>
          <w:cols w:equalWidth="0" w:num="1">
            <w:col w:w="9799"/>
          </w:cols>
          <w:pgMar w:left="660" w:top="561" w:right="1440" w:bottom="1440" w:gutter="0" w:footer="0" w:header="0"/>
        </w:sectPr>
      </w:pPr>
    </w:p>
    <w:p>
      <w:pPr>
        <w:spacing w:after="0" w:line="135" w:lineRule="exact"/>
        <w:rPr>
          <w:sz w:val="24"/>
          <w:szCs w:val="24"/>
          <w:color w:val="auto"/>
        </w:rPr>
      </w:pPr>
    </w:p>
    <w:p>
      <w:pPr>
        <w:ind w:right="220"/>
        <w:spacing w:after="0" w:line="252" w:lineRule="auto"/>
        <w:rPr>
          <w:sz w:val="20"/>
          <w:szCs w:val="20"/>
          <w:color w:val="auto"/>
        </w:rPr>
      </w:pPr>
      <w:r>
        <w:rPr>
          <w:rFonts w:ascii="Courier New" w:cs="Courier New" w:eastAsia="Courier New" w:hAnsi="Courier New"/>
          <w:sz w:val="14"/>
          <w:szCs w:val="14"/>
          <w:color w:val="auto"/>
        </w:rPr>
        <w:t>1626 East Jefferson Street, Rockville, Maryland ------------------------------------------------- (Address of principal executive offices)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(Zip Code)</w:t>
      </w:r>
    </w:p>
    <w:p>
      <w:pPr>
        <w:spacing w:after="0" w:line="209" w:lineRule="exact"/>
        <w:rPr>
          <w:sz w:val="24"/>
          <w:szCs w:val="24"/>
          <w:color w:val="auto"/>
        </w:rPr>
      </w:pPr>
    </w:p>
    <w:p>
      <w:pPr>
        <w:sectPr>
          <w:pgSz w:w="11900" w:h="16838" w:orient="portrait"/>
          <w:cols w:equalWidth="0" w:num="2">
            <w:col w:w="4440" w:space="720"/>
            <w:col w:w="4639"/>
          </w:cols>
          <w:pgMar w:left="660" w:top="561" w:right="1440" w:bottom="1440" w:gutter="0" w:footer="0" w:header="0"/>
          <w:type w:val="continuous"/>
        </w:sectPr>
      </w:pPr>
    </w:p>
    <w:p>
      <w:pPr>
        <w:spacing w:after="0" w:line="129"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pacing w:after="0" w:line="7"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99"/>
          </w:cols>
          <w:pgMar w:left="660" w:top="56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Item 7. Financial Statements and Exhibits.</w:t>
      </w:r>
    </w:p>
    <w:p>
      <w:pPr>
        <w:spacing w:after="0" w:line="173" w:lineRule="exact"/>
        <w:rPr>
          <w:sz w:val="20"/>
          <w:szCs w:val="20"/>
          <w:color w:val="auto"/>
        </w:rPr>
      </w:pPr>
    </w:p>
    <w:p>
      <w:pPr>
        <w:ind w:left="960" w:hanging="521"/>
        <w:spacing w:after="0"/>
        <w:tabs>
          <w:tab w:leader="none" w:pos="9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960" w:right="3339" w:hanging="1033"/>
        <w:spacing w:after="0" w:line="255" w:lineRule="auto"/>
        <w:tabs>
          <w:tab w:leader="none" w:pos="940" w:val="left"/>
        </w:tabs>
        <w:rPr>
          <w:sz w:val="20"/>
          <w:szCs w:val="20"/>
          <w:color w:val="auto"/>
        </w:rPr>
      </w:pPr>
      <w:r>
        <w:rPr>
          <w:rFonts w:ascii="Courier New" w:cs="Courier New" w:eastAsia="Courier New" w:hAnsi="Courier New"/>
          <w:sz w:val="14"/>
          <w:szCs w:val="14"/>
          <w:color w:val="auto"/>
        </w:rPr>
        <w:t>99.1</w:t>
        <w:tab/>
        <w:t>Supplemental portfolio information at March 31, 2003 (including press release dated May 7, 2003)</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Item 9. Regulation FD Disclosure (Information provided under Item 12-Results of Operations and Financial Condition).</w:t>
      </w:r>
    </w:p>
    <w:p>
      <w:pPr>
        <w:spacing w:after="0" w:line="16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following information is being provided under Item 12-Results of</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Operations and Financial Condition. It is being furnished under Item 9 of this Form 8-K in accordance with interim guidance issued by the SEC in release No.</w:t>
      </w:r>
    </w:p>
    <w:p>
      <w:pPr>
        <w:spacing w:after="0" w:line="1"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33-8216. As a result, the information in this report shall not be deemed "filed" for purposes of Section 18 of the Securities Exchange Act of 1934 (the "Exchange Act").</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May 7, 2003, Federal Realty Investment Trust issued supplemental data pertaining to its operations as well as a press release to report its financial results for the quarter ended March 31, 2003. The supplemental data and press release are furnished as Exhibit 99.1 hereto.</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7, 2003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Treasurer</w:t>
      </w:r>
    </w:p>
    <w:p>
      <w:pPr>
        <w:sectPr>
          <w:pgSz w:w="11900" w:h="16838" w:orient="portrait"/>
          <w:cols w:equalWidth="0" w:num="2">
            <w:col w:w="3000" w:space="720"/>
            <w:col w:w="6519"/>
          </w:cols>
          <w:pgMar w:left="220" w:top="616" w:right="1440" w:bottom="1440" w:gutter="0" w:footer="0" w:header="0"/>
          <w:type w:val="continuous"/>
        </w:sectPr>
      </w:pPr>
    </w:p>
    <w:bookmarkStart w:id="2" w:name="page3"/>
    <w:bookmarkEnd w:id="2"/>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340"/>
            <w:col w:w="4200" w:space="720"/>
            <w:col w:w="4199"/>
          </w:cols>
          <w:pgMar w:left="220" w:top="616" w:right="1440" w:bottom="1440" w:gutter="0" w:footer="0" w:header="0"/>
          <w:type w:val="continuous"/>
        </w:sectPr>
      </w:pPr>
    </w:p>
    <w:p>
      <w:pPr>
        <w:ind w:left="1120" w:right="320" w:hanging="1033"/>
        <w:spacing w:after="0" w:line="255" w:lineRule="auto"/>
        <w:tabs>
          <w:tab w:leader="none" w:pos="110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Supplemental portfolio information at March 31, 2003 (including press release dated May 7,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349" w:lineRule="exact"/>
        <w:rPr>
          <w:sz w:val="20"/>
          <w:szCs w:val="20"/>
          <w:color w:val="auto"/>
        </w:rPr>
      </w:pPr>
    </w:p>
    <w:p>
      <w:pPr>
        <w:sectPr>
          <w:pgSz w:w="11900" w:h="16838" w:orient="portrait"/>
          <w:cols w:equalWidth="0" w:num="2">
            <w:col w:w="5920" w:space="720"/>
            <w:col w:w="359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spacing w:after="0"/>
        <w:tabs>
          <w:tab w:leader="none" w:pos="340" w:val="left"/>
          <w:tab w:leader="dot" w:pos="7300" w:val="left"/>
        </w:tabs>
        <w:rPr>
          <w:sz w:val="20"/>
          <w:szCs w:val="20"/>
          <w:color w:val="auto"/>
        </w:rPr>
      </w:pPr>
      <w:r>
        <w:rPr>
          <w:rFonts w:ascii="Courier New" w:cs="Courier New" w:eastAsia="Courier New" w:hAnsi="Courier New"/>
          <w:sz w:val="14"/>
          <w:szCs w:val="14"/>
          <w:color w:val="auto"/>
        </w:rPr>
        <w:t>1.</w:t>
        <w:tab/>
        <w:t>First Quarter 2003 Earnings Press Release</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jc w:val="right"/>
        <w:ind w:right="2819"/>
        <w:spacing w:after="0"/>
        <w:tabs>
          <w:tab w:leader="dot" w:pos="80" w:val="left"/>
        </w:tabs>
        <w:rPr>
          <w:sz w:val="20"/>
          <w:szCs w:val="20"/>
          <w:color w:val="auto"/>
        </w:rPr>
      </w:pPr>
      <w:r>
        <w:rPr>
          <w:rFonts w:ascii="Courier New" w:cs="Courier New" w:eastAsia="Courier New" w:hAnsi="Courier New"/>
          <w:sz w:val="14"/>
          <w:szCs w:val="14"/>
          <w:color w:val="auto"/>
        </w:rPr>
        <w:t>Summarized Operating Results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jc w:val="right"/>
        <w:ind w:right="2819"/>
        <w:spacing w:after="0"/>
        <w:tabs>
          <w:tab w:leader="dot" w:pos="80" w:val="left"/>
        </w:tabs>
        <w:rPr>
          <w:sz w:val="20"/>
          <w:szCs w:val="20"/>
          <w:color w:val="auto"/>
        </w:rPr>
      </w:pPr>
      <w:r>
        <w:rPr>
          <w:rFonts w:ascii="Courier New" w:cs="Courier New" w:eastAsia="Courier New" w:hAnsi="Courier New"/>
          <w:sz w:val="14"/>
          <w:szCs w:val="14"/>
          <w:color w:val="auto"/>
        </w:rPr>
        <w:t>Summarized Balance Sheet</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Funds From Operations / Funds Available for</w:t>
      </w:r>
    </w:p>
    <w:p>
      <w:pPr>
        <w:spacing w:after="0" w:line="7" w:lineRule="exact"/>
        <w:rPr>
          <w:sz w:val="20"/>
          <w:szCs w:val="20"/>
          <w:color w:val="auto"/>
        </w:rPr>
      </w:pPr>
    </w:p>
    <w:p>
      <w:pPr>
        <w:jc w:val="right"/>
        <w:ind w:right="2819"/>
        <w:spacing w:after="0"/>
        <w:tabs>
          <w:tab w:leader="dot" w:pos="80" w:val="left"/>
        </w:tabs>
        <w:rPr>
          <w:sz w:val="20"/>
          <w:szCs w:val="20"/>
          <w:color w:val="auto"/>
        </w:rPr>
      </w:pPr>
      <w:r>
        <w:rPr>
          <w:rFonts w:ascii="Courier New" w:cs="Courier New" w:eastAsia="Courier New" w:hAnsi="Courier New"/>
          <w:sz w:val="14"/>
          <w:szCs w:val="14"/>
          <w:color w:val="auto"/>
        </w:rPr>
        <w:t>Distribution / Summary of Capital Expenditures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jc w:val="right"/>
        <w:ind w:right="2819"/>
        <w:spacing w:after="0"/>
        <w:tabs>
          <w:tab w:leader="dot" w:pos="160" w:val="left"/>
        </w:tabs>
        <w:rPr>
          <w:sz w:val="20"/>
          <w:szCs w:val="20"/>
          <w:color w:val="auto"/>
        </w:rPr>
      </w:pPr>
      <w:r>
        <w:rPr>
          <w:rFonts w:ascii="Courier New" w:cs="Courier New" w:eastAsia="Courier New" w:hAnsi="Courier New"/>
          <w:sz w:val="14"/>
          <w:szCs w:val="14"/>
          <w:color w:val="auto"/>
        </w:rPr>
        <w:t>Market Data / Capital Availability / Operational Statistics</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3.</w:t>
        <w:tab/>
        <w:t>Summary of Debt</w:t>
      </w:r>
    </w:p>
    <w:p>
      <w:pPr>
        <w:spacing w:after="0" w:line="7" w:lineRule="exact"/>
        <w:rPr>
          <w:sz w:val="20"/>
          <w:szCs w:val="20"/>
          <w:color w:val="auto"/>
        </w:rPr>
      </w:pPr>
    </w:p>
    <w:p>
      <w:pPr>
        <w:jc w:val="right"/>
        <w:ind w:right="2819"/>
        <w:spacing w:after="0"/>
        <w:tabs>
          <w:tab w:leader="dot" w:pos="160" w:val="left"/>
        </w:tabs>
        <w:rPr>
          <w:sz w:val="20"/>
          <w:szCs w:val="20"/>
          <w:color w:val="auto"/>
        </w:rPr>
      </w:pPr>
      <w:r>
        <w:rPr>
          <w:rFonts w:ascii="Courier New" w:cs="Courier New" w:eastAsia="Courier New" w:hAnsi="Courier New"/>
          <w:sz w:val="14"/>
          <w:szCs w:val="14"/>
          <w:color w:val="auto"/>
        </w:rPr>
        <w:t>Summary of Outstanding Debt</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2819"/>
        <w:spacing w:after="0"/>
        <w:tabs>
          <w:tab w:leader="dot" w:pos="160" w:val="left"/>
        </w:tabs>
        <w:rPr>
          <w:sz w:val="20"/>
          <w:szCs w:val="20"/>
          <w:color w:val="auto"/>
        </w:rPr>
      </w:pPr>
      <w:r>
        <w:rPr>
          <w:rFonts w:ascii="Courier New" w:cs="Courier New" w:eastAsia="Courier New" w:hAnsi="Courier New"/>
          <w:sz w:val="14"/>
          <w:szCs w:val="14"/>
          <w:color w:val="auto"/>
        </w:rPr>
        <w:t>Summary of Debt Maturities</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Redevelopments</w:t>
      </w:r>
    </w:p>
    <w:p>
      <w:pPr>
        <w:spacing w:after="0" w:line="7" w:lineRule="exact"/>
        <w:rPr>
          <w:sz w:val="20"/>
          <w:szCs w:val="20"/>
          <w:color w:val="auto"/>
        </w:rPr>
      </w:pPr>
    </w:p>
    <w:p>
      <w:pPr>
        <w:jc w:val="right"/>
        <w:ind w:right="2819"/>
        <w:spacing w:after="0"/>
        <w:tabs>
          <w:tab w:leader="dot" w:pos="160" w:val="left"/>
        </w:tabs>
        <w:rPr>
          <w:sz w:val="20"/>
          <w:szCs w:val="20"/>
          <w:color w:val="auto"/>
        </w:rPr>
      </w:pPr>
      <w:r>
        <w:rPr>
          <w:rFonts w:ascii="Courier New" w:cs="Courier New" w:eastAsia="Courier New" w:hAnsi="Courier New"/>
          <w:sz w:val="14"/>
          <w:szCs w:val="14"/>
          <w:color w:val="auto"/>
        </w:rPr>
        <w:t>Summary of Current and Future Redevelopment Opportunities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jc w:val="right"/>
        <w:ind w:right="2819"/>
        <w:spacing w:after="0"/>
        <w:tabs>
          <w:tab w:leader="dot" w:pos="160" w:val="left"/>
        </w:tabs>
        <w:rPr>
          <w:sz w:val="20"/>
          <w:szCs w:val="20"/>
          <w:color w:val="auto"/>
        </w:rPr>
      </w:pPr>
      <w:r>
        <w:rPr>
          <w:rFonts w:ascii="Courier New" w:cs="Courier New" w:eastAsia="Courier New" w:hAnsi="Courier New"/>
          <w:sz w:val="14"/>
          <w:szCs w:val="14"/>
          <w:color w:val="auto"/>
        </w:rPr>
        <w:t>Summary of Recent Redevelopments</w:t>
      </w:r>
      <w:r>
        <w:rPr>
          <w:sz w:val="20"/>
          <w:szCs w:val="20"/>
          <w:color w:val="auto"/>
        </w:rPr>
        <w:tab/>
      </w:r>
      <w:r>
        <w:rPr>
          <w:rFonts w:ascii="Courier New" w:cs="Courier New" w:eastAsia="Courier New" w:hAnsi="Courier New"/>
          <w:sz w:val="14"/>
          <w:szCs w:val="14"/>
          <w:color w:val="auto"/>
        </w:rPr>
        <w:t>14</w:t>
      </w:r>
    </w:p>
    <w:p>
      <w:pPr>
        <w:spacing w:after="0" w:line="173" w:lineRule="exact"/>
        <w:rPr>
          <w:sz w:val="20"/>
          <w:szCs w:val="20"/>
          <w:color w:val="auto"/>
        </w:rPr>
      </w:pPr>
    </w:p>
    <w:p>
      <w:pPr>
        <w:spacing w:after="0"/>
        <w:tabs>
          <w:tab w:leader="none" w:pos="340" w:val="left"/>
          <w:tab w:leader="dot" w:pos="7220" w:val="left"/>
        </w:tabs>
        <w:rPr>
          <w:sz w:val="20"/>
          <w:szCs w:val="20"/>
          <w:color w:val="auto"/>
        </w:rPr>
      </w:pPr>
      <w:r>
        <w:rPr>
          <w:rFonts w:ascii="Courier New" w:cs="Courier New" w:eastAsia="Courier New" w:hAnsi="Courier New"/>
          <w:sz w:val="14"/>
          <w:szCs w:val="14"/>
          <w:color w:val="auto"/>
        </w:rPr>
        <w:t>5.</w:t>
        <w:tab/>
        <w:t>Santana Row Summary</w:t>
      </w:r>
      <w:r>
        <w:rPr>
          <w:sz w:val="20"/>
          <w:szCs w:val="20"/>
          <w:color w:val="auto"/>
        </w:rPr>
        <w:tab/>
      </w: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none" w:pos="340" w:val="left"/>
          <w:tab w:leader="dot" w:pos="7220" w:val="left"/>
        </w:tabs>
        <w:rPr>
          <w:sz w:val="20"/>
          <w:szCs w:val="20"/>
          <w:color w:val="auto"/>
        </w:rPr>
      </w:pPr>
      <w:r>
        <w:rPr>
          <w:rFonts w:ascii="Courier New" w:cs="Courier New" w:eastAsia="Courier New" w:hAnsi="Courier New"/>
          <w:sz w:val="14"/>
          <w:szCs w:val="14"/>
          <w:color w:val="auto"/>
        </w:rPr>
        <w:t>6.</w:t>
        <w:tab/>
        <w:t>Acquisitions and Dispositions - Year to Date</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340" w:val="left"/>
          <w:tab w:leader="dot" w:pos="7220" w:val="left"/>
        </w:tabs>
        <w:rPr>
          <w:sz w:val="20"/>
          <w:szCs w:val="20"/>
          <w:color w:val="auto"/>
        </w:rPr>
      </w:pPr>
      <w:r>
        <w:rPr>
          <w:rFonts w:ascii="Courier New" w:cs="Courier New" w:eastAsia="Courier New" w:hAnsi="Courier New"/>
          <w:sz w:val="14"/>
          <w:szCs w:val="14"/>
          <w:color w:val="auto"/>
        </w:rPr>
        <w:t>7.</w:t>
        <w:tab/>
        <w:t>Real Estate Status Report</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tabs>
          <w:tab w:leader="none" w:pos="340" w:val="left"/>
          <w:tab w:leader="dot" w:pos="7220" w:val="left"/>
        </w:tabs>
        <w:rPr>
          <w:sz w:val="20"/>
          <w:szCs w:val="20"/>
          <w:color w:val="auto"/>
        </w:rPr>
      </w:pPr>
      <w:r>
        <w:rPr>
          <w:rFonts w:ascii="Courier New" w:cs="Courier New" w:eastAsia="Courier New" w:hAnsi="Courier New"/>
          <w:sz w:val="14"/>
          <w:szCs w:val="14"/>
          <w:color w:val="auto"/>
        </w:rPr>
        <w:t>8.</w:t>
        <w:tab/>
        <w:t>Shopping Center / Street Retail Summary</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ind w:left="360" w:hanging="352"/>
        <w:spacing w:after="0"/>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Summary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Retail Leasing Summary - Comparable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300" w:type="dxa"/>
            <w:vAlign w:val="bottom"/>
          </w:tcPr>
          <w:p>
            <w:pPr>
              <w:spacing w:after="0"/>
              <w:rPr>
                <w:sz w:val="14"/>
                <w:szCs w:val="14"/>
                <w:color w:val="auto"/>
              </w:rPr>
            </w:pPr>
          </w:p>
        </w:tc>
        <w:tc>
          <w:tcPr>
            <w:tcW w:w="6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Retail Leasing Summary - Non-comparable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10.</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Lease Expirations</w:t>
            </w:r>
          </w:p>
        </w:tc>
        <w:tc>
          <w:tcPr>
            <w:tcW w:w="5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11.</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Occupancy Summary</w:t>
            </w:r>
          </w:p>
        </w:tc>
        <w:tc>
          <w:tcPr>
            <w:tcW w:w="5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Occupancy Summary - Overall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0" w:type="dxa"/>
            <w:vAlign w:val="bottom"/>
          </w:tcPr>
          <w:p>
            <w:pPr>
              <w:spacing w:after="0"/>
              <w:rPr>
                <w:sz w:val="14"/>
                <w:szCs w:val="14"/>
                <w:color w:val="auto"/>
              </w:rPr>
            </w:pPr>
          </w:p>
        </w:tc>
        <w:tc>
          <w:tcPr>
            <w:tcW w:w="6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Occupancy Summary - Same Center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Summary of Top 25</w:t>
            </w:r>
          </w:p>
        </w:tc>
        <w:tc>
          <w:tcPr>
            <w:tcW w:w="5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Tenants - Prospective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13.</w:t>
            </w:r>
          </w:p>
        </w:tc>
        <w:tc>
          <w:tcPr>
            <w:tcW w:w="6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Reconciliation of Non-GAAP Disclosures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14.</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Glossary of Terms</w:t>
            </w:r>
          </w:p>
        </w:tc>
        <w:tc>
          <w:tcPr>
            <w:tcW w:w="5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307" w:right="1440" w:bottom="1440" w:gutter="0" w:footer="0" w:header="0"/>
        </w:sectPr>
      </w:pPr>
    </w:p>
    <w:bookmarkStart w:id="4" w:name="page5"/>
    <w:bookmarkEnd w:id="4"/>
    <w:p>
      <w:pPr>
        <w:ind w:right="3339"/>
        <w:spacing w:after="0" w:line="250" w:lineRule="auto"/>
        <w:rPr>
          <w:sz w:val="20"/>
          <w:szCs w:val="20"/>
          <w:color w:val="auto"/>
        </w:rPr>
      </w:pPr>
      <w:r>
        <w:rPr>
          <w:rFonts w:ascii="Courier New" w:cs="Courier New" w:eastAsia="Courier New" w:hAnsi="Courier New"/>
          <w:sz w:val="14"/>
          <w:szCs w:val="14"/>
          <w:color w:val="auto"/>
        </w:rPr>
        <w:t>Certain matters discussed within this Supplemental Information may be deemed to be forward looking statements within the meaning of the federal securities laws. Although we believe the expectations reflected in the forward looking statements are based on reasonable assumptions, we can give no assurance that our expectations will be attained. The factors that may impact these expectations include: (a) risks that growth will be limited if additional capital cannot be obtained; (b) 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 (c) risks normally associated with the real estate industry, including risks that tenants will not pay rent or that we may be unable to renew leases or relet space at favorable rents as leases expire, that new acquisitions or development, construction and renovation projects, including Santana Row, may fail to perform as expected, that competition for acquisitions could result in increased prices, that there may be environmental risks at our properties, and, because real estate is illiquid, that we may not be able to sell properties when appropriate;</w:t>
      </w:r>
    </w:p>
    <w:p>
      <w:pPr>
        <w:spacing w:after="0" w:line="7" w:lineRule="exact"/>
        <w:rPr>
          <w:sz w:val="20"/>
          <w:szCs w:val="20"/>
          <w:color w:val="auto"/>
        </w:rPr>
      </w:pPr>
    </w:p>
    <w:p>
      <w:pPr>
        <w:ind w:right="3339" w:firstLine="8"/>
        <w:spacing w:after="0" w:line="251" w:lineRule="auto"/>
        <w:tabs>
          <w:tab w:leader="none" w:pos="34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 (e) those risks detailed from time to time in our SEC reports, including our current report on Form 8-K filed with the SEC on March 25, 2003, our annual report on Form 10-K filed with the SEC on March 26, 2003 and our quarterly reports on Form 10-Q. Federal Realty assumes no obligation to update or supplement forward-looking statements that become untrue because of subsequent events.</w:t>
      </w:r>
    </w:p>
    <w:p>
      <w:pPr>
        <w:sectPr>
          <w:pgSz w:w="11900" w:h="16838" w:orient="portrait"/>
          <w:cols w:equalWidth="0" w:num="1">
            <w:col w:w="10239"/>
          </w:cols>
          <w:pgMar w:left="220" w:top="61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FOR IMMEDIATE RELEASE</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Andrew Blocher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Kristine Warner</w:t>
      </w:r>
    </w:p>
    <w:p>
      <w:pPr>
        <w:spacing w:after="0" w:line="7" w:lineRule="exact"/>
        <w:rPr>
          <w:sz w:val="20"/>
          <w:szCs w:val="20"/>
          <w:color w:val="auto"/>
        </w:rPr>
      </w:pPr>
    </w:p>
    <w:p>
      <w:pPr>
        <w:sectPr>
          <w:pgSz w:w="11900" w:h="16838" w:orient="portrait"/>
          <w:cols w:equalWidth="0" w:num="2">
            <w:col w:w="3260" w:space="720"/>
            <w:col w:w="6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Vice President, Capital Markets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&amp; Investor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ablocher@federalrealty.com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Corporate 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301/998-8212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kwarner@federalrealty.com</w:t>
      </w:r>
    </w:p>
    <w:p>
      <w:pPr>
        <w:spacing w:after="0" w:line="173" w:lineRule="exact"/>
        <w:rPr>
          <w:sz w:val="20"/>
          <w:szCs w:val="20"/>
          <w:color w:val="auto"/>
        </w:rPr>
      </w:pPr>
    </w:p>
    <w:p>
      <w:pPr>
        <w:sectPr>
          <w:pgSz w:w="11900" w:h="16838" w:orient="portrait"/>
          <w:cols w:equalWidth="0" w:num="2">
            <w:col w:w="3260" w:space="720"/>
            <w:col w:w="62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QUARTER 2003 OPERATING RESULTS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ROCKVILLE, MD (May 7, 2003) - Federal Realty Investment Trust (NYSE:FRT) today reported operating results for the quarter ended March 31, 2003.</w:t>
      </w:r>
    </w:p>
    <w:p>
      <w:pPr>
        <w:spacing w:after="0" w:line="160" w:lineRule="exact"/>
        <w:rPr>
          <w:sz w:val="20"/>
          <w:szCs w:val="20"/>
          <w:color w:val="auto"/>
        </w:rPr>
      </w:pPr>
    </w:p>
    <w:p>
      <w:pPr>
        <w:ind w:left="860" w:right="3419" w:hanging="421"/>
        <w:spacing w:after="0" w:line="250"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(FFO) was $0.64 per diluted share for the first quarter</w:t>
      </w:r>
    </w:p>
    <w:p>
      <w:pPr>
        <w:spacing w:after="0" w:line="1" w:lineRule="exact"/>
        <w:rPr>
          <w:sz w:val="20"/>
          <w:szCs w:val="20"/>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quarter 2003 net income per diluted share was $0.26</w:t>
      </w:r>
    </w:p>
    <w:p>
      <w:pPr>
        <w:spacing w:after="0" w:line="7" w:lineRule="exact"/>
        <w:rPr>
          <w:rFonts w:ascii="Courier New" w:cs="Courier New" w:eastAsia="Courier New" w:hAnsi="Courier New"/>
          <w:sz w:val="14"/>
          <w:szCs w:val="14"/>
          <w:color w:val="auto"/>
        </w:rPr>
      </w:pPr>
    </w:p>
    <w:p>
      <w:pPr>
        <w:ind w:left="860" w:right="3679" w:hanging="421"/>
        <w:spacing w:after="0" w:line="250"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Same-center property operating income, excluding properties redeveloped, expanded or acquired, increased 4.8% when compared to first quarter 2002</w:t>
      </w:r>
    </w:p>
    <w:p>
      <w:pPr>
        <w:spacing w:after="0" w:line="1"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rent increases on lease rollovers were 18% for the first quarter on 374,000 square feet of comparable retail space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Federal Realty reported FFO of $28.9 million for the first quarter of 2003, or $0.64 per diluted share. This compares to FFO of $19.0 million for the first quarter of 2002, or $0.46 per diluted share, which included an $8.5 million, or $0.21 per diluted share charge recognized as a result of the change in business strategy and resulting restructuring announced on March 11, 2002.</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Net income available for common shareholders was $11.5 million, or $0.26 per diluted share for the quarter ended March 31, 2003. For the first quarter of 2002, the Trust reported a net loss to common shareholders of $6.2 million, or $0.15 per diluted share. The net loss recorded for the first quarter of 2002 included an $18.1 million, or $0.44 per diluted share charge relating to the change in business strategy, resulting restructuring and loss on abandoned developments held for sale.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a same-center basis, which excludes properties redeveloped, expanded or acquired since March 31, 2002, property operating income increased 4.8% versus first quarter 2002. At March 31, 2003, retail occupancy on a same-center basis remained strong at 95.8% compared to 95.5% on March 31, 2002 and December 31, 2002. Same-center occupancy excludes the 444,000 square feet of retail space in Phase I of Santana Row which was 74% leased and 471,000 square feet of retail space in South Valley Shopping Center and Mount Vernon Plaza, properties acquired late in the first quarter that were a combined 74% leased. Overall occupancy was 94.3% at March 31, 2003, compared to 95.5% on March 31, 2002 and 94.7% on December 31, 2002.</w:t>
      </w:r>
    </w:p>
    <w:p>
      <w:pPr>
        <w:sectPr>
          <w:pgSz w:w="11900" w:h="16838" w:orient="portrait"/>
          <w:cols w:equalWidth="0" w:num="1">
            <w:col w:w="10239"/>
          </w:cols>
          <w:pgMar w:left="220" w:top="616"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2003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the Trust signed 77 leases for over 525,000 square feet of retail space. On a comparable space basis (i.e. spaces for which there was a former tenant), the Trust leased 374,000 square feet at an average cash-basis contractual rent increase (i.e. excluding the impact of straight-line rents) in rent per square foot of 18%. The weighted-average contractual rent on this space for the first year of the new lease was $16.35 per square foot compared to the weighted-average contractual rent of $13.88 per square foot for the last year of the prior lease. The previous weighted-average contractual rent is calculated by including both the minimum rent and the percentage rent actually paid during the last year of the lease term for the re-leased space. On a GAAP basis, rent increases were 31% on the 374,000 square feet of comparable space re-leased during the quarter.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 am impressed with the strong performance of our core portfolio in the face of the uncertainties caused by the war and generally poor economic conditions," stated Donald C. Wood, Federal Realty's president and chief executive officer. "We look forward to executing the opportunities afforded to us by projects like Santana Row, our newly acquired properties and our redevelopment pipeline."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Guidance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Federal Realty re-confirmed previous expectations for 2003 FFO per diluted share of $2.60 and provided new guidance, as a result of SEC Regulation G covering non-GAAP financial disclosure, for net income per diluted share of $0.99.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Quarterly Activities and Recent Developments</w:t>
      </w:r>
    </w:p>
    <w:p>
      <w:pPr>
        <w:spacing w:after="0" w:line="173" w:lineRule="exact"/>
        <w:rPr>
          <w:sz w:val="20"/>
          <w:szCs w:val="20"/>
          <w:color w:val="auto"/>
        </w:rPr>
      </w:pPr>
    </w:p>
    <w:p>
      <w:pPr>
        <w:ind w:left="440" w:right="341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23, 2003, the Trust provided updated information relating to the status of its three Kmart locations, comprising 326,000 square feet of retail space and $1.7 million of contractual rent, that were closed as a result of the retailer's chapter 11 bankruptcy filing. Kohl's Corporation is assuming the previous lease for the 150,000 square foot store at Fresh Meadows in Queens, New York. The leases for the Kmart locations at both Flourtown Shopping Center in Flourtown, Pennsylvania and Leesburg Plaza in Leesburg, Virginia, represent a combined 1.1% of portfolio occupancy and 0.15% of annualized revenues. The Trust will re-claim both of these spaces and management believes both properties provide potential for increased earnings and increased value through redevelopment or re-tenanting.</w:t>
      </w:r>
    </w:p>
    <w:p>
      <w:pPr>
        <w:spacing w:after="0" w:line="163"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16, 2003, Federal Realty announced the appointment of David Faeder, vice chairman of Sunrise Assisted Living, Inc. (NYSE:SRZ) to serve on the Trust's board of trustees. Mr. Faeder also has been appointed to serve on the Trust's audit committee and has been designated by the Board as the Trust's</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2003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"audit committee financial expert." Mr. Faeder will stand for election by the Trust's shareholders at the 2004 Annual Meeting of Shareholders.</w:t>
      </w:r>
    </w:p>
    <w:p>
      <w:pPr>
        <w:spacing w:after="0" w:line="160" w:lineRule="exact"/>
        <w:rPr>
          <w:sz w:val="20"/>
          <w:szCs w:val="20"/>
          <w:color w:val="auto"/>
        </w:rPr>
      </w:pPr>
    </w:p>
    <w:p>
      <w:pPr>
        <w:ind w:left="440" w:right="3339" w:hanging="432"/>
        <w:spacing w:after="0" w:line="251"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 2003, Federal Realty announced the acquisition of South Valley Shopping Center and Mount Vernon Plaza in Fairfax County, Virginia. The shopping centers are adjacent to one another on the west side of Route 1 approximately three miles south of the Capital Beltway and were acquired from unrelated, private owners. The Trust purchased the fee interest in South Valley Shopping Center for approximately $13.7 million in an all cash transaction and acquired the leasehold interest with a purchase option in Mount Vernon Plaza for aggregate consideration of approximately $17.5 million in the form of cash, down-REIT partnership units and the assumption of debt. Management believes that both properties have significant potential for future re-leasing and redevelopment.</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7, 2003, the Trust announced plans for Phase II of Santana Row, which includes 84,000 square feet of retail space on two pad sites and 275 additional parking spaces. 95% of the retail space has been pre-leased to Best Buy and The Container Store, and Federal Realty expects an approximately 16% unleveraged return on its anticipated $27 million cost.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Conference Call Information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Federal Realty's management team will present an in depth discussion of the Trust's operating performance on its first quarter earnings conference call, which is scheduled for Thursday, May 8, 2003 at 11:00 A.M. Eastern Time. To participate, please call (888) 913-9966 five to ten minutes prior to the start time and use the Passcode EARNINGS (required). The conference leader is Andrew Blocher. Federal Realty will also provide an online Web Simulcast on the company's web site, www.federalrealty.com, which will remain available for 14 days following the conference call. A telephone recording of the call will be available for 14 days by dialing (800) 337-6851.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shopping centers and street retail properties. Federal Realty's portfolio contains approximately 15.7 million square feet located in major metropolitan markets across the United States. The operating portfolio is currently over 94% occupied by over 2,000 national, regional and local retailers with no single tenant accounting for more than 2.5% of rental revenue. Federal Realty has paid quarterly dividends to its shareholders continuously since its founding in 1962, and has increased its dividend rate for 35 consecutive years, the longest consecutive record in the REIT industry.</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2003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Shares of Federal Realty are traded on the New York Stock Exchange under the symbol FRT. Additional information about Federal Realty can be found on the Internet at www.federalrealty.com.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federal securities laws. Although Federal Realty believes the expectations reflected in the forward looking statements are based on reasonable assumptions, it can give no assurance that its expectations will be attained. The factors that may impact these expectations include:</w:t>
      </w:r>
    </w:p>
    <w:p>
      <w:pPr>
        <w:spacing w:after="0" w:line="164" w:lineRule="exact"/>
        <w:rPr>
          <w:sz w:val="20"/>
          <w:szCs w:val="20"/>
          <w:color w:val="auto"/>
        </w:rPr>
      </w:pPr>
    </w:p>
    <w:p>
      <w:pPr>
        <w:ind w:left="860" w:right="3339" w:hanging="421"/>
        <w:spacing w:after="0" w:line="250"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spacing w:after="0" w:line="2" w:lineRule="exact"/>
        <w:rPr>
          <w:sz w:val="20"/>
          <w:szCs w:val="20"/>
          <w:color w:val="auto"/>
        </w:rPr>
      </w:pPr>
    </w:p>
    <w:p>
      <w:pPr>
        <w:ind w:left="860" w:right="3519" w:hanging="421"/>
        <w:spacing w:after="0" w:line="250"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that our growth will be limited if we cannot obtain additional capital;</w:t>
      </w:r>
    </w:p>
    <w:p>
      <w:pPr>
        <w:spacing w:after="0" w:line="1" w:lineRule="exact"/>
        <w:rPr>
          <w:sz w:val="20"/>
          <w:szCs w:val="20"/>
          <w:color w:val="auto"/>
        </w:rPr>
      </w:pPr>
    </w:p>
    <w:p>
      <w:pPr>
        <w:ind w:left="860" w:right="3419" w:hanging="421"/>
        <w:spacing w:after="0" w:line="250"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normally associated with the real estate industry, including risks that our tenants will not pay rent or that we may be unable to renew leases or relet space at favorable rents as leases expire, that new acquisitions or our development, construction and renovation projects, including our Santana Row project, may fail to perform as expected, that competition for acquisitions could result in increased prices, that we may have environmental risks at our properties, and, because real estate is illiquid, that we may not be able to sell properties when appropriate;</w:t>
      </w:r>
    </w:p>
    <w:p>
      <w:pPr>
        <w:spacing w:after="0" w:line="4" w:lineRule="exact"/>
        <w:rPr>
          <w:sz w:val="20"/>
          <w:szCs w:val="20"/>
          <w:color w:val="auto"/>
        </w:rPr>
      </w:pPr>
    </w:p>
    <w:p>
      <w:pPr>
        <w:jc w:val="both"/>
        <w:ind w:left="860" w:right="3339" w:hanging="421"/>
        <w:spacing w:after="0" w:line="250"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related to our status as a REIT for federal income tax purposes, such as the existence of complex regulations relating to our status as a REIT, the effect of future changes in REIT requirements as a result</w:t>
      </w:r>
    </w:p>
    <w:p>
      <w:pPr>
        <w:spacing w:after="0" w:line="1" w:lineRule="exact"/>
        <w:rPr>
          <w:sz w:val="20"/>
          <w:szCs w:val="20"/>
          <w:color w:val="auto"/>
        </w:rPr>
      </w:pPr>
    </w:p>
    <w:p>
      <w:pPr>
        <w:ind w:left="860" w:right="3779"/>
        <w:spacing w:after="0" w:line="250" w:lineRule="auto"/>
        <w:rPr>
          <w:sz w:val="20"/>
          <w:szCs w:val="20"/>
          <w:color w:val="auto"/>
        </w:rPr>
      </w:pPr>
      <w:r>
        <w:rPr>
          <w:rFonts w:ascii="Courier New" w:cs="Courier New" w:eastAsia="Courier New" w:hAnsi="Courier New"/>
          <w:sz w:val="14"/>
          <w:szCs w:val="14"/>
          <w:color w:val="auto"/>
        </w:rPr>
        <w:t>of new legislation and the adverse consequences of the failure to qualify as a REIT; and</w:t>
      </w:r>
    </w:p>
    <w:p>
      <w:pPr>
        <w:spacing w:after="0" w:line="1" w:lineRule="exact"/>
        <w:rPr>
          <w:sz w:val="20"/>
          <w:szCs w:val="20"/>
          <w:color w:val="auto"/>
        </w:rPr>
      </w:pPr>
    </w:p>
    <w:p>
      <w:pPr>
        <w:ind w:left="860" w:right="3519" w:hanging="421"/>
        <w:spacing w:after="0" w:line="252" w:lineRule="auto"/>
        <w:tabs>
          <w:tab w:leader="none" w:pos="8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risks detailed from time to time in our SEC reports, including our current report on Form 8-K filed with the SEC on March 25, 2003, our annual report on Form 10-K filed with the SEC on March 26, 2003 and our quarterly reports on Form 10-Q.</w:t>
      </w:r>
    </w:p>
    <w:p>
      <w:pPr>
        <w:spacing w:after="0" w:line="16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Federal Realty assumes no obligation to update or supplement forward-looking statements that become untrue because of subsequent events.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9" w:name="page10"/>
    <w:bookmarkEnd w:id="9"/>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7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w:t>
            </w:r>
          </w:p>
        </w:tc>
        <w:tc>
          <w:tcPr>
            <w:tcW w:w="600" w:type="dxa"/>
            <w:vAlign w:val="bottom"/>
          </w:tcPr>
          <w:p>
            <w:pPr>
              <w:spacing w:after="0"/>
              <w:rPr>
                <w:sz w:val="14"/>
                <w:szCs w:val="14"/>
                <w:color w:val="auto"/>
              </w:rPr>
            </w:pP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52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Rental income</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$ 79,996</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$ 70,499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Other property income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4,095</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 and other income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1,215</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1,261</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85,306</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75,236</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Rental</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21,700</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15,371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Real estate taxes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7,858</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7,740</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Total property operating expenses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29,558</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23,111</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Property operating income</w:t>
            </w:r>
          </w:p>
        </w:tc>
        <w:tc>
          <w:tcPr>
            <w:tcW w:w="52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55,748</w:t>
            </w:r>
          </w:p>
        </w:tc>
        <w:tc>
          <w:tcPr>
            <w:tcW w:w="3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52,125</w:t>
            </w:r>
          </w:p>
        </w:tc>
      </w:tr>
      <w:tr>
        <w:trPr>
          <w:trHeight w:val="331"/>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52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17,579</w:t>
            </w:r>
          </w:p>
        </w:tc>
        <w:tc>
          <w:tcPr>
            <w:tcW w:w="3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16,640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Administrative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3,274</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Restructuring expenses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17,449</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15,825</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Total other expenses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38,302</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43,953</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 before investors' share of operations and discontinued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7120" w:type="dxa"/>
            <w:vAlign w:val="bottom"/>
          </w:tcPr>
          <w:p>
            <w:pPr>
              <w:ind w:left="440"/>
              <w:spacing w:after="0"/>
              <w:rPr>
                <w:sz w:val="20"/>
                <w:szCs w:val="20"/>
                <w:color w:val="auto"/>
              </w:rPr>
            </w:pPr>
            <w:r>
              <w:rPr>
                <w:rFonts w:ascii="Courier New" w:cs="Courier New" w:eastAsia="Courier New" w:hAnsi="Courier New"/>
                <w:sz w:val="14"/>
                <w:szCs w:val="14"/>
                <w:color w:val="auto"/>
              </w:rPr>
              <w:t>operations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17,446</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Investors' share of operations</w:t>
            </w:r>
          </w:p>
        </w:tc>
        <w:tc>
          <w:tcPr>
            <w:tcW w:w="5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(1,070)</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loss on abandoned developments held for sale and discontinued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7120" w:type="dxa"/>
            <w:vAlign w:val="bottom"/>
          </w:tcPr>
          <w:p>
            <w:pPr>
              <w:ind w:left="440"/>
              <w:spacing w:after="0"/>
              <w:rPr>
                <w:sz w:val="20"/>
                <w:szCs w:val="20"/>
                <w:color w:val="auto"/>
              </w:rPr>
            </w:pPr>
            <w:r>
              <w:rPr>
                <w:rFonts w:ascii="Courier New" w:cs="Courier New" w:eastAsia="Courier New" w:hAnsi="Courier New"/>
                <w:sz w:val="14"/>
                <w:szCs w:val="14"/>
                <w:color w:val="auto"/>
              </w:rPr>
              <w:t>operations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16,376</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 of discontinued assets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loss on abandoned developments held for sale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16,376</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(9,647)</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1560"/>
              <w:spacing w:after="0"/>
              <w:rPr>
                <w:sz w:val="20"/>
                <w:szCs w:val="20"/>
                <w:color w:val="auto"/>
              </w:rPr>
            </w:pPr>
            <w:r>
              <w:rPr>
                <w:rFonts w:ascii="Courier New" w:cs="Courier New" w:eastAsia="Courier New" w:hAnsi="Courier New"/>
                <w:sz w:val="14"/>
                <w:szCs w:val="14"/>
                <w:color w:val="auto"/>
              </w:rPr>
              <w:t>Net income (loss)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16,376</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(1,331)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Dividends on preferred stock</w:t>
            </w:r>
          </w:p>
        </w:tc>
        <w:tc>
          <w:tcPr>
            <w:tcW w:w="5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(4,856)</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(4,856)</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1560"/>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$ 11,520</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(6,187)</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$ 11,520</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(6,187)</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9,647</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15,798</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14,537</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1,354</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1,171</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Income (loss) attributable to operating partnership units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Funds from operations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$ 28,878</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$ 19,032</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78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45,354</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40,942</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Funds from operations per 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0.46</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Funds from operations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$ 28,878</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$ 19,032</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Add back restructuring expense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8,489</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Adjusted funds from operations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$ 28,878</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$ 27,521</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78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45,354</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40,942</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780"/>
              <w:spacing w:after="0"/>
              <w:rPr>
                <w:sz w:val="20"/>
                <w:szCs w:val="20"/>
                <w:color w:val="auto"/>
              </w:rPr>
            </w:pPr>
            <w:r>
              <w:rPr>
                <w:rFonts w:ascii="Courier New" w:cs="Courier New" w:eastAsia="Courier New" w:hAnsi="Courier New"/>
                <w:sz w:val="14"/>
                <w:szCs w:val="14"/>
                <w:color w:val="auto"/>
              </w:rPr>
              <w:t>Adjusted funds from operations per 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Earnings per common share, basic</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Income (loss) before loss on abandoned developments held for sale and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7120" w:type="dxa"/>
            <w:vAlign w:val="bottom"/>
          </w:tcPr>
          <w:p>
            <w:pPr>
              <w:ind w:left="70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ind w:left="78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44,271</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39,702</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Earnings per common share, diluted</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Income (loss) before loss on abandoned developments held for sale and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7120" w:type="dxa"/>
            <w:vAlign w:val="bottom"/>
          </w:tcPr>
          <w:p>
            <w:pPr>
              <w:ind w:left="78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0.06</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6"/>
        </w:trPr>
        <w:tc>
          <w:tcPr>
            <w:tcW w:w="71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239"/>
          </w:cols>
          <w:pgMar w:left="220" w:top="616"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(0.15)</w:t>
            </w:r>
          </w:p>
        </w:tc>
      </w:tr>
      <w:tr>
        <w:trPr>
          <w:trHeight w:val="166"/>
        </w:trPr>
        <w:tc>
          <w:tcPr>
            <w:tcW w:w="76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jc w:val="right"/>
              <w:ind w:right="2568"/>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45,354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40,942</w:t>
            </w:r>
          </w:p>
        </w:tc>
      </w:tr>
      <w:tr>
        <w:trPr>
          <w:trHeight w:val="166"/>
        </w:trPr>
        <w:tc>
          <w:tcPr>
            <w:tcW w:w="76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9459"/>
          </w:cols>
          <w:pgMar w:left="1000" w:top="14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3"/>
        </w:trPr>
        <w:tc>
          <w:tcPr>
            <w:tcW w:w="61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March 31,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Real estate, at cost</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$ 1,907,912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$ 1,864,244</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Development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483,797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442,582</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2,391,709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2,306,826</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(466,332)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(450,697)</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1,925,377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1,856,129</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Mortgage notes receivable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37,542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35,577</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Cash and investments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18,113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23,123</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23,383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18,722</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66,986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65,827</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$ 2,071,401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$ 1,999,378</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1"/>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Obligations under capital leases, mortgages and construction loans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364,811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393,212</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276,278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198,311</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Senior notes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535,000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535,000</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616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148,209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153,568</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1,399,298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1,355,091</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235,000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235,000</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Common Shares and Other Shareholders' Equity</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437,103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409,287</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$ 2,071,401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$ 1,999,378</w:t>
            </w:r>
          </w:p>
        </w:tc>
      </w:tr>
      <w:tr>
        <w:trPr>
          <w:trHeight w:val="166"/>
        </w:trPr>
        <w:tc>
          <w:tcPr>
            <w:tcW w:w="61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 / Funds Available for Distribution / Summary of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March 31, 2003</w:t>
            </w:r>
          </w:p>
        </w:tc>
        <w:tc>
          <w:tcPr>
            <w:tcW w:w="18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 2002</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(in thousands, except</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 data)</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Funds From Operations, exclusive of restructuring expense (FFO) (1)</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11,520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(6,187)</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9,647</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Restructuring expense</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8,489</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15,798</w:t>
            </w:r>
          </w:p>
        </w:tc>
        <w:tc>
          <w:tcPr>
            <w:tcW w:w="1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14,537</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1,354</w:t>
            </w:r>
          </w:p>
        </w:tc>
        <w:tc>
          <w:tcPr>
            <w:tcW w:w="1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1,171</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Income (loss) attributable to operating partnership units</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206</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FFO</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28,878</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27,521</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Weighted average shares number of common shares, diluted</w:t>
            </w:r>
          </w:p>
        </w:tc>
        <w:tc>
          <w:tcPr>
            <w:tcW w:w="400" w:type="dxa"/>
            <w:vAlign w:val="bottom"/>
          </w:tcPr>
          <w:p>
            <w:pPr>
              <w:spacing w:after="0"/>
              <w:rPr>
                <w:sz w:val="24"/>
                <w:szCs w:val="2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45,354</w:t>
            </w:r>
          </w:p>
        </w:tc>
        <w:tc>
          <w:tcPr>
            <w:tcW w:w="1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40,942</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FFO per share</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0.64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Funds Available for Distribution (FAD)</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FFO</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28,878</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27,521</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Maintenance capital expenditures</w:t>
            </w:r>
          </w:p>
        </w:tc>
        <w:tc>
          <w:tcPr>
            <w:tcW w:w="400" w:type="dxa"/>
            <w:vAlign w:val="bottom"/>
          </w:tcPr>
          <w:p>
            <w:pPr>
              <w:spacing w:after="0"/>
              <w:rPr>
                <w:sz w:val="14"/>
                <w:szCs w:val="1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(758)</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FAD</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28,120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26,537</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Common dividends declared</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21,907</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19,465</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Dividend payout ratio as a percentage of FFO</w:t>
            </w:r>
          </w:p>
        </w:tc>
        <w:tc>
          <w:tcPr>
            <w:tcW w:w="400" w:type="dxa"/>
            <w:vAlign w:val="bottom"/>
          </w:tcPr>
          <w:p>
            <w:pPr>
              <w:spacing w:after="0"/>
              <w:rPr>
                <w:sz w:val="24"/>
                <w:szCs w:val="2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Dividend payout ratio as a percentage of FAD</w:t>
            </w:r>
          </w:p>
        </w:tc>
        <w:tc>
          <w:tcPr>
            <w:tcW w:w="400" w:type="dxa"/>
            <w:vAlign w:val="bottom"/>
          </w:tcPr>
          <w:p>
            <w:pPr>
              <w:spacing w:after="0"/>
              <w:rPr>
                <w:sz w:val="24"/>
                <w:szCs w:val="2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Summary of Capital Expenditures</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Non-maintenance Capital Expenditures</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Development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45,743</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47,626</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Acquisition Related (2)</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Redevelopments and Expansions</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2,921</w:t>
            </w:r>
          </w:p>
        </w:tc>
        <w:tc>
          <w:tcPr>
            <w:tcW w:w="1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4,559</w:t>
            </w:r>
          </w:p>
        </w:tc>
      </w:tr>
      <w:tr>
        <w:trPr>
          <w:trHeight w:val="166"/>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Tenant Improvements</w:t>
            </w:r>
          </w:p>
        </w:tc>
        <w:tc>
          <w:tcPr>
            <w:tcW w:w="400" w:type="dxa"/>
            <w:vAlign w:val="bottom"/>
          </w:tcPr>
          <w:p>
            <w:pPr>
              <w:spacing w:after="0"/>
              <w:rPr>
                <w:sz w:val="14"/>
                <w:szCs w:val="1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2,804</w:t>
            </w:r>
          </w:p>
        </w:tc>
        <w:tc>
          <w:tcPr>
            <w:tcW w:w="1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1,714</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Total Non-maintenance Capital Expenditures</w:t>
            </w:r>
          </w:p>
        </w:tc>
        <w:tc>
          <w:tcPr>
            <w:tcW w:w="400" w:type="dxa"/>
            <w:vAlign w:val="bottom"/>
          </w:tcPr>
          <w:p>
            <w:pPr>
              <w:spacing w:after="0"/>
              <w:rPr>
                <w:sz w:val="24"/>
                <w:szCs w:val="2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51,468</w:t>
            </w:r>
          </w:p>
        </w:tc>
        <w:tc>
          <w:tcPr>
            <w:tcW w:w="1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54,190</w:t>
            </w:r>
          </w:p>
        </w:tc>
      </w:tr>
      <w:tr>
        <w:trPr>
          <w:trHeight w:val="331"/>
        </w:trPr>
        <w:tc>
          <w:tcPr>
            <w:tcW w:w="6160" w:type="dxa"/>
            <w:vAlign w:val="bottom"/>
          </w:tcPr>
          <w:p>
            <w:pPr>
              <w:ind w:left="620"/>
              <w:spacing w:after="0"/>
              <w:rPr>
                <w:sz w:val="20"/>
                <w:szCs w:val="20"/>
                <w:color w:val="auto"/>
              </w:rPr>
            </w:pPr>
            <w:r>
              <w:rPr>
                <w:rFonts w:ascii="Courier New" w:cs="Courier New" w:eastAsia="Courier New" w:hAnsi="Courier New"/>
                <w:sz w:val="14"/>
                <w:szCs w:val="14"/>
                <w:color w:val="auto"/>
              </w:rPr>
              <w:t>Maintenance Capital Expenditures</w:t>
            </w:r>
          </w:p>
        </w:tc>
        <w:tc>
          <w:tcPr>
            <w:tcW w:w="400" w:type="dxa"/>
            <w:vAlign w:val="bottom"/>
          </w:tcPr>
          <w:p>
            <w:pPr>
              <w:spacing w:after="0"/>
              <w:rPr>
                <w:sz w:val="24"/>
                <w:szCs w:val="24"/>
                <w:color w:val="auto"/>
              </w:rPr>
            </w:pP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758</w:t>
            </w:r>
          </w:p>
        </w:tc>
        <w:tc>
          <w:tcPr>
            <w:tcW w:w="1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Total Capital Expenditures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52,226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55,174</w:t>
            </w:r>
          </w:p>
        </w:tc>
      </w:tr>
      <w:tr>
        <w:trPr>
          <w:trHeight w:val="166"/>
        </w:trPr>
        <w:tc>
          <w:tcPr>
            <w:tcW w:w="6160" w:type="dxa"/>
            <w:vAlign w:val="bottom"/>
          </w:tcPr>
          <w:p>
            <w:pPr>
              <w:spacing w:after="0"/>
              <w:rPr>
                <w:sz w:val="14"/>
                <w:szCs w:val="14"/>
                <w:color w:val="auto"/>
              </w:rPr>
            </w:pPr>
          </w:p>
        </w:tc>
        <w:tc>
          <w:tcPr>
            <w:tcW w:w="22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Glossary of Terms.</w:t>
      </w:r>
    </w:p>
    <w:p>
      <w:pPr>
        <w:spacing w:after="0" w:line="7" w:lineRule="exact"/>
        <w:rPr>
          <w:rFonts w:ascii="Courier New" w:cs="Courier New" w:eastAsia="Courier New" w:hAnsi="Courier New"/>
          <w:sz w:val="14"/>
          <w:szCs w:val="14"/>
          <w:color w:val="auto"/>
        </w:rPr>
      </w:pPr>
    </w:p>
    <w:p>
      <w:pPr>
        <w:ind w:left="620" w:right="3599" w:hanging="612"/>
        <w:spacing w:after="0" w:line="252" w:lineRule="auto"/>
        <w:tabs>
          <w:tab w:leader="none" w:pos="36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related to properties acquired in the last two years for which non-maintenance expenditures were planned at the time of the acquisition underwriting.</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Data / Capital Availability / Operational Statistics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As of</w:t>
            </w:r>
          </w:p>
        </w:tc>
        <w:tc>
          <w:tcPr>
            <w:tcW w:w="1500" w:type="dxa"/>
            <w:vAlign w:val="bottom"/>
          </w:tcPr>
          <w:p>
            <w:pPr>
              <w:spacing w:after="0"/>
              <w:rPr>
                <w:sz w:val="14"/>
                <w:szCs w:val="14"/>
                <w:color w:val="auto"/>
              </w:rPr>
            </w:pPr>
          </w:p>
        </w:tc>
      </w:tr>
      <w:tr>
        <w:trPr>
          <w:trHeight w:val="166"/>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March 31, 2003</w:t>
            </w:r>
          </w:p>
        </w:tc>
        <w:tc>
          <w:tcPr>
            <w:tcW w:w="78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 2002</w:t>
            </w:r>
          </w:p>
        </w:tc>
      </w:tr>
      <w:tr>
        <w:trPr>
          <w:trHeight w:val="166"/>
        </w:trPr>
        <w:tc>
          <w:tcPr>
            <w:tcW w:w="56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Market data</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Common shares outstanding</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45,188</w:t>
            </w:r>
          </w:p>
        </w:tc>
        <w:tc>
          <w:tcPr>
            <w:tcW w:w="7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40,637</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Market price per common share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30.37</w:t>
            </w:r>
          </w:p>
        </w:tc>
        <w:tc>
          <w:tcPr>
            <w:tcW w:w="78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25.67</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Series A preferred shares outstanding</w:t>
            </w:r>
          </w:p>
        </w:tc>
        <w:tc>
          <w:tcPr>
            <w:tcW w:w="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c>
          <w:tcPr>
            <w:tcW w:w="7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Market price per Series A preferred share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25.10</w:t>
            </w:r>
          </w:p>
        </w:tc>
        <w:tc>
          <w:tcPr>
            <w:tcW w:w="78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24.60</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Series B preferred shares outstanding</w:t>
            </w:r>
          </w:p>
        </w:tc>
        <w:tc>
          <w:tcPr>
            <w:tcW w:w="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5,400</w:t>
            </w:r>
          </w:p>
        </w:tc>
        <w:tc>
          <w:tcPr>
            <w:tcW w:w="7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5,400</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Market price per Series B preferred share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26.40</w:t>
            </w:r>
          </w:p>
        </w:tc>
        <w:tc>
          <w:tcPr>
            <w:tcW w:w="78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24.95</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Equity market capitalization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1,615,320</w:t>
            </w:r>
          </w:p>
        </w:tc>
        <w:tc>
          <w:tcPr>
            <w:tcW w:w="78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1,276,282</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Total debt (1)</w:t>
            </w:r>
          </w:p>
        </w:tc>
        <w:tc>
          <w:tcPr>
            <w:tcW w:w="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1,146,756</w:t>
            </w:r>
          </w:p>
        </w:tc>
        <w:tc>
          <w:tcPr>
            <w:tcW w:w="7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1,052,428</w:t>
            </w:r>
          </w:p>
        </w:tc>
      </w:tr>
      <w:tr>
        <w:trPr>
          <w:trHeight w:val="166"/>
        </w:trPr>
        <w:tc>
          <w:tcPr>
            <w:tcW w:w="56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Total market capitalization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2,762,076</w:t>
            </w:r>
          </w:p>
        </w:tc>
        <w:tc>
          <w:tcPr>
            <w:tcW w:w="7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2,328,710</w:t>
            </w:r>
          </w:p>
        </w:tc>
      </w:tr>
      <w:tr>
        <w:trPr>
          <w:trHeight w:val="166"/>
        </w:trPr>
        <w:tc>
          <w:tcPr>
            <w:tcW w:w="56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Total debt to market capitalization</w:t>
            </w:r>
          </w:p>
        </w:tc>
        <w:tc>
          <w:tcPr>
            <w:tcW w:w="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c>
          <w:tcPr>
            <w:tcW w:w="78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w:t>
            </w:r>
          </w:p>
        </w:tc>
      </w:tr>
      <w:tr>
        <w:trPr>
          <w:trHeight w:val="166"/>
        </w:trPr>
        <w:tc>
          <w:tcPr>
            <w:tcW w:w="56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Capital availability:</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Cash on hand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18,113</w:t>
            </w:r>
          </w:p>
        </w:tc>
        <w:tc>
          <w:tcPr>
            <w:tcW w:w="78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17,325</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Tax deferred exchange escrows</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Available capacity under line of credit</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151,000</w:t>
            </w:r>
          </w:p>
        </w:tc>
        <w:tc>
          <w:tcPr>
            <w:tcW w:w="7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245,000</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Available capacity under Santana Row construction loan (2)</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202,000</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Available for issuance under shelf registration statement</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500,000</w:t>
            </w:r>
          </w:p>
        </w:tc>
        <w:tc>
          <w:tcPr>
            <w:tcW w:w="78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190,000</w:t>
            </w:r>
          </w:p>
        </w:tc>
      </w:tr>
      <w:tr>
        <w:trPr>
          <w:trHeight w:val="166"/>
        </w:trPr>
        <w:tc>
          <w:tcPr>
            <w:tcW w:w="56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669,113</w:t>
            </w:r>
          </w:p>
        </w:tc>
        <w:tc>
          <w:tcPr>
            <w:tcW w:w="78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660,331</w:t>
            </w:r>
          </w:p>
        </w:tc>
      </w:tr>
      <w:tr>
        <w:trPr>
          <w:trHeight w:val="166"/>
        </w:trPr>
        <w:tc>
          <w:tcPr>
            <w:tcW w:w="56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Three months ended</w:t>
            </w:r>
          </w:p>
        </w:tc>
        <w:tc>
          <w:tcPr>
            <w:tcW w:w="22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March 31, 2003</w:t>
            </w:r>
          </w:p>
        </w:tc>
        <w:tc>
          <w:tcPr>
            <w:tcW w:w="78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March 31, 2002</w:t>
            </w:r>
          </w:p>
        </w:tc>
      </w:tr>
      <w:tr>
        <w:trPr>
          <w:trHeight w:val="166"/>
        </w:trPr>
        <w:tc>
          <w:tcPr>
            <w:tcW w:w="56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Operational statistics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Ratio of earnings to fixed charges (3)</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1.48x</w:t>
            </w:r>
          </w:p>
        </w:tc>
        <w:tc>
          <w:tcPr>
            <w:tcW w:w="7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1.16x (4)</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Ratio of earnings to combined fixed charges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and preferred share dividends (3)</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1.22x</w:t>
            </w:r>
          </w:p>
        </w:tc>
        <w:tc>
          <w:tcPr>
            <w:tcW w:w="7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.95x (4)</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Ratio of EBITDA to combined fixed charges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and preferred share dividends (3) (5)</w:t>
            </w: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1.82x</w:t>
            </w:r>
          </w:p>
        </w:tc>
        <w:tc>
          <w:tcPr>
            <w:tcW w:w="7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1.53x (4)</w:t>
            </w:r>
          </w:p>
        </w:tc>
      </w:tr>
      <w:tr>
        <w:trPr>
          <w:trHeight w:val="331"/>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Administrative expense as a percentage of total revenues</w:t>
            </w:r>
          </w:p>
        </w:tc>
        <w:tc>
          <w:tcPr>
            <w:tcW w:w="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c>
          <w:tcPr>
            <w:tcW w:w="780" w:type="dxa"/>
            <w:vAlign w:val="bottom"/>
          </w:tcPr>
          <w:p>
            <w:pPr>
              <w:spacing w:after="0"/>
              <w:rPr>
                <w:sz w:val="24"/>
                <w:szCs w:val="2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620" w:right="3519" w:hanging="353"/>
        <w:spacing w:after="0" w:line="250"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debt includes mortgages and construction loans payable, notes payable, senior notes and debentures and 5.25% convertible subordinated debentures.</w:t>
      </w:r>
    </w:p>
    <w:p>
      <w:pPr>
        <w:spacing w:after="0" w:line="1"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Santana Row construction loan retired on November 19, 2002.</w:t>
      </w:r>
    </w:p>
    <w:p>
      <w:pPr>
        <w:spacing w:after="0" w:line="7"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and Series B preferred shares.</w:t>
      </w:r>
    </w:p>
    <w:p>
      <w:pPr>
        <w:spacing w:after="0" w:line="2"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$8.5 million restructuring charge incurred in the first quarter of 2002. Excluding this charge the ratio of earnings to fixed charges would have been 1.55x, the ratio of earnings to combined fixed charges and preferred share dividends would have been 1.27x and the ratio of EBITDA to combined fixed charges and preferred share dividends would have been 1.84x.</w:t>
      </w:r>
    </w:p>
    <w:p>
      <w:pPr>
        <w:spacing w:after="0" w:line="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Glossary of Terms for reconciliation of EBITDA to net income.</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Outstanding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Maturity</w:t>
            </w:r>
          </w:p>
        </w:tc>
        <w:tc>
          <w:tcPr>
            <w:tcW w:w="16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Effective Rate</w:t>
            </w: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Balance</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Mortgage Loans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Leesburg Plaza</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10/01/08</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6.510%</w:t>
            </w: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164 E Houston Street</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10/06/08</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Federal Plaza</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06/01/11</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6.750%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35,831</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Barracks Road</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11/01/15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Hauppauge</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11/01/15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Lawrence Park</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11/01/15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Wildwood</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11/01/15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Wynnewood</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11/01/15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Brick Plaza</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11/01/15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7.415%</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Tysons Station</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09/01/11</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7.400%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6,838</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Escondido (Municipal bonds)</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10/01/16</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3.150%</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Mount Vernon</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04/15/28</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5.660%</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13,250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260,478</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Revolving credit facilities</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12/19/03</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libor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.80%</w:t>
            </w: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Term note with banks</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12/19/03</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2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Note issued in connection with</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2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renovation of Perring Plaza</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01/31/13</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2,233</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various</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various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276,278</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Convertible Subordinated Debentures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2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10/28/03</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Notes and Debentures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6.74% Medium Term Notes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03/10/04</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6.370%</w:t>
            </w: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6.625% Notes (fixed)</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12/01/05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6.625%</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6.99% Medium Term Notes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03/10/06</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6.894%</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6.125% Notes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11/15/07</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6.325%</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8.75% Notes</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12/01/09</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8.750%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7.48% Debentures</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08/15/26</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7.480%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6.82% Medium Term Notes</w:t>
            </w:r>
          </w:p>
        </w:tc>
        <w:tc>
          <w:tcPr>
            <w:tcW w:w="12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08/01/27</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6.820%</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535,000</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w:t>
            </w: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4"/>
                <w:szCs w:val="14"/>
                <w:color w:val="auto"/>
              </w:rPr>
              <w:t>interest rate</w:t>
            </w:r>
          </w:p>
        </w:tc>
        <w:tc>
          <w:tcPr>
            <w:tcW w:w="360" w:type="dxa"/>
            <w:vAlign w:val="bottom"/>
          </w:tcPr>
          <w:p>
            <w:pPr>
              <w:spacing w:after="0"/>
              <w:rPr>
                <w:sz w:val="14"/>
                <w:szCs w:val="14"/>
                <w:color w:val="auto"/>
              </w:rPr>
            </w:pPr>
          </w:p>
        </w:tc>
      </w:tr>
      <w:tr>
        <w:trPr>
          <w:trHeight w:val="331"/>
        </w:trPr>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Total fixed rate debt</w:t>
            </w:r>
          </w:p>
        </w:tc>
        <w:tc>
          <w:tcPr>
            <w:tcW w:w="4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988,356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86.19%</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7.09%</w:t>
            </w:r>
          </w:p>
        </w:tc>
        <w:tc>
          <w:tcPr>
            <w:tcW w:w="36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Total variable rate debt</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158,400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2.24%</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(f)</w:t>
            </w: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Total debt</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1,146,756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6.42%</w:t>
            </w: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1"/>
        </w:trPr>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Various through</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2077 (g)</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104,333</w:t>
            </w: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660" w:type="dxa"/>
            <w:vAlign w:val="bottom"/>
            <w:gridSpan w:val="4"/>
          </w:tcPr>
          <w:p>
            <w:pPr>
              <w:spacing w:after="0"/>
              <w:rPr>
                <w:sz w:val="20"/>
                <w:szCs w:val="20"/>
                <w:color w:val="auto"/>
              </w:rPr>
            </w:pPr>
            <w:r>
              <w:rPr>
                <w:rFonts w:ascii="Courier New" w:cs="Courier New" w:eastAsia="Courier New" w:hAnsi="Courier New"/>
                <w:sz w:val="14"/>
                <w:szCs w:val="14"/>
                <w:color w:val="auto"/>
              </w:rPr>
              <w:t>Total debt and capital lease obligations</w:t>
            </w:r>
          </w:p>
        </w:tc>
        <w:tc>
          <w:tcPr>
            <w:tcW w:w="4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1,251,089</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335" w:lineRule="exact"/>
        <w:rPr>
          <w:sz w:val="20"/>
          <w:szCs w:val="20"/>
          <w:color w:val="auto"/>
        </w:rPr>
      </w:pPr>
    </w:p>
    <w:p>
      <w:pPr>
        <w:ind w:left="360" w:right="4400" w:hanging="352"/>
        <w:spacing w:after="0" w:line="250"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 The weighted average interest rate for the three months ended March 31, 2003, was 3.15%</w:t>
      </w:r>
    </w:p>
    <w:p>
      <w:pPr>
        <w:spacing w:after="0" w:line="1" w:lineRule="exact"/>
        <w:rPr>
          <w:rFonts w:ascii="Courier New" w:cs="Courier New" w:eastAsia="Courier New" w:hAnsi="Courier New"/>
          <w:sz w:val="14"/>
          <w:szCs w:val="14"/>
          <w:color w:val="auto"/>
        </w:rPr>
      </w:pPr>
    </w:p>
    <w:p>
      <w:pPr>
        <w:ind w:left="360" w:right="4740" w:hanging="352"/>
        <w:spacing w:after="0" w:line="250"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rate is fixed at 5.66% for the first ten years and then is reset to a market rate. The lender has the option to call the loan after year ten.</w:t>
      </w:r>
    </w:p>
    <w:p>
      <w:pPr>
        <w:spacing w:after="0" w:line="1" w:lineRule="exact"/>
        <w:rPr>
          <w:rFonts w:ascii="Courier New" w:cs="Courier New" w:eastAsia="Courier New" w:hAnsi="Courier New"/>
          <w:sz w:val="14"/>
          <w:szCs w:val="14"/>
          <w:color w:val="auto"/>
        </w:rPr>
      </w:pPr>
    </w:p>
    <w:p>
      <w:pPr>
        <w:ind w:left="360" w:right="4660" w:hanging="352"/>
        <w:spacing w:after="0" w:line="250"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plus 95 basis points. The Trust purchased interest rate swaps or hedges on this note, thereby locking in the LIBOR interest rate of 5.27%.</w:t>
      </w:r>
    </w:p>
    <w:p>
      <w:pPr>
        <w:ind w:left="360" w:right="4660" w:hanging="352"/>
        <w:spacing w:after="0" w:line="250"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at issuance, thereby reducing the effective interest rate on these notes.</w:t>
      </w:r>
    </w:p>
    <w:p>
      <w:pPr>
        <w:ind w:left="360" w:right="4480" w:hanging="352"/>
        <w:spacing w:after="0" w:line="250"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lock to hedge the planned note offering. The $1.5 million settlement of this hedge is being amortized into the November 2002 note offering thereby increasing the effective interest rate on these notes to 6.325%.</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variable rate debt as of March 31, 2003.</w:t>
      </w:r>
    </w:p>
    <w:p>
      <w:pPr>
        <w:spacing w:after="0" w:line="7" w:lineRule="exact"/>
        <w:rPr>
          <w:rFonts w:ascii="Courier New" w:cs="Courier New" w:eastAsia="Courier New" w:hAnsi="Courier New"/>
          <w:sz w:val="14"/>
          <w:szCs w:val="14"/>
          <w:color w:val="auto"/>
        </w:rPr>
      </w:pPr>
    </w:p>
    <w:p>
      <w:pPr>
        <w:ind w:left="360" w:right="4660" w:hanging="352"/>
        <w:spacing w:after="0" w:line="252"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capital lease obligations is 9.7% on a stated basis and 12.7% including performance based participation interest paid by the Trust.</w:t>
      </w:r>
    </w:p>
    <w:p>
      <w:pPr>
        <w:sectPr>
          <w:pgSz w:w="11900" w:h="16838" w:orient="portrait"/>
          <w:cols w:equalWidth="0" w:num="1">
            <w:col w:w="11300"/>
          </w:cols>
          <w:pgMar w:left="220" w:top="616" w:right="379" w:bottom="84"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Federal Realty</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Investment Trust</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Summary of Debt Maturities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March 31, 2003</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1"/>
        </w:trPr>
        <w:tc>
          <w:tcPr>
            <w:tcW w:w="720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1"/>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DEBT MATURITIES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663"/>
        </w:trPr>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Cumulative</w:t>
            </w:r>
          </w:p>
        </w:tc>
      </w:tr>
      <w:tr>
        <w:trPr>
          <w:trHeight w:val="166"/>
        </w:trPr>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Scheduled</w:t>
            </w: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Percent of</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w:t>
            </w:r>
          </w:p>
        </w:tc>
        <w:tc>
          <w:tcPr>
            <w:tcW w:w="18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Amortization</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Maturities</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Debt Expiring</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Debt Expiring</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4"/>
                <w:szCs w:val="4"/>
                <w:color w:val="auto"/>
                <w:w w:val="70"/>
              </w:rPr>
              <w:t>- ---------------------------------------------------------------------------------------------------</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349,000 (1)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349,828 (1)</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30.5%</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3,068</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39,500</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42,568</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2005</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3,336</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40,000</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43,336</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2006</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3,700</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40,500</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44,200</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2007</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3,991</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150,000</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153,991</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55.3%</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2008</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4,241</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9,541</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13,782</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2009</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4,437</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175,045</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179,482</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15.7%</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72.2%</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2010</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4,789</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4,789</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2011</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4,670</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37,236</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41,906</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76.2%</w:t>
            </w:r>
          </w:p>
        </w:tc>
      </w:tr>
      <w:tr>
        <w:trPr>
          <w:trHeight w:val="166"/>
        </w:trPr>
        <w:tc>
          <w:tcPr>
            <w:tcW w:w="12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2012</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4,638</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76.6%</w:t>
            </w:r>
          </w:p>
        </w:tc>
      </w:tr>
      <w:tr>
        <w:trPr>
          <w:trHeight w:val="166"/>
        </w:trPr>
        <w:tc>
          <w:tcPr>
            <w:tcW w:w="1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Thereafter</w:t>
            </w:r>
          </w:p>
        </w:tc>
        <w:tc>
          <w:tcPr>
            <w:tcW w:w="9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23,029</w:t>
            </w:r>
          </w:p>
        </w:tc>
        <w:tc>
          <w:tcPr>
            <w:tcW w:w="44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245,207</w:t>
            </w:r>
          </w:p>
        </w:tc>
        <w:tc>
          <w:tcPr>
            <w:tcW w:w="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268,236</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23.4%</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100" w:type="dxa"/>
            <w:vAlign w:val="bottom"/>
            <w:gridSpan w:val="7"/>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spacing w:after="0"/>
              <w:rPr>
                <w:sz w:val="14"/>
                <w:szCs w:val="14"/>
                <w:color w:val="auto"/>
              </w:rPr>
            </w:pPr>
          </w:p>
        </w:tc>
      </w:tr>
      <w:tr>
        <w:trPr>
          <w:trHeight w:val="331"/>
        </w:trPr>
        <w:tc>
          <w:tcPr>
            <w:tcW w:w="12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Total</w:t>
            </w:r>
          </w:p>
        </w:tc>
        <w:tc>
          <w:tcPr>
            <w:tcW w:w="18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$ 60,727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1,086,029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1,146,756</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100.00%</w:t>
            </w:r>
          </w:p>
        </w:tc>
        <w:tc>
          <w:tcPr>
            <w:tcW w:w="17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100" w:type="dxa"/>
            <w:vAlign w:val="bottom"/>
            <w:gridSpan w:val="7"/>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360" w:right="3780" w:hanging="352"/>
        <w:spacing w:after="0" w:line="255"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$149 million balance on revolving credit facility and $125 million balance on term loan.</w:t>
      </w:r>
    </w:p>
    <w:p>
      <w:pPr>
        <w:sectPr>
          <w:pgSz w:w="11900" w:h="16838" w:orient="portrait"/>
          <w:cols w:equalWidth="0" w:num="1">
            <w:col w:w="10600"/>
          </w:cols>
          <w:pgMar w:left="220" w:top="616" w:right="107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Current and Future Redevelopment Opportunities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Current Redevelopment Opportunities (1) ($ millions)</w:t>
      </w:r>
    </w:p>
    <w:p>
      <w:pPr>
        <w:sectPr>
          <w:pgSz w:w="11900" w:h="16838" w:orient="portrait"/>
          <w:cols w:equalWidth="0" w:num="1">
            <w:col w:w="11200"/>
          </w:cols>
          <w:pgMar w:left="220" w:top="616" w:right="479" w:bottom="0" w:gutter="0" w:footer="0" w:header="0"/>
        </w:sectPr>
      </w:pPr>
    </w:p>
    <w:p>
      <w:pPr>
        <w:spacing w:after="0" w:line="200" w:lineRule="exact"/>
        <w:rPr>
          <w:sz w:val="20"/>
          <w:szCs w:val="20"/>
          <w:color w:val="auto"/>
        </w:rPr>
      </w:pPr>
    </w:p>
    <w:p>
      <w:pPr>
        <w:spacing w:after="0" w:line="30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00" w:space="720"/>
            <w:col w:w="3060" w:space="720"/>
            <w:col w:w="3700"/>
          </w:cols>
          <w:pgMar w:left="220" w:top="616" w:right="479" w:bottom="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Projects Anticipated to Stabilize in 2003 (4)</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Rockville, MD</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Addition of 146-unit apartment building and structured parking</w:t>
            </w:r>
          </w:p>
        </w:tc>
      </w:tr>
      <w:tr>
        <w:trPr>
          <w:trHeight w:val="166"/>
        </w:trPr>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in existing parking field</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Bethesda, MD</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Grocery expansion, new pad site, GLA expansion and</w:t>
            </w:r>
          </w:p>
        </w:tc>
      </w:tr>
      <w:tr>
        <w:trPr>
          <w:trHeight w:val="166"/>
        </w:trPr>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re-tenanting (restaurant)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Cherry Hill, NJ</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Re-tenanting (new grocer) and associated expansion</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Broomall, PA</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Grocer expansion, new pad site (drug store), common area</w:t>
            </w:r>
          </w:p>
        </w:tc>
      </w:tr>
      <w:tr>
        <w:trPr>
          <w:trHeight w:val="166"/>
        </w:trPr>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Downers Grove, IL</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Re-tenanting (office supply)</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Glen Burnie, MD</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New pad sites (furniture and grocer)</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Dedham, MA</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Tenant re-location (electronics), parking lot and common area</w:t>
            </w:r>
          </w:p>
        </w:tc>
      </w:tr>
      <w:tr>
        <w:trPr>
          <w:trHeight w:val="166"/>
        </w:trPr>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Gaithersburg, MD</w:t>
            </w:r>
          </w:p>
        </w:tc>
        <w:tc>
          <w:tcPr>
            <w:tcW w:w="5640" w:type="dxa"/>
            <w:vAlign w:val="bottom"/>
          </w:tcPr>
          <w:p>
            <w:pPr>
              <w:ind w:left="300"/>
              <w:spacing w:after="0"/>
              <w:rPr>
                <w:sz w:val="20"/>
                <w:szCs w:val="20"/>
                <w:color w:val="auto"/>
              </w:rPr>
            </w:pPr>
            <w:r>
              <w:rPr>
                <w:rFonts w:ascii="Courier New" w:cs="Courier New" w:eastAsia="Courier New" w:hAnsi="Courier New"/>
                <w:sz w:val="14"/>
                <w:szCs w:val="14"/>
                <w:color w:val="auto"/>
              </w:rPr>
              <w:t>Pad site re-tenanting (drug store)</w:t>
            </w:r>
          </w:p>
        </w:tc>
      </w:tr>
    </w:tbl>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Projects Anticipated to Stabilize in 2004 (4)</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Santana Row Phase II</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 Jose, CA</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Two new pad sites</w:t>
            </w:r>
          </w:p>
        </w:tc>
        <w:tc>
          <w:tcPr>
            <w:tcW w:w="4300" w:type="dxa"/>
            <w:vAlign w:val="bottom"/>
            <w:gridSpan w:val="6"/>
          </w:tcPr>
          <w:p>
            <w:pPr>
              <w:jc w:val="right"/>
              <w:ind w:right="868"/>
              <w:spacing w:after="0"/>
              <w:rPr>
                <w:sz w:val="20"/>
                <w:szCs w:val="20"/>
                <w:color w:val="auto"/>
              </w:rPr>
            </w:pPr>
            <w:r>
              <w:rPr>
                <w:rFonts w:ascii="Courier New" w:cs="Courier New" w:eastAsia="Courier New" w:hAnsi="Courier New"/>
                <w:sz w:val="14"/>
                <w:szCs w:val="14"/>
                <w:color w:val="auto"/>
              </w:rPr>
              <w:t>(Best Buy and The Container Store) and</w:t>
            </w:r>
          </w:p>
        </w:tc>
      </w:tr>
      <w:tr>
        <w:trPr>
          <w:trHeight w:val="166"/>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additional parking</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Third Street Promenade</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Santa Monica, CA</w:t>
            </w:r>
          </w:p>
        </w:tc>
        <w:tc>
          <w:tcPr>
            <w:tcW w:w="2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Retail redevelopment</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Philadelphia, PA</w:t>
            </w:r>
          </w:p>
        </w:tc>
        <w:tc>
          <w:tcPr>
            <w:tcW w:w="4400" w:type="dxa"/>
            <w:vAlign w:val="bottom"/>
            <w:gridSpan w:val="6"/>
          </w:tcPr>
          <w:p>
            <w:pPr>
              <w:ind w:left="220"/>
              <w:spacing w:after="0"/>
              <w:rPr>
                <w:sz w:val="20"/>
                <w:szCs w:val="20"/>
                <w:color w:val="auto"/>
              </w:rPr>
            </w:pPr>
            <w:r>
              <w:rPr>
                <w:rFonts w:ascii="Courier New" w:cs="Courier New" w:eastAsia="Courier New" w:hAnsi="Courier New"/>
                <w:sz w:val="14"/>
                <w:szCs w:val="14"/>
                <w:color w:val="auto"/>
              </w:rPr>
              <w:t>Expansion and re-tenanting (new health club)</w:t>
            </w:r>
          </w:p>
        </w:tc>
        <w:tc>
          <w:tcPr>
            <w:tcW w:w="158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Brunswick Shopping Center</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North Brunswick, NJ</w:t>
            </w:r>
          </w:p>
        </w:tc>
        <w:tc>
          <w:tcPr>
            <w:tcW w:w="4400" w:type="dxa"/>
            <w:vAlign w:val="bottom"/>
            <w:gridSpan w:val="6"/>
          </w:tcPr>
          <w:p>
            <w:pPr>
              <w:ind w:left="220"/>
              <w:spacing w:after="0"/>
              <w:rPr>
                <w:sz w:val="20"/>
                <w:szCs w:val="20"/>
                <w:color w:val="auto"/>
              </w:rPr>
            </w:pPr>
            <w:r>
              <w:rPr>
                <w:rFonts w:ascii="Courier New" w:cs="Courier New" w:eastAsia="Courier New" w:hAnsi="Courier New"/>
                <w:sz w:val="14"/>
                <w:szCs w:val="14"/>
                <w:color w:val="auto"/>
              </w:rPr>
              <w:t>Re-tenanting of vacant Ames (fitness center)</w:t>
            </w: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Western Springs, IL</w:t>
            </w:r>
          </w:p>
        </w:tc>
        <w:tc>
          <w:tcPr>
            <w:tcW w:w="5980" w:type="dxa"/>
            <w:vAlign w:val="bottom"/>
            <w:gridSpan w:val="7"/>
          </w:tcPr>
          <w:p>
            <w:pPr>
              <w:ind w:left="220"/>
              <w:spacing w:after="0"/>
              <w:rPr>
                <w:sz w:val="20"/>
                <w:szCs w:val="20"/>
                <w:color w:val="auto"/>
              </w:rPr>
            </w:pPr>
            <w:r>
              <w:rPr>
                <w:rFonts w:ascii="Courier New" w:cs="Courier New" w:eastAsia="Courier New" w:hAnsi="Courier New"/>
                <w:sz w:val="14"/>
                <w:szCs w:val="14"/>
                <w:color w:val="auto"/>
              </w:rPr>
              <w:t>Expansion, re-tenanting (new grocer) and new pad site</w:t>
            </w:r>
          </w:p>
        </w:tc>
      </w:tr>
      <w:tr>
        <w:trPr>
          <w:trHeight w:val="166"/>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(existing drug store)</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Bristol, CT</w:t>
            </w:r>
          </w:p>
        </w:tc>
        <w:tc>
          <w:tcPr>
            <w:tcW w:w="27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Grocer relocation, canopy and</w:t>
            </w:r>
          </w:p>
        </w:tc>
        <w:tc>
          <w:tcPr>
            <w:tcW w:w="164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facade renovation</w:t>
            </w: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 Francisco, CA</w:t>
            </w:r>
          </w:p>
        </w:tc>
        <w:tc>
          <w:tcPr>
            <w:tcW w:w="5980" w:type="dxa"/>
            <w:vAlign w:val="bottom"/>
            <w:gridSpan w:val="7"/>
          </w:tcPr>
          <w:p>
            <w:pPr>
              <w:ind w:left="220"/>
              <w:spacing w:after="0"/>
              <w:rPr>
                <w:sz w:val="20"/>
                <w:szCs w:val="20"/>
                <w:color w:val="auto"/>
              </w:rPr>
            </w:pPr>
            <w:r>
              <w:rPr>
                <w:rFonts w:ascii="Courier New" w:cs="Courier New" w:eastAsia="Courier New" w:hAnsi="Courier New"/>
                <w:sz w:val="14"/>
                <w:szCs w:val="14"/>
                <w:color w:val="auto"/>
              </w:rPr>
              <w:t>Office space refurbishment and common area improvements</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Greenlawn, NY</w:t>
            </w:r>
          </w:p>
        </w:tc>
        <w:tc>
          <w:tcPr>
            <w:tcW w:w="34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New pad site (child care center)</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Bethesda, MD</w:t>
            </w:r>
          </w:p>
        </w:tc>
        <w:tc>
          <w:tcPr>
            <w:tcW w:w="34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New pad site (fitness equipment)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Willow Lawn</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Richmond, VA</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Grocery expansion</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Hauppauge Shopping Center</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Hauppauge, NY</w:t>
            </w:r>
          </w:p>
        </w:tc>
        <w:tc>
          <w:tcPr>
            <w:tcW w:w="34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Pad site re-tenanting (restaurant)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Laurel, MD</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Grocery expansion</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6380" w:type="dxa"/>
            <w:vAlign w:val="bottom"/>
            <w:gridSpan w:val="4"/>
          </w:tcPr>
          <w:p>
            <w:pPr>
              <w:spacing w:after="0"/>
              <w:rPr>
                <w:sz w:val="20"/>
                <w:szCs w:val="20"/>
                <w:color w:val="auto"/>
              </w:rPr>
            </w:pPr>
            <w:r>
              <w:rPr>
                <w:rFonts w:ascii="Courier New" w:cs="Courier New" w:eastAsia="Courier New" w:hAnsi="Courier New"/>
                <w:sz w:val="14"/>
                <w:szCs w:val="14"/>
                <w:color w:val="auto"/>
              </w:rPr>
              <w:t>Potential Future Redevelopments Stabilizing After 2004 (5)</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82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Bala Cynwyd, PA</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Bethesda Row - Future Phases</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Bethesda, MD</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Queens, NY</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Houston Street</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 Antonio, TX</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Mount Vernon/South Valley</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Alexandria, VA</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Rockville Town Square</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Rockville, MD</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Rutgers Plaza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Franklin, NJ</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Santana Row - Future Phases</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 Jose, CA</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The Village at Shirlington</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Arlington, VA</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497"/>
        </w:trPr>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Projected</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Projected</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Cost to</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Anticipated</w:t>
            </w:r>
          </w:p>
        </w:tc>
      </w:tr>
      <w:tr>
        <w:trPr>
          <w:trHeight w:val="166"/>
        </w:trPr>
        <w:tc>
          <w:tcPr>
            <w:tcW w:w="1820" w:type="dxa"/>
            <w:vAlign w:val="bottom"/>
          </w:tcPr>
          <w:p>
            <w:pPr>
              <w:ind w:left="600"/>
              <w:spacing w:after="0"/>
              <w:rPr>
                <w:sz w:val="20"/>
                <w:szCs w:val="20"/>
                <w:color w:val="auto"/>
              </w:rPr>
            </w:pPr>
            <w:r>
              <w:rPr>
                <w:rFonts w:ascii="Courier New" w:cs="Courier New" w:eastAsia="Courier New" w:hAnsi="Courier New"/>
                <w:sz w:val="14"/>
                <w:szCs w:val="14"/>
                <w:color w:val="auto"/>
              </w:rPr>
              <w:t>Property</w:t>
            </w:r>
          </w:p>
        </w:tc>
        <w:tc>
          <w:tcPr>
            <w:tcW w:w="820" w:type="dxa"/>
            <w:vAlign w:val="bottom"/>
          </w:tcPr>
          <w:p>
            <w:pPr>
              <w:spacing w:after="0"/>
              <w:rPr>
                <w:sz w:val="14"/>
                <w:szCs w:val="14"/>
                <w:color w:val="auto"/>
              </w:rPr>
            </w:pPr>
          </w:p>
        </w:tc>
        <w:tc>
          <w:tcPr>
            <w:tcW w:w="2060" w:type="dxa"/>
            <w:vAlign w:val="bottom"/>
          </w:tcPr>
          <w:p>
            <w:pPr>
              <w:ind w:left="560"/>
              <w:spacing w:after="0"/>
              <w:rPr>
                <w:sz w:val="20"/>
                <w:szCs w:val="20"/>
                <w:color w:val="auto"/>
              </w:rPr>
            </w:pPr>
            <w:r>
              <w:rPr>
                <w:rFonts w:ascii="Courier New" w:cs="Courier New" w:eastAsia="Courier New" w:hAnsi="Courier New"/>
                <w:sz w:val="14"/>
                <w:szCs w:val="14"/>
                <w:color w:val="auto"/>
              </w:rPr>
              <w:t>Location</w:t>
            </w:r>
          </w:p>
        </w:tc>
        <w:tc>
          <w:tcPr>
            <w:tcW w:w="1680" w:type="dxa"/>
            <w:vAlign w:val="bottom"/>
          </w:tcPr>
          <w:p>
            <w:pPr>
              <w:ind w:left="1420"/>
              <w:spacing w:after="0"/>
              <w:rPr>
                <w:sz w:val="20"/>
                <w:szCs w:val="20"/>
                <w:color w:val="auto"/>
              </w:rPr>
            </w:pPr>
            <w:r>
              <w:rPr>
                <w:rFonts w:ascii="Courier New" w:cs="Courier New" w:eastAsia="Courier New" w:hAnsi="Courier New"/>
                <w:sz w:val="14"/>
                <w:szCs w:val="14"/>
                <w:color w:val="auto"/>
                <w:w w:val="95"/>
              </w:rPr>
              <w:t>ROI</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Cost (1)</w:t>
            </w:r>
          </w:p>
        </w:tc>
        <w:tc>
          <w:tcPr>
            <w:tcW w:w="3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Date</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Stabilization (3)</w:t>
            </w:r>
          </w:p>
        </w:tc>
      </w:tr>
      <w:tr>
        <w:trPr>
          <w:trHeight w:val="166"/>
        </w:trPr>
        <w:tc>
          <w:tcPr>
            <w:tcW w:w="18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0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ind w:left="142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gridSpan w:val="3"/>
          </w:tcPr>
          <w:p>
            <w:pPr>
              <w:spacing w:after="0"/>
              <w:rPr>
                <w:sz w:val="20"/>
                <w:szCs w:val="20"/>
                <w:color w:val="auto"/>
              </w:rPr>
            </w:pPr>
            <w:r>
              <w:rPr>
                <w:rFonts w:ascii="Courier New" w:cs="Courier New" w:eastAsia="Courier New" w:hAnsi="Courier New"/>
                <w:sz w:val="14"/>
                <w:szCs w:val="14"/>
                <w:color w:val="auto"/>
              </w:rPr>
              <w:t>Projects Anticipated to Stabilize in 2003 (4)</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82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Rockville, MD</w:t>
            </w:r>
          </w:p>
        </w:tc>
        <w:tc>
          <w:tcPr>
            <w:tcW w:w="168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$ 10.9</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Bethesda, MD</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Cherry Hill, NJ</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Broomall, PA</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Downers Grove, IL</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Glen Burnie, MD</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Dedham, MA</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Gaithersburg, MD</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r>
        <w:trPr>
          <w:trHeight w:val="331"/>
        </w:trPr>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Projects Anticipated to Stabilize in 2003 (4)</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$ 19.0</w:t>
            </w:r>
          </w:p>
        </w:tc>
        <w:tc>
          <w:tcPr>
            <w:tcW w:w="158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r>
        <w:trPr>
          <w:trHeight w:val="331"/>
        </w:trPr>
        <w:tc>
          <w:tcPr>
            <w:tcW w:w="4700" w:type="dxa"/>
            <w:vAlign w:val="bottom"/>
            <w:gridSpan w:val="3"/>
          </w:tcPr>
          <w:p>
            <w:pPr>
              <w:spacing w:after="0"/>
              <w:rPr>
                <w:sz w:val="20"/>
                <w:szCs w:val="20"/>
                <w:color w:val="auto"/>
              </w:rPr>
            </w:pPr>
            <w:r>
              <w:rPr>
                <w:rFonts w:ascii="Courier New" w:cs="Courier New" w:eastAsia="Courier New" w:hAnsi="Courier New"/>
                <w:sz w:val="14"/>
                <w:szCs w:val="14"/>
                <w:color w:val="auto"/>
              </w:rPr>
              <w:t>Projects Anticipated to Stabilize in 2004 (4)</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Santana Row Phase II</w:t>
            </w:r>
          </w:p>
        </w:tc>
        <w:tc>
          <w:tcPr>
            <w:tcW w:w="82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 Jose, CA</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Third Street Promenade</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Santa Monica, CA</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Philadelphia, PA</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Brunswick Shopping Center</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North Brunswick, NJ</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Western Springs, IL</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Bristol, CT</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San Francisco, CA</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Greenlawn, NY</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Bethesda, MD</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Willow Lawn</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Richmond, VA</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Hauppauge Shopping Center</w:t>
            </w: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Hauppauge, NY</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8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4"/>
                <w:szCs w:val="14"/>
                <w:color w:val="auto"/>
              </w:rPr>
              <w:t>Laurel, MD</w:t>
            </w:r>
          </w:p>
        </w:tc>
        <w:tc>
          <w:tcPr>
            <w:tcW w:w="16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r>
        <w:trPr>
          <w:trHeight w:val="331"/>
        </w:trPr>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Projects Anticipated to Stabilize in 2004 (4)</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$ 14.2</w:t>
            </w:r>
          </w:p>
        </w:tc>
        <w:tc>
          <w:tcPr>
            <w:tcW w:w="158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bl>
    <w:p>
      <w:pPr>
        <w:sectPr>
          <w:pgSz w:w="11900" w:h="16838" w:orient="portrait"/>
          <w:cols w:equalWidth="0" w:num="1">
            <w:col w:w="11200"/>
          </w:cols>
          <w:pgMar w:left="220" w:top="616" w:right="479" w:bottom="0" w:gutter="0" w:footer="0" w:header="0"/>
          <w:type w:val="continuous"/>
        </w:sectPr>
      </w:pPr>
    </w:p>
    <w:bookmarkStart w:id="17" w:name="page18"/>
    <w:bookmarkEnd w:id="17"/>
    <w:p>
      <w:pPr>
        <w:spacing w:after="0" w:line="1" w:lineRule="exact"/>
        <w:rPr>
          <w:sz w:val="20"/>
          <w:szCs w:val="20"/>
          <w:color w:val="auto"/>
        </w:rPr>
      </w:pPr>
    </w:p>
    <w:tbl>
      <w:tblPr>
        <w:tblLayout w:type="fixed"/>
        <w:tblInd w:w="512"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Total:  Projects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Anticipated to</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Stabilize in 2003</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and 2004</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$ 33.2</w:t>
            </w:r>
          </w:p>
        </w:tc>
      </w:tr>
      <w:tr>
        <w:trPr>
          <w:trHeight w:val="166"/>
        </w:trPr>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Potential Future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Redevelopments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Stabilizing After</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2004 (5)</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5" w:lineRule="exact"/>
        <w:rPr>
          <w:sz w:val="20"/>
          <w:szCs w:val="20"/>
          <w:color w:val="auto"/>
        </w:rPr>
      </w:pPr>
    </w:p>
    <w:p>
      <w:pPr>
        <w:ind w:left="-8" w:right="3339" w:firstLine="8"/>
        <w:spacing w:after="0" w:line="250" w:lineRule="auto"/>
        <w:tabs>
          <w:tab w:leader="none" w:pos="33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current redevelopment opportunities are being pursued by the Trust. There is no guaranty that the Trust will ultimately complete any or all of these opportunities, that the Projected (ROI) Return on Investment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Courier New" w:cs="Courier New" w:eastAsia="Courier New" w:hAnsi="Courier New"/>
          <w:sz w:val="14"/>
          <w:szCs w:val="14"/>
          <w:color w:val="auto"/>
        </w:rPr>
      </w:pPr>
    </w:p>
    <w:p>
      <w:pPr>
        <w:ind w:left="-8" w:right="3339" w:firstLine="8"/>
        <w:spacing w:after="0" w:line="250" w:lineRule="auto"/>
        <w:tabs>
          <w:tab w:leader="none" w:pos="33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in place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3" w:lineRule="exact"/>
        <w:rPr>
          <w:rFonts w:ascii="Courier New" w:cs="Courier New" w:eastAsia="Courier New" w:hAnsi="Courier New"/>
          <w:sz w:val="14"/>
          <w:szCs w:val="14"/>
          <w:color w:val="auto"/>
        </w:rPr>
      </w:pPr>
    </w:p>
    <w:p>
      <w:pPr>
        <w:ind w:left="-8" w:right="3519" w:firstLine="8"/>
        <w:spacing w:after="0" w:line="250" w:lineRule="auto"/>
        <w:tabs>
          <w:tab w:leader="none" w:pos="33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year in which 95% occupancy of the redeveloped space is anticipated to be achieved.</w:t>
      </w:r>
    </w:p>
    <w:p>
      <w:pPr>
        <w:ind w:left="352" w:hanging="352"/>
        <w:spacing w:after="0"/>
        <w:tabs>
          <w:tab w:leader="none" w:pos="35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subtotals and totals reflect projected cost weighted-average ROIs.</w:t>
      </w:r>
    </w:p>
    <w:p>
      <w:pPr>
        <w:spacing w:after="0" w:line="7" w:lineRule="exact"/>
        <w:rPr>
          <w:rFonts w:ascii="Courier New" w:cs="Courier New" w:eastAsia="Courier New" w:hAnsi="Courier New"/>
          <w:sz w:val="14"/>
          <w:szCs w:val="14"/>
          <w:color w:val="auto"/>
        </w:rPr>
      </w:pPr>
    </w:p>
    <w:p>
      <w:pPr>
        <w:jc w:val="both"/>
        <w:ind w:left="-8" w:right="3599" w:firstLine="8"/>
        <w:spacing w:after="0" w:line="252" w:lineRule="auto"/>
        <w:tabs>
          <w:tab w:leader="none" w:pos="33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0231"/>
          </w:cols>
          <w:pgMar w:left="228" w:top="14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Recent Redevelopments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47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Summary of Redevelopments Stabilized 1999 to 2002</w:t>
            </w:r>
          </w:p>
        </w:tc>
        <w:tc>
          <w:tcPr>
            <w:tcW w:w="280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 millions)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63"/>
        </w:trPr>
        <w:tc>
          <w:tcPr>
            <w:tcW w:w="306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Property</w:t>
            </w:r>
          </w:p>
        </w:tc>
        <w:tc>
          <w:tcPr>
            <w:tcW w:w="2500" w:type="dxa"/>
            <w:vAlign w:val="bottom"/>
            <w:gridSpan w:val="2"/>
          </w:tcPr>
          <w:p>
            <w:pPr>
              <w:ind w:left="1160"/>
              <w:spacing w:after="0"/>
              <w:rPr>
                <w:sz w:val="20"/>
                <w:szCs w:val="20"/>
                <w:color w:val="auto"/>
              </w:rPr>
            </w:pPr>
            <w:r>
              <w:rPr>
                <w:rFonts w:ascii="Courier New" w:cs="Courier New" w:eastAsia="Courier New" w:hAnsi="Courier New"/>
                <w:sz w:val="14"/>
                <w:szCs w:val="14"/>
                <w:color w:val="auto"/>
              </w:rPr>
              <w:t>Location</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Opportunity</w:t>
            </w:r>
          </w:p>
        </w:tc>
      </w:tr>
      <w:tr>
        <w:trPr>
          <w:trHeight w:val="166"/>
        </w:trPr>
        <w:tc>
          <w:tcPr>
            <w:tcW w:w="306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Street Promenade</w:t>
            </w: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Santa Monica, CA</w:t>
            </w:r>
          </w:p>
        </w:tc>
        <w:tc>
          <w:tcPr>
            <w:tcW w:w="42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Redevelopment and re-tenanting (includes Banana</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Republic, J. Crew</w:t>
            </w: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and Rockport)</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Brick Plaza</w:t>
            </w:r>
          </w:p>
        </w:tc>
        <w:tc>
          <w:tcPr>
            <w:tcW w:w="900" w:type="dxa"/>
            <w:vAlign w:val="bottom"/>
          </w:tcPr>
          <w:p>
            <w:pPr>
              <w:spacing w:after="0"/>
              <w:rPr>
                <w:sz w:val="14"/>
                <w:szCs w:val="14"/>
                <w:color w:val="auto"/>
              </w:rPr>
            </w:pPr>
          </w:p>
        </w:tc>
        <w:tc>
          <w:tcPr>
            <w:tcW w:w="1640" w:type="dxa"/>
            <w:vAlign w:val="bottom"/>
          </w:tcPr>
          <w:p>
            <w:pPr>
              <w:ind w:left="740"/>
              <w:spacing w:after="0"/>
              <w:rPr>
                <w:sz w:val="20"/>
                <w:szCs w:val="20"/>
                <w:color w:val="auto"/>
              </w:rPr>
            </w:pPr>
            <w:r>
              <w:rPr>
                <w:rFonts w:ascii="Courier New" w:cs="Courier New" w:eastAsia="Courier New" w:hAnsi="Courier New"/>
                <w:sz w:val="14"/>
                <w:szCs w:val="14"/>
                <w:color w:val="auto"/>
              </w:rPr>
              <w:t>Brick, NJ</w:t>
            </w:r>
          </w:p>
        </w:tc>
        <w:tc>
          <w:tcPr>
            <w:tcW w:w="860" w:type="dxa"/>
            <w:vAlign w:val="bottom"/>
          </w:tcPr>
          <w:p>
            <w:pPr>
              <w:spacing w:after="0"/>
              <w:rPr>
                <w:sz w:val="14"/>
                <w:szCs w:val="14"/>
                <w:color w:val="auto"/>
              </w:rPr>
            </w:pP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Grocery expansion, new pad sites, re-tenanting and common area</w:t>
            </w: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improvements</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Gratiot Plaza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Roseville, MI</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New pad sites, re-tenanting and common area improvements</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Troy Hills</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Parsippany, NJ</w:t>
            </w:r>
          </w:p>
        </w:tc>
        <w:tc>
          <w:tcPr>
            <w:tcW w:w="42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Grocery expansion, re-tenanting and common area</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Falls Plaza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Falls Church, VA</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Grocery expansion, common area improvements, new in-line space and</w:t>
            </w: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pad site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Langhorne Square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Levittown, PA</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New grocer in expanded leaseable area and new pad sites</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Fifth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 Diego, CA</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Redevelopment and re-tenanting (Urban Outfitters)</w:t>
            </w:r>
          </w:p>
        </w:tc>
      </w:tr>
      <w:tr>
        <w:trPr>
          <w:trHeight w:val="331"/>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Blue Star</w:t>
            </w:r>
          </w:p>
        </w:tc>
        <w:tc>
          <w:tcPr>
            <w:tcW w:w="900" w:type="dxa"/>
            <w:vAlign w:val="bottom"/>
          </w:tcPr>
          <w:p>
            <w:pPr>
              <w:spacing w:after="0"/>
              <w:rPr>
                <w:sz w:val="24"/>
                <w:szCs w:val="2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Watchung, NJ</w:t>
            </w:r>
          </w:p>
        </w:tc>
        <w:tc>
          <w:tcPr>
            <w:tcW w:w="2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pad sites and common area</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improvements</w:t>
            </w:r>
          </w:p>
        </w:tc>
        <w:tc>
          <w:tcPr>
            <w:tcW w:w="1600" w:type="dxa"/>
            <w:vAlign w:val="bottom"/>
          </w:tcPr>
          <w:p>
            <w:pPr>
              <w:spacing w:after="0"/>
              <w:rPr>
                <w:sz w:val="24"/>
                <w:szCs w:val="2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Fifth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 Diego, CA</w:t>
            </w:r>
          </w:p>
        </w:tc>
        <w:tc>
          <w:tcPr>
            <w:tcW w:w="33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Redevelopment and re-tenanting</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Wynnewood</w:t>
            </w:r>
          </w:p>
        </w:tc>
        <w:tc>
          <w:tcPr>
            <w:tcW w:w="900" w:type="dxa"/>
            <w:vAlign w:val="bottom"/>
          </w:tcPr>
          <w:p>
            <w:pPr>
              <w:spacing w:after="0"/>
              <w:rPr>
                <w:sz w:val="24"/>
                <w:szCs w:val="2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Wynnewood, PA</w:t>
            </w:r>
          </w:p>
        </w:tc>
        <w:tc>
          <w:tcPr>
            <w:tcW w:w="42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Grocery expansion, re-tenanting and common area</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Old Town Pasadena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Pasadena, CA</w:t>
            </w:r>
          </w:p>
        </w:tc>
        <w:tc>
          <w:tcPr>
            <w:tcW w:w="42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Redevelopment and re-tenanting of two buildings</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Brunswick</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North Brunswick, NJ</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Grocery expansion, re-tenanting, new pad site and renovation</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Federal Plaza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Rockville, MD</w:t>
            </w:r>
          </w:p>
        </w:tc>
        <w:tc>
          <w:tcPr>
            <w:tcW w:w="1940" w:type="dxa"/>
            <w:vAlign w:val="bottom"/>
          </w:tcPr>
          <w:p>
            <w:pPr>
              <w:ind w:left="140"/>
              <w:spacing w:after="0"/>
              <w:rPr>
                <w:sz w:val="20"/>
                <w:szCs w:val="20"/>
                <w:color w:val="auto"/>
              </w:rPr>
            </w:pPr>
            <w:r>
              <w:rPr>
                <w:rFonts w:ascii="Courier New" w:cs="Courier New" w:eastAsia="Courier New" w:hAnsi="Courier New"/>
                <w:sz w:val="14"/>
                <w:szCs w:val="14"/>
                <w:color w:val="auto"/>
              </w:rPr>
              <w:t>New pad site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3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Street Promenade</w:t>
            </w: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Santa Monica, CA</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Redevelopment and re-tenanting (Old Navy and others)</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Fifth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 Diego, CA</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Redevelopment and re-tenanting of retail and residential buildings</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Hermosa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Hermosa Beach, CA</w:t>
            </w: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Redevelopment and re-tenanting of retail and office</w:t>
            </w:r>
          </w:p>
        </w:tc>
      </w:tr>
      <w:tr>
        <w:trPr>
          <w:trHeight w:val="497"/>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Completed</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306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Property</w:t>
            </w:r>
          </w:p>
        </w:tc>
        <w:tc>
          <w:tcPr>
            <w:tcW w:w="2500" w:type="dxa"/>
            <w:vAlign w:val="bottom"/>
            <w:gridSpan w:val="2"/>
          </w:tcPr>
          <w:p>
            <w:pPr>
              <w:ind w:left="1160"/>
              <w:spacing w:after="0"/>
              <w:rPr>
                <w:sz w:val="20"/>
                <w:szCs w:val="20"/>
                <w:color w:val="auto"/>
              </w:rPr>
            </w:pPr>
            <w:r>
              <w:rPr>
                <w:rFonts w:ascii="Courier New" w:cs="Courier New" w:eastAsia="Courier New" w:hAnsi="Courier New"/>
                <w:sz w:val="14"/>
                <w:szCs w:val="14"/>
                <w:color w:val="auto"/>
              </w:rPr>
              <w:t>Location</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ROI (1)</w:t>
            </w:r>
          </w:p>
        </w:tc>
        <w:tc>
          <w:tcPr>
            <w:tcW w:w="70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Cost</w:t>
            </w:r>
          </w:p>
        </w:tc>
        <w:tc>
          <w:tcPr>
            <w:tcW w:w="2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Stabilized (2)</w:t>
            </w:r>
          </w:p>
        </w:tc>
      </w:tr>
      <w:tr>
        <w:trPr>
          <w:trHeight w:val="166"/>
        </w:trPr>
        <w:tc>
          <w:tcPr>
            <w:tcW w:w="306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w:t>
            </w:r>
          </w:p>
        </w:tc>
        <w:tc>
          <w:tcPr>
            <w:tcW w:w="2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Street Promenade</w:t>
            </w: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Santa Monica, CA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spacing w:after="0"/>
              <w:rPr>
                <w:sz w:val="24"/>
                <w:szCs w:val="2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Brick Plaza</w:t>
            </w:r>
          </w:p>
        </w:tc>
        <w:tc>
          <w:tcPr>
            <w:tcW w:w="900" w:type="dxa"/>
            <w:vAlign w:val="bottom"/>
          </w:tcPr>
          <w:p>
            <w:pPr>
              <w:spacing w:after="0"/>
              <w:rPr>
                <w:sz w:val="14"/>
                <w:szCs w:val="14"/>
                <w:color w:val="auto"/>
              </w:rPr>
            </w:pPr>
          </w:p>
        </w:tc>
        <w:tc>
          <w:tcPr>
            <w:tcW w:w="1640" w:type="dxa"/>
            <w:vAlign w:val="bottom"/>
          </w:tcPr>
          <w:p>
            <w:pPr>
              <w:ind w:left="740"/>
              <w:spacing w:after="0"/>
              <w:rPr>
                <w:sz w:val="20"/>
                <w:szCs w:val="20"/>
                <w:color w:val="auto"/>
              </w:rPr>
            </w:pPr>
            <w:r>
              <w:rPr>
                <w:rFonts w:ascii="Courier New" w:cs="Courier New" w:eastAsia="Courier New" w:hAnsi="Courier New"/>
                <w:sz w:val="14"/>
                <w:szCs w:val="14"/>
                <w:color w:val="auto"/>
              </w:rPr>
              <w:t>Brick, NJ</w:t>
            </w: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Gratiot Plaza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Roseville, MI</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Troy Hills</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Parsippany, NJ</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Falls Plaza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Falls Church, VA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Langhorne Square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Levittown, PA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Fifth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 Diego, CA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Subtotal:</w:t>
            </w:r>
          </w:p>
        </w:tc>
        <w:tc>
          <w:tcPr>
            <w:tcW w:w="2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1999</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Blue Star</w:t>
            </w:r>
          </w:p>
        </w:tc>
        <w:tc>
          <w:tcPr>
            <w:tcW w:w="900" w:type="dxa"/>
            <w:vAlign w:val="bottom"/>
          </w:tcPr>
          <w:p>
            <w:pPr>
              <w:spacing w:after="0"/>
              <w:rPr>
                <w:sz w:val="24"/>
                <w:szCs w:val="2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Watchung, NJ</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spacing w:after="0"/>
              <w:rPr>
                <w:sz w:val="24"/>
                <w:szCs w:val="2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Fifth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 Diego, CA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Subtotal:</w:t>
            </w:r>
          </w:p>
        </w:tc>
        <w:tc>
          <w:tcPr>
            <w:tcW w:w="2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2000</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spacing w:after="0"/>
              <w:rPr>
                <w:sz w:val="24"/>
                <w:szCs w:val="2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$ 9.4</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Wynnewood</w:t>
            </w:r>
          </w:p>
        </w:tc>
        <w:tc>
          <w:tcPr>
            <w:tcW w:w="900" w:type="dxa"/>
            <w:vAlign w:val="bottom"/>
          </w:tcPr>
          <w:p>
            <w:pPr>
              <w:spacing w:after="0"/>
              <w:rPr>
                <w:sz w:val="24"/>
                <w:szCs w:val="2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Wynnewood, PA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spacing w:after="0"/>
              <w:rPr>
                <w:sz w:val="24"/>
                <w:szCs w:val="2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Old Town Pasadena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Pasadena, CA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Brunswick</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North Brunswick, NJ</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Federal Plaza</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Rockville, MD</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Subtotal:</w:t>
            </w:r>
          </w:p>
        </w:tc>
        <w:tc>
          <w:tcPr>
            <w:tcW w:w="2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2001</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3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Street Promenade</w:t>
            </w: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Santa Monica, CA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spacing w:after="0"/>
              <w:rPr>
                <w:sz w:val="24"/>
                <w:szCs w:val="2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Fifth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San Diego, CA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Hermosa Avenue</w:t>
            </w:r>
          </w:p>
        </w:tc>
        <w:tc>
          <w:tcPr>
            <w:tcW w:w="900" w:type="dxa"/>
            <w:vAlign w:val="bottom"/>
          </w:tcPr>
          <w:p>
            <w:pPr>
              <w:spacing w:after="0"/>
              <w:rPr>
                <w:sz w:val="14"/>
                <w:szCs w:val="14"/>
                <w:color w:val="auto"/>
              </w:rPr>
            </w:pPr>
          </w:p>
        </w:tc>
        <w:tc>
          <w:tcPr>
            <w:tcW w:w="25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Hermosa Beach, CA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Subtotal:</w:t>
            </w:r>
          </w:p>
        </w:tc>
        <w:tc>
          <w:tcPr>
            <w:tcW w:w="2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2002</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5560" w:type="dxa"/>
            <w:vAlign w:val="bottom"/>
            <w:gridSpan w:val="4"/>
          </w:tcPr>
          <w:p>
            <w:pPr>
              <w:ind w:left="1300"/>
              <w:spacing w:after="0"/>
              <w:rPr>
                <w:sz w:val="20"/>
                <w:szCs w:val="20"/>
                <w:color w:val="auto"/>
              </w:rPr>
            </w:pPr>
            <w:r>
              <w:rPr>
                <w:rFonts w:ascii="Courier New" w:cs="Courier New" w:eastAsia="Courier New" w:hAnsi="Courier New"/>
                <w:sz w:val="14"/>
                <w:szCs w:val="14"/>
                <w:color w:val="auto"/>
              </w:rPr>
              <w:t>Total Projects Stabilized 1999 through 2002  (3)</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$142.4</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335" w:lineRule="exact"/>
        <w:rPr>
          <w:sz w:val="20"/>
          <w:szCs w:val="20"/>
          <w:color w:val="auto"/>
        </w:rPr>
      </w:pPr>
    </w:p>
    <w:p>
      <w:pPr>
        <w:ind w:right="4480" w:firstLine="8"/>
        <w:spacing w:after="0" w:line="250" w:lineRule="auto"/>
        <w:tabs>
          <w:tab w:leader="none" w:pos="34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(ROI) Return on Investment reflects only the deal specific cash, unleveraged Incremental Property Operating Income (POI) generated by the redevelopment and is calculated as Incremental POI divided by cost. Incremental POI is the POI generated by the redevelopment after deducting rent previously in place for the redevelopment space or space taken out of service as a result of the redevelopment. ROI does NOT include peripheral impacts, such as the impact on future lease rollovers at the property or the impact on the long-term value of the property.</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year in which 95% occupancy of the redeveloped space has been achieved.</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subtotals and totals reflect cost weighted-average ROIs.</w:t>
      </w:r>
    </w:p>
    <w:p>
      <w:pPr>
        <w:sectPr>
          <w:pgSz w:w="11900" w:h="16838" w:orient="portrait"/>
          <w:cols w:equalWidth="0" w:num="1">
            <w:col w:w="11380"/>
          </w:cols>
          <w:pgMar w:left="220" w:top="616" w:right="299" w:bottom="591" w:gutter="0" w:footer="0" w:header="0"/>
        </w:sectPr>
      </w:pPr>
    </w:p>
    <w:bookmarkStart w:id="19" w:name="page20"/>
    <w:bookmarkEnd w:id="19"/>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Property Description:</w:t>
            </w:r>
          </w:p>
        </w:tc>
        <w:tc>
          <w:tcPr>
            <w:tcW w:w="52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A multi-phased, mixed-use development built on</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42 acres in San Jose, California, in the heart</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of the Silicon Valley. Phase I of the property</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consists of a 1,500</w:t>
            </w:r>
          </w:p>
        </w:tc>
        <w:tc>
          <w:tcPr>
            <w:tcW w:w="2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foot long "main street"</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and eight buildings</w:t>
            </w:r>
          </w:p>
        </w:tc>
        <w:tc>
          <w:tcPr>
            <w:tcW w:w="2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comprising approximately</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444,000 square feet</w:t>
            </w:r>
          </w:p>
        </w:tc>
        <w:tc>
          <w:tcPr>
            <w:tcW w:w="33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retail, 255 residential</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units, and a 213-room boutique hotel. Phase II</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consists of two pad</w:t>
            </w:r>
          </w:p>
        </w:tc>
        <w:tc>
          <w:tcPr>
            <w:tcW w:w="2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sites comprising</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4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approximately 84,000 square feet of retail</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space and 275 additional parking spaces. Phase</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4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II is 95% pre-leased to Best Buy and The</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Container Store.</w:t>
            </w: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Retail Summary (1)</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63"/>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4"/>
                <w:szCs w:val="14"/>
                <w:color w:val="auto"/>
              </w:rPr>
              <w:t>Total</w:t>
            </w:r>
          </w:p>
        </w:tc>
        <w:tc>
          <w:tcPr>
            <w:tcW w:w="2620" w:type="dxa"/>
            <w:vAlign w:val="bottom"/>
            <w:gridSpan w:val="3"/>
          </w:tcPr>
          <w:p>
            <w:pPr>
              <w:spacing w:after="0"/>
              <w:rPr>
                <w:sz w:val="20"/>
                <w:szCs w:val="20"/>
                <w:color w:val="auto"/>
              </w:rPr>
            </w:pPr>
            <w:r>
              <w:rPr>
                <w:rFonts w:ascii="Courier New" w:cs="Courier New" w:eastAsia="Courier New" w:hAnsi="Courier New"/>
                <w:sz w:val="14"/>
                <w:szCs w:val="14"/>
                <w:color w:val="auto"/>
              </w:rPr>
              <w:t>Retail Square Footage</w:t>
            </w:r>
          </w:p>
        </w:tc>
        <w:tc>
          <w:tcPr>
            <w:tcW w:w="1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Occupied</w:t>
            </w:r>
          </w:p>
        </w:tc>
        <w:tc>
          <w:tcPr>
            <w:tcW w:w="15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2"/>
          </w:tcPr>
          <w:p>
            <w:pPr>
              <w:ind w:left="900"/>
              <w:spacing w:after="0"/>
              <w:rPr>
                <w:sz w:val="20"/>
                <w:szCs w:val="20"/>
                <w:color w:val="auto"/>
              </w:rPr>
            </w:pPr>
            <w:r>
              <w:rPr>
                <w:rFonts w:ascii="Courier New" w:cs="Courier New" w:eastAsia="Courier New" w:hAnsi="Courier New"/>
                <w:sz w:val="8"/>
                <w:szCs w:val="8"/>
                <w:color w:val="auto"/>
                <w:w w:val="72"/>
              </w:rPr>
              <w:t>---------------------------</w:t>
            </w: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Building/Description</w:t>
            </w:r>
          </w:p>
        </w:tc>
        <w:tc>
          <w:tcPr>
            <w:tcW w:w="14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Stores</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Square Feet</w:t>
            </w:r>
          </w:p>
        </w:tc>
        <w:tc>
          <w:tcPr>
            <w:tcW w:w="15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 Leased</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Stores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(Crate &amp; Barrel)</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39,489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28,818</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73.0%</w:t>
            </w:r>
          </w:p>
        </w:tc>
      </w:tr>
      <w:tr>
        <w:trPr>
          <w:trHeight w:val="166"/>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33,612</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29,787</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w:t>
            </w:r>
          </w:p>
        </w:tc>
      </w:tr>
      <w:tr>
        <w:trPr>
          <w:trHeight w:val="166"/>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5</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(Hotel and lifestyle)</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56,579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21,865</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49,415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42,444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85.9%</w:t>
            </w:r>
          </w:p>
        </w:tc>
      </w:tr>
      <w:tr>
        <w:trPr>
          <w:trHeight w:val="166"/>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7</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35</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87,386</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89.8%</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24,843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w:t>
            </w:r>
          </w:p>
        </w:tc>
      </w:tr>
      <w:tr>
        <w:trPr>
          <w:trHeight w:val="166"/>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8</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39,174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98.0%</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13 (Restaurants &amp; lifestyle)</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95,669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25,244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Kiosks and Carts</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69.2%</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Total Phase I Retail</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443,694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74.8%</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253,261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57.1%</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Phase II Retail</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84,171</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95.5%</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Total Santana Row Retail</w:t>
            </w: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119</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527,865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253,261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9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3"/>
          </w:tcPr>
          <w:p>
            <w:pPr>
              <w:jc w:val="center"/>
              <w:ind w:right="268"/>
              <w:spacing w:after="0"/>
              <w:rPr>
                <w:sz w:val="20"/>
                <w:szCs w:val="20"/>
                <w:color w:val="auto"/>
              </w:rPr>
            </w:pPr>
            <w:r>
              <w:rPr>
                <w:rFonts w:ascii="Courier New" w:cs="Courier New" w:eastAsia="Courier New" w:hAnsi="Courier New"/>
                <w:sz w:val="14"/>
                <w:szCs w:val="14"/>
                <w:color w:val="auto"/>
              </w:rPr>
              <w:t>Leased (Unoccupied)</w:t>
            </w:r>
          </w:p>
        </w:tc>
        <w:tc>
          <w:tcPr>
            <w:tcW w:w="340" w:type="dxa"/>
            <w:vAlign w:val="bottom"/>
          </w:tcPr>
          <w:p>
            <w:pPr>
              <w:spacing w:after="0"/>
              <w:rPr>
                <w:sz w:val="14"/>
                <w:szCs w:val="14"/>
                <w:color w:val="auto"/>
              </w:rPr>
            </w:pPr>
          </w:p>
        </w:tc>
        <w:tc>
          <w:tcPr>
            <w:tcW w:w="3700" w:type="dxa"/>
            <w:vAlign w:val="bottom"/>
            <w:gridSpan w:val="3"/>
          </w:tcPr>
          <w:p>
            <w:pPr>
              <w:jc w:val="right"/>
              <w:ind w:right="1208"/>
              <w:spacing w:after="0"/>
              <w:rPr>
                <w:sz w:val="20"/>
                <w:szCs w:val="20"/>
                <w:color w:val="auto"/>
              </w:rPr>
            </w:pPr>
            <w:r>
              <w:rPr>
                <w:rFonts w:ascii="Courier New" w:cs="Courier New" w:eastAsia="Courier New" w:hAnsi="Courier New"/>
                <w:sz w:val="14"/>
                <w:szCs w:val="14"/>
                <w:color w:val="auto"/>
              </w:rPr>
              <w:t>Available to Lease</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gridSpan w:val="3"/>
          </w:tcPr>
          <w:p>
            <w:pPr>
              <w:jc w:val="right"/>
              <w:ind w:right="120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Building/Description</w:t>
            </w:r>
          </w:p>
        </w:tc>
        <w:tc>
          <w:tcPr>
            <w:tcW w:w="38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Square Feet</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 of Total</w:t>
            </w:r>
          </w:p>
        </w:tc>
        <w:tc>
          <w:tcPr>
            <w:tcW w:w="3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Stores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Square Feet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(Crate &amp; Barrel)</w:t>
            </w:r>
          </w:p>
        </w:tc>
        <w:tc>
          <w:tcPr>
            <w:tcW w:w="38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0.0%</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7,335</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0.0%</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(Hotel and lifestyle)</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17,514</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31.0%</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6,971</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53,592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8,951</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13 (Restaurants &amp; lifestyle)</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70,425</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73.6%</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Kiosks and Carts</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30.8%</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Total Phase I Retail</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78,753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111,680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Phase II Retail</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80,371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95.5%</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3,800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Total Santana Row Retail</w:t>
            </w:r>
          </w:p>
        </w:tc>
        <w:tc>
          <w:tcPr>
            <w:tcW w:w="3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159,124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115,480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9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Residential Summary (1)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63"/>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3"/>
          </w:tcPr>
          <w:p>
            <w:pPr>
              <w:jc w:val="center"/>
              <w:ind w:right="248"/>
              <w:spacing w:after="0"/>
              <w:rPr>
                <w:sz w:val="20"/>
                <w:szCs w:val="20"/>
                <w:color w:val="auto"/>
              </w:rPr>
            </w:pPr>
            <w:r>
              <w:rPr>
                <w:rFonts w:ascii="Courier New" w:cs="Courier New" w:eastAsia="Courier New" w:hAnsi="Courier New"/>
                <w:sz w:val="14"/>
                <w:szCs w:val="14"/>
                <w:color w:val="auto"/>
              </w:rPr>
              <w:t>Total Residential Units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Occupied</w:t>
            </w:r>
          </w:p>
        </w:tc>
        <w:tc>
          <w:tcPr>
            <w:tcW w:w="150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Building</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Rent (2)</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Units</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 Leased</w:t>
            </w:r>
          </w:p>
        </w:tc>
        <w:tc>
          <w:tcPr>
            <w:tcW w:w="3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Rent (3)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Units</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3 (Lofts)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74.5%</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4 (Lofts)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85.0%</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6 (Villas)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8 (Townhouses)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Total Phase I Residential</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9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3"/>
          </w:tcPr>
          <w:p>
            <w:pPr>
              <w:jc w:val="center"/>
              <w:ind w:right="428"/>
              <w:spacing w:after="0"/>
              <w:rPr>
                <w:sz w:val="20"/>
                <w:szCs w:val="20"/>
                <w:color w:val="auto"/>
              </w:rPr>
            </w:pPr>
            <w:r>
              <w:rPr>
                <w:rFonts w:ascii="Courier New" w:cs="Courier New" w:eastAsia="Courier New" w:hAnsi="Courier New"/>
                <w:sz w:val="14"/>
                <w:szCs w:val="14"/>
                <w:color w:val="auto"/>
              </w:rPr>
              <w:t>Leased (Unoccupied)</w:t>
            </w:r>
          </w:p>
        </w:tc>
        <w:tc>
          <w:tcPr>
            <w:tcW w:w="340" w:type="dxa"/>
            <w:vAlign w:val="bottom"/>
          </w:tcPr>
          <w:p>
            <w:pPr>
              <w:spacing w:after="0"/>
              <w:rPr>
                <w:sz w:val="14"/>
                <w:szCs w:val="14"/>
                <w:color w:val="auto"/>
              </w:rPr>
            </w:pPr>
          </w:p>
        </w:tc>
        <w:tc>
          <w:tcPr>
            <w:tcW w:w="3700" w:type="dxa"/>
            <w:vAlign w:val="bottom"/>
            <w:gridSpan w:val="3"/>
          </w:tcPr>
          <w:p>
            <w:pPr>
              <w:jc w:val="right"/>
              <w:ind w:right="1208"/>
              <w:spacing w:after="0"/>
              <w:rPr>
                <w:sz w:val="20"/>
                <w:szCs w:val="20"/>
                <w:color w:val="auto"/>
              </w:rPr>
            </w:pPr>
            <w:r>
              <w:rPr>
                <w:rFonts w:ascii="Courier New" w:cs="Courier New" w:eastAsia="Courier New" w:hAnsi="Courier New"/>
                <w:sz w:val="14"/>
                <w:szCs w:val="14"/>
                <w:color w:val="auto"/>
              </w:rPr>
              <w:t>Available to Lease</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gridSpan w:val="3"/>
          </w:tcPr>
          <w:p>
            <w:pPr>
              <w:jc w:val="right"/>
              <w:ind w:right="12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Building</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Rent (3)</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Units</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 of Total</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Rent (4)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Units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3 (Lofts)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36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4 (Lofts)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w:t>
            </w:r>
          </w:p>
        </w:tc>
      </w:tr>
    </w:tbl>
    <w:p>
      <w:pPr>
        <w:sectPr>
          <w:pgSz w:w="11900" w:h="16880" w:orient="portrait"/>
          <w:cols w:equalWidth="0" w:num="1">
            <w:col w:w="10680"/>
          </w:cols>
          <w:pgMar w:left="220" w:top="616" w:right="9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(Villas)</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81.0%</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(Townhouses)</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r>
      <w:tr>
        <w:trPr>
          <w:trHeight w:val="166"/>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gridSpan w:val="3"/>
          </w:tcPr>
          <w:p>
            <w:pPr>
              <w:spacing w:after="0"/>
              <w:rPr>
                <w:sz w:val="20"/>
                <w:szCs w:val="20"/>
                <w:color w:val="auto"/>
              </w:rPr>
            </w:pPr>
            <w:r>
              <w:rPr>
                <w:rFonts w:ascii="Courier New" w:cs="Courier New" w:eastAsia="Courier New" w:hAnsi="Courier New"/>
                <w:sz w:val="14"/>
                <w:szCs w:val="14"/>
                <w:color w:val="auto"/>
              </w:rPr>
              <w:t>Total Phase I Residential</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166"/>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Hotel Summary</w:t>
      </w:r>
    </w:p>
    <w:p>
      <w:pPr>
        <w:spacing w:after="0" w:line="173" w:lineRule="exact"/>
        <w:rPr>
          <w:sz w:val="20"/>
          <w:szCs w:val="20"/>
          <w:color w:val="auto"/>
        </w:rPr>
      </w:pPr>
    </w:p>
    <w:p>
      <w:pPr>
        <w:ind w:right="3860" w:firstLine="344"/>
        <w:spacing w:after="0" w:line="255" w:lineRule="auto"/>
        <w:rPr>
          <w:sz w:val="20"/>
          <w:szCs w:val="20"/>
          <w:color w:val="auto"/>
        </w:rPr>
      </w:pPr>
      <w:r>
        <w:rPr>
          <w:rFonts w:ascii="Courier New" w:cs="Courier New" w:eastAsia="Courier New" w:hAnsi="Courier New"/>
          <w:sz w:val="14"/>
          <w:szCs w:val="14"/>
          <w:color w:val="auto"/>
        </w:rPr>
        <w:t>A 213 room boutique hotel owned and operated by the Valencia Group. Opening is currently scheduled for second quarter 2003.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Summary (as of March 31, 2003):</w:t>
      </w:r>
    </w:p>
    <w:p>
      <w:pPr>
        <w:sectPr>
          <w:pgSz w:w="11900" w:h="16838" w:orient="portrait"/>
          <w:cols w:equalWidth="0" w:num="1">
            <w:col w:w="10680"/>
          </w:cols>
          <w:pgMar w:left="220" w:top="14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 amounts $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Cost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Anticipated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Stabilized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Yield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Stabilized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2300" w:space="720"/>
            <w:col w:w="780" w:space="520"/>
            <w:col w:w="680" w:space="440"/>
            <w:col w:w="940" w:space="440"/>
            <w:col w:w="3860"/>
          </w:cols>
          <w:pgMar w:left="220" w:top="141" w:right="999" w:bottom="1440" w:gutter="0" w:footer="0" w:header="0"/>
          <w:type w:val="continuous"/>
        </w:sectPr>
      </w:pPr>
    </w:p>
    <w:p>
      <w:pPr>
        <w:ind w:left="440" w:right="60" w:hanging="257"/>
        <w:spacing w:after="0" w:line="255" w:lineRule="auto"/>
        <w:rPr>
          <w:sz w:val="20"/>
          <w:szCs w:val="20"/>
          <w:color w:val="auto"/>
        </w:rPr>
      </w:pPr>
      <w:r>
        <w:rPr>
          <w:rFonts w:ascii="Courier New" w:cs="Courier New" w:eastAsia="Courier New" w:hAnsi="Courier New"/>
          <w:sz w:val="14"/>
          <w:szCs w:val="14"/>
          <w:color w:val="auto"/>
        </w:rPr>
        <w:t>(5)Santana Row Phase I Santana Row Phase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both"/>
        <w:spacing w:after="0"/>
        <w:tabs>
          <w:tab w:leader="none" w:pos="400" w:val="left"/>
        </w:tabs>
        <w:rPr>
          <w:sz w:val="20"/>
          <w:szCs w:val="20"/>
          <w:color w:val="auto"/>
        </w:rPr>
      </w:pPr>
      <w:r>
        <w:rPr>
          <w:rFonts w:ascii="Courier New" w:cs="Courier New" w:eastAsia="Courier New" w:hAnsi="Courier New"/>
          <w:sz w:val="14"/>
          <w:szCs w:val="14"/>
          <w:color w:val="auto"/>
        </w:rPr>
        <w:t>445</w:t>
        <w:tab/>
        <w:t>$</w:t>
      </w:r>
    </w:p>
    <w:p>
      <w:pPr>
        <w:spacing w:after="0" w:line="7" w:lineRule="exact"/>
        <w:rPr>
          <w:sz w:val="20"/>
          <w:szCs w:val="20"/>
          <w:color w:val="auto"/>
        </w:rPr>
      </w:pPr>
    </w:p>
    <w:p>
      <w:pPr>
        <w:jc w:val="both"/>
        <w:ind w:left="80"/>
        <w:spacing w:after="0"/>
        <w:tabs>
          <w:tab w:leader="none" w:pos="400" w:val="left"/>
        </w:tabs>
        <w:rPr>
          <w:sz w:val="20"/>
          <w:szCs w:val="20"/>
          <w:color w:val="auto"/>
        </w:rPr>
      </w:pPr>
      <w:r>
        <w:rPr>
          <w:rFonts w:ascii="Courier New" w:cs="Courier New" w:eastAsia="Courier New" w:hAnsi="Courier New"/>
          <w:sz w:val="14"/>
          <w:szCs w:val="14"/>
          <w:color w:val="auto"/>
        </w:rPr>
        <w:t>27</w:t>
        <w:tab/>
        <w:t>$</w:t>
      </w:r>
    </w:p>
    <w:p>
      <w:pPr>
        <w:spacing w:after="0" w:line="20" w:lineRule="exact"/>
        <w:rPr>
          <w:sz w:val="20"/>
          <w:szCs w:val="20"/>
          <w:color w:val="auto"/>
        </w:rPr>
      </w:pPr>
      <w:r>
        <w:rPr>
          <w:sz w:val="20"/>
          <w:szCs w:val="20"/>
          <w:color w:val="auto"/>
        </w:rPr>
        <w:br w:type="column"/>
      </w:r>
    </w:p>
    <w:p>
      <w:pPr>
        <w:jc w:val="right"/>
        <w:ind w:right="320"/>
        <w:spacing w:after="0"/>
        <w:rPr>
          <w:sz w:val="20"/>
          <w:szCs w:val="20"/>
          <w:color w:val="auto"/>
        </w:rPr>
      </w:pPr>
      <w:r>
        <w:rPr>
          <w:rFonts w:ascii="Courier New" w:cs="Courier New" w:eastAsia="Courier New" w:hAnsi="Courier New"/>
          <w:sz w:val="14"/>
          <w:szCs w:val="14"/>
          <w:color w:val="auto"/>
        </w:rPr>
        <w:t>418</w:t>
      </w:r>
    </w:p>
    <w:p>
      <w:pPr>
        <w:spacing w:after="0" w:line="7"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3"/>
          <w:szCs w:val="13"/>
          <w:color w:val="auto"/>
        </w:rPr>
        <w:t>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w:t>
      </w:r>
    </w:p>
    <w:p>
      <w:pPr>
        <w:spacing w:after="0" w:line="212" w:lineRule="exact"/>
        <w:rPr>
          <w:sz w:val="20"/>
          <w:szCs w:val="20"/>
          <w:color w:val="auto"/>
        </w:rPr>
      </w:pPr>
    </w:p>
    <w:p>
      <w:pPr>
        <w:sectPr>
          <w:pgSz w:w="11900" w:h="16838" w:orient="portrait"/>
          <w:cols w:equalWidth="0" w:num="6">
            <w:col w:w="2220" w:space="720"/>
            <w:col w:w="80" w:space="700"/>
            <w:col w:w="500" w:space="700"/>
            <w:col w:w="580" w:space="720"/>
            <w:col w:w="640" w:space="720"/>
            <w:col w:w="3100"/>
          </w:cols>
          <w:pgMar w:left="220" w:top="141" w:right="99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Retail and residential leasing summaries are as of May 5, 2003.</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Budgeted rents to meet Phase I stabilized yield target.</w:t>
      </w:r>
    </w:p>
    <w:p>
      <w:pPr>
        <w:spacing w:after="0" w:line="7" w:lineRule="exact"/>
        <w:rPr>
          <w:rFonts w:ascii="Courier New" w:cs="Courier New" w:eastAsia="Courier New" w:hAnsi="Courier New"/>
          <w:sz w:val="14"/>
          <w:szCs w:val="14"/>
          <w:color w:val="auto"/>
        </w:rPr>
      </w:pPr>
    </w:p>
    <w:p>
      <w:pPr>
        <w:ind w:left="440" w:right="4040" w:hanging="432"/>
        <w:spacing w:after="0" w:line="250"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rents, though market conditions have dictated concessions of up to one month on a 12 month lease.</w:t>
      </w: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market rents.</w:t>
      </w:r>
    </w:p>
    <w:p>
      <w:pPr>
        <w:spacing w:after="0" w:line="7" w:lineRule="exact"/>
        <w:rPr>
          <w:rFonts w:ascii="Courier New" w:cs="Courier New" w:eastAsia="Courier New" w:hAnsi="Courier New"/>
          <w:sz w:val="14"/>
          <w:szCs w:val="14"/>
          <w:color w:val="auto"/>
        </w:rPr>
      </w:pPr>
    </w:p>
    <w:p>
      <w:pPr>
        <w:ind w:left="440" w:right="4040" w:hanging="432"/>
        <w:spacing w:after="0" w:line="250"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includes the cost of all land and substantial infrastructure for future phases, net of anticipated insurance proceeds.</w:t>
      </w:r>
    </w:p>
    <w:p>
      <w:pPr>
        <w:jc w:val="both"/>
        <w:ind w:left="440" w:right="3780" w:hanging="432"/>
        <w:spacing w:after="0" w:line="252"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Cost to Date includes costs associated with the Building 7 fire and clean-up, net of $57.4 million of insurance reimbursements received through April 23, 2003.</w:t>
      </w:r>
    </w:p>
    <w:p>
      <w:pPr>
        <w:sectPr>
          <w:pgSz w:w="11900" w:h="16838" w:orient="portrait"/>
          <w:cols w:equalWidth="0" w:num="1">
            <w:col w:w="10680"/>
          </w:cols>
          <w:pgMar w:left="220" w:top="141" w:right="999"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Dispositions - Year to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 w:leader="none" w:pos="4300" w:val="left"/>
          <w:tab w:leader="none" w:pos="5940" w:val="left"/>
          <w:tab w:leader="none" w:pos="6960" w:val="left"/>
          <w:tab w:leader="none" w:pos="86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City / State</w:t>
      </w:r>
      <w:r>
        <w:rPr>
          <w:sz w:val="20"/>
          <w:szCs w:val="20"/>
          <w:color w:val="auto"/>
        </w:rPr>
        <w:tab/>
      </w:r>
      <w:r>
        <w:rPr>
          <w:rFonts w:ascii="Courier New" w:cs="Courier New" w:eastAsia="Courier New" w:hAnsi="Courier New"/>
          <w:sz w:val="14"/>
          <w:szCs w:val="14"/>
          <w:color w:val="auto"/>
        </w:rPr>
        <w:t>GLA</w:t>
      </w:r>
      <w:r>
        <w:rPr>
          <w:sz w:val="20"/>
          <w:szCs w:val="20"/>
          <w:color w:val="auto"/>
        </w:rPr>
        <w:tab/>
      </w:r>
      <w:r>
        <w:rPr>
          <w:rFonts w:ascii="Courier New" w:cs="Courier New" w:eastAsia="Courier New" w:hAnsi="Courier New"/>
          <w:sz w:val="14"/>
          <w:szCs w:val="14"/>
          <w:color w:val="auto"/>
        </w:rPr>
        <w:t>Acquisition price</w:t>
      </w:r>
      <w:r>
        <w:rPr>
          <w:sz w:val="20"/>
          <w:szCs w:val="20"/>
          <w:color w:val="auto"/>
        </w:rPr>
        <w:tab/>
      </w:r>
      <w:r>
        <w:rPr>
          <w:rFonts w:ascii="Courier New" w:cs="Courier New" w:eastAsia="Courier New" w:hAnsi="Courier New"/>
          <w:sz w:val="14"/>
          <w:szCs w:val="14"/>
          <w:color w:val="auto"/>
        </w:rPr>
        <w:t>Anchor tenant</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South</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Valley Shopping Center</w:t>
            </w: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Alexandria,</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214,000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$13,700</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Home Depot, TJ Maxx</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Mount</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Vernon Plaza</w:t>
            </w: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Alexandria,</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257,000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17,500</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Shoppers Food Warehouse</w:t>
            </w:r>
          </w:p>
        </w:tc>
      </w:tr>
      <w:tr>
        <w:trPr>
          <w:trHeight w:val="166"/>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471,000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$31,200</w:t>
            </w:r>
          </w:p>
        </w:tc>
        <w:tc>
          <w:tcPr>
            <w:tcW w:w="208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860"/>
          </w:cols>
          <w:pgMar w:left="220" w:top="616" w:right="81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Status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left="7680"/>
        <w:spacing w:after="0"/>
        <w:tabs>
          <w:tab w:leader="none" w:pos="9200" w:val="left"/>
          <w:tab w:leader="none" w:pos="1024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jc w:val="right"/>
        <w:ind w:right="500"/>
        <w:spacing w:after="0"/>
        <w:tabs>
          <w:tab w:leader="none" w:pos="8580" w:val="left"/>
          <w:tab w:leader="none" w:pos="7640" w:val="left"/>
          <w:tab w:leader="none" w:pos="4200" w:val="left"/>
          <w:tab w:leader="none" w:pos="2720" w:val="left"/>
          <w:tab w:leader="none" w:pos="134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Type(1)</w:t>
      </w:r>
      <w:r>
        <w:rPr>
          <w:sz w:val="20"/>
          <w:szCs w:val="20"/>
          <w:color w:val="auto"/>
        </w:rPr>
        <w:tab/>
      </w:r>
      <w:r>
        <w:rPr>
          <w:rFonts w:ascii="Courier New" w:cs="Courier New" w:eastAsia="Courier New" w:hAnsi="Courier New"/>
          <w:sz w:val="14"/>
          <w:szCs w:val="14"/>
          <w:color w:val="auto"/>
        </w:rPr>
        <w:t>MSA Description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Mid-Atlantic Region</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Metropolitan Area</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Bethesda Row</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SR</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1993-98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79,068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63,973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55.8%</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Falls 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8,145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Falls Plaza-East</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3,351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61,773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Friendship Center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SR</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33,405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23,703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14,809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20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45,620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20,346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25,156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10,465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Mid-Pike 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Mount Vernon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18,454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Old Keene Mill</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5,044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20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24,888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Pentagon Row</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SR</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86,449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206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33,370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Quince Orchard</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18,978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SR</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Sam's Park &amp; Shop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SR</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South Valley</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13,895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20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18,109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Tyson's Station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Village of Shirlington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SR</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32,500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20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Washington, DC-MD-VA-WV</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700,670</w:t>
            </w:r>
          </w:p>
        </w:tc>
        <w:tc>
          <w:tcPr>
            <w:tcW w:w="960" w:type="dxa"/>
            <w:vAlign w:val="bottom"/>
          </w:tcPr>
          <w:p>
            <w:pPr>
              <w:spacing w:after="0"/>
              <w:rPr>
                <w:sz w:val="14"/>
                <w:szCs w:val="14"/>
                <w:color w:val="auto"/>
              </w:rPr>
            </w:pPr>
          </w:p>
        </w:tc>
      </w:tr>
      <w:tr>
        <w:trPr>
          <w:trHeight w:val="331"/>
        </w:trPr>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Mid-Atlantic Region - Other</w:t>
            </w: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Baltimore, MD</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17,897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Plaza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Baltimore, MD</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23,978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Charlottesville, VA</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39,491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SR</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Orlando, FL</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6,875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20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Raleigh-Durham-Chapel Hill, NC</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15,087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Shops at Willow Lawn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SC</w:t>
            </w: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Richmond-Petersburg, VA</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62,378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165,706</w:t>
            </w:r>
          </w:p>
        </w:tc>
        <w:tc>
          <w:tcPr>
            <w:tcW w:w="96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ind w:left="380"/>
              <w:spacing w:after="0"/>
              <w:rPr>
                <w:sz w:val="20"/>
                <w:szCs w:val="20"/>
                <w:color w:val="auto"/>
              </w:rPr>
            </w:pPr>
            <w:r>
              <w:rPr>
                <w:rFonts w:ascii="Courier New" w:cs="Courier New" w:eastAsia="Courier New" w:hAnsi="Courier New"/>
                <w:sz w:val="14"/>
                <w:szCs w:val="14"/>
                <w:color w:val="auto"/>
              </w:rPr>
              <w:t>Total Mid-Atlantic Region</w:t>
            </w:r>
          </w:p>
        </w:tc>
        <w:tc>
          <w:tcPr>
            <w:tcW w:w="1600" w:type="dxa"/>
            <w:vAlign w:val="bottom"/>
          </w:tcPr>
          <w:p>
            <w:pPr>
              <w:spacing w:after="0"/>
              <w:rPr>
                <w:sz w:val="24"/>
                <w:szCs w:val="2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866,376</w:t>
            </w:r>
          </w:p>
        </w:tc>
        <w:tc>
          <w:tcPr>
            <w:tcW w:w="96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Northeast Region</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Philadelphia Metropolitan Area</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19,062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23,905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17,556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23,730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21,509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25,917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Philadelphia, PA-NJ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35,134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214,184</w:t>
            </w:r>
          </w:p>
        </w:tc>
        <w:tc>
          <w:tcPr>
            <w:tcW w:w="960" w:type="dxa"/>
            <w:vAlign w:val="bottom"/>
          </w:tcPr>
          <w:p>
            <w:pPr>
              <w:spacing w:after="0"/>
              <w:rPr>
                <w:sz w:val="14"/>
                <w:szCs w:val="14"/>
                <w:color w:val="auto"/>
              </w:rPr>
            </w:pPr>
          </w:p>
        </w:tc>
      </w:tr>
      <w:tr>
        <w:trPr>
          <w:trHeight w:val="331"/>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New York / New Jersey</w:t>
            </w:r>
          </w:p>
        </w:tc>
        <w:tc>
          <w:tcPr>
            <w:tcW w:w="9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Bergen-Passaic, 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4,265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Bergen-Passaic, 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4,947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960" w:type="dxa"/>
            <w:vAlign w:val="bottom"/>
          </w:tcPr>
          <w:p>
            <w:pPr>
              <w:ind w:left="400"/>
              <w:spacing w:after="0"/>
              <w:rPr>
                <w:sz w:val="20"/>
                <w:szCs w:val="20"/>
                <w:color w:val="auto"/>
              </w:rPr>
            </w:pPr>
            <w:r>
              <w:rPr>
                <w:rFonts w:ascii="Courier New" w:cs="Courier New" w:eastAsia="Courier New" w:hAnsi="Courier New"/>
                <w:sz w:val="14"/>
                <w:szCs w:val="14"/>
                <w:color w:val="auto"/>
              </w:rPr>
              <w:t>SC</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Middlesex-Somerset-Hunterdon, NJ</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39,184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1540"/>
          </w:cols>
          <w:pgMar w:left="220" w:top="616" w:right="139" w:bottom="0" w:gutter="0" w:footer="0" w:header="0"/>
        </w:sectPr>
      </w:pPr>
    </w:p>
    <w:bookmarkStart w:id="23" w:name="page24"/>
    <w:bookmarkEnd w:id="23"/>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SC</w:t>
            </w:r>
          </w:p>
        </w:tc>
        <w:tc>
          <w:tcPr>
            <w:tcW w:w="362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Middlesex-Somerset-Hunterdon, NJ</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1988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21,085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SC</w:t>
            </w:r>
          </w:p>
        </w:tc>
        <w:tc>
          <w:tcPr>
            <w:tcW w:w="362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Middlesex-Somerset-Hunterdon, NJ</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1988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15,919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SC</w:t>
            </w:r>
          </w:p>
        </w:tc>
        <w:tc>
          <w:tcPr>
            <w:tcW w:w="2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Monmouth-Ocean, NJ</w:t>
            </w:r>
          </w:p>
        </w:tc>
        <w:tc>
          <w:tcPr>
            <w:tcW w:w="820" w:type="dxa"/>
            <w:vAlign w:val="bottom"/>
          </w:tcPr>
          <w:p>
            <w:pPr>
              <w:spacing w:after="0"/>
              <w:rPr>
                <w:sz w:val="14"/>
                <w:szCs w:val="14"/>
                <w:color w:val="auto"/>
              </w:rPr>
            </w:pP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1989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53,753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SC</w:t>
            </w:r>
          </w:p>
        </w:tc>
        <w:tc>
          <w:tcPr>
            <w:tcW w:w="2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Nassau-Suffolk, NY</w:t>
            </w:r>
          </w:p>
        </w:tc>
        <w:tc>
          <w:tcPr>
            <w:tcW w:w="820" w:type="dxa"/>
            <w:vAlign w:val="bottom"/>
          </w:tcPr>
          <w:p>
            <w:pPr>
              <w:spacing w:after="0"/>
              <w:rPr>
                <w:sz w:val="24"/>
                <w:szCs w:val="24"/>
                <w:color w:val="auto"/>
              </w:rPr>
            </w:pP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10,613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SC</w:t>
            </w:r>
          </w:p>
        </w:tc>
        <w:tc>
          <w:tcPr>
            <w:tcW w:w="2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Nassau-Suffolk, NY</w:t>
            </w:r>
          </w:p>
        </w:tc>
        <w:tc>
          <w:tcPr>
            <w:tcW w:w="820" w:type="dxa"/>
            <w:vAlign w:val="bottom"/>
          </w:tcPr>
          <w:p>
            <w:pPr>
              <w:spacing w:after="0"/>
              <w:rPr>
                <w:sz w:val="14"/>
                <w:szCs w:val="14"/>
                <w:color w:val="auto"/>
              </w:rPr>
            </w:pP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26,225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SC</w:t>
            </w:r>
          </w:p>
        </w:tc>
        <w:tc>
          <w:tcPr>
            <w:tcW w:w="2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Nassau-Suffolk, NY</w:t>
            </w:r>
          </w:p>
        </w:tc>
        <w:tc>
          <w:tcPr>
            <w:tcW w:w="820" w:type="dxa"/>
            <w:vAlign w:val="bottom"/>
          </w:tcPr>
          <w:p>
            <w:pPr>
              <w:spacing w:after="0"/>
              <w:rPr>
                <w:sz w:val="14"/>
                <w:szCs w:val="14"/>
                <w:color w:val="auto"/>
              </w:rPr>
            </w:pP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1988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22,403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497"/>
        </w:trPr>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Mortage or</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Grocery</w:t>
            </w: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Capital Lease</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Anchor</w:t>
            </w: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08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GLA (2) % Leased</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Obligation</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GLA (3)</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Grocery Anchor (3)</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 Principal Tenants</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Mid-Atlantic Region</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Metropolitan Area</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Bethesda Row</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12,576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Barnes &amp; Noble/Landmark</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Theater</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28,258</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Whole Foods</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Buy Buy Baby/Container</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Store/Tower</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Falls 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51,385</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Falls Plaza-East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CVS/Staples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35,831</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TJ Maxx/CompUSA/Ross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Friendship Center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Borders/Linens 'n</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Things/Maggiano's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Bed, Bath &amp;</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Beyond/Borders/Ross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29,556</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Whole Foods</w:t>
            </w: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39,500</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Marshalls/Toys R Us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55,330</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Kmart/Peebles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Bally's/Linens 'n</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Things/Loehmann's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30,750</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Magruders</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Tuesday Morning</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Mid-Pike 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10,041</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Linens 'n Things/Toys R</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Us/Bally's/AC Moore</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Mount Vernon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53,692</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Shoppers Food Warehouse</w:t>
            </w:r>
          </w:p>
        </w:tc>
        <w:tc>
          <w:tcPr>
            <w:tcW w:w="214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Old Keene Mill</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24,060</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Whole Foods</w:t>
            </w: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32,725</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Safeway</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Micro Center/Michaels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Pentagon Row</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44,623</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Harris Teeter</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Bally's/Bed, Bath &amp;</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Beyond/DSW/Cost Plus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Staples/TJ Maxx/Tower</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Quince Orchard</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23,640</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Magruders</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Circuit City/Staples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Sam's Park &amp; Shop</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Petco</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South Valley</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HomeDepot/TJ Maxx</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Virginia Fine Wine /</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Talbot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Tyson's Station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6,838</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Trader Joes</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Village of Shirlington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Cineplex Odeon</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20,000</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Sutton Place Gourmet</w:t>
            </w: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CVS</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4,880,000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1"/>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Mid-Atlantic Region - Other</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Bally's/Comp USA/Syms</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/Office Depot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Plaza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57,706</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Metro Foods</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Home Depot/Burlington</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Coat Factory</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91,032</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Harris Teeter / Kroger</w:t>
            </w: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Barnes &amp; Noble/Old Navy</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22,938</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Southern Season</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214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Shops at Willow Lawn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44,607</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Kroger</w:t>
            </w: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Dillard's/Old Navy/</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Tower Records</w:t>
            </w:r>
          </w:p>
        </w:tc>
      </w:tr>
      <w:tr>
        <w:trPr>
          <w:trHeight w:val="166"/>
        </w:trPr>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6,718,000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Northeast Region</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Philadelphia Metropolitan Area</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23,542</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Kohl's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45,000</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Lord &amp; Taylor</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47,600</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Genuardi's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Bed, Bath &amp; Beyond/Ross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52,694</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Genuardi's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OfficeMax</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41,511</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Genuardi's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Kmart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55,000</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Redner's Warehouse Mkts.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Marshalls/Drug Emporium</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38,481</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CHI/TJ Maxx/Today's</w:t>
            </w:r>
          </w:p>
        </w:tc>
      </w:tr>
      <w:tr>
        <w:trPr>
          <w:trHeight w:val="166"/>
        </w:trPr>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Man</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Burlington Coat/</w:t>
            </w:r>
          </w:p>
        </w:tc>
      </w:tr>
      <w:tr>
        <w:trPr>
          <w:trHeight w:val="166"/>
        </w:trPr>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Marshalls/Tower Records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Barnes &amp; Noble/</w:t>
            </w:r>
          </w:p>
        </w:tc>
      </w:tr>
      <w:tr>
        <w:trPr>
          <w:trHeight w:val="166"/>
        </w:trPr>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Marshalls/Toys R Us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98,000</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Genuardi's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260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Borders/Old Navy</w:t>
            </w:r>
          </w:p>
        </w:tc>
      </w:tr>
      <w:tr>
        <w:trPr>
          <w:trHeight w:val="166"/>
        </w:trPr>
        <w:tc>
          <w:tcPr>
            <w:tcW w:w="260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New York / New Jersey</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25,025</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Stop &amp; Shop</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Mandee Shop</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26,500</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Drug Fair/Dollar Express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43,365</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Kohl's/Michaels/Toys R Us</w:t>
            </w:r>
          </w:p>
        </w:tc>
      </w:tr>
    </w:tbl>
    <w:p>
      <w:pPr>
        <w:sectPr>
          <w:pgSz w:w="11900" w:h="16902" w:orient="portrait"/>
          <w:cols w:equalWidth="0" w:num="1">
            <w:col w:w="11540"/>
          </w:cols>
          <w:pgMar w:left="220" w:top="141" w:right="1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/Marshalls</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55,345</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A&amp;P</w:t>
            </w: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Just Living Rooms</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44,456</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Edwards Super Food</w:t>
            </w: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Kmart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66,110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A&amp;P</w:t>
            </w: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Loews Theatre/ Barnes &amp;</w:t>
            </w:r>
          </w:p>
        </w:tc>
      </w:tr>
      <w:tr>
        <w:trPr>
          <w:trHeight w:val="166"/>
        </w:trPr>
        <w:tc>
          <w:tcPr>
            <w:tcW w:w="2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Noble/Sports Authority</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45,958</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Waldbaum's</w:t>
            </w:r>
          </w:p>
        </w:tc>
        <w:tc>
          <w:tcPr>
            <w:tcW w:w="236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60,791</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c>
          <w:tcPr>
            <w:tcW w:w="236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14,333</w:t>
            </w: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Buy Buy Baby/Toys R Us/</w:t>
            </w:r>
          </w:p>
        </w:tc>
      </w:tr>
      <w:tr>
        <w:trPr>
          <w:trHeight w:val="166"/>
        </w:trPr>
        <w:tc>
          <w:tcPr>
            <w:tcW w:w="2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Bed,Bath &amp; Beyond</w:t>
            </w:r>
          </w:p>
        </w:tc>
      </w:tr>
    </w:tbl>
    <w:p>
      <w:pPr>
        <w:sectPr>
          <w:pgSz w:w="11900" w:h="16838" w:orient="portrait"/>
          <w:cols w:equalWidth="0" w:num="1">
            <w:col w:w="11200"/>
          </w:cols>
          <w:pgMar w:left="220" w:top="141" w:right="479" w:bottom="1440" w:gutter="0" w:footer="0" w:header="0"/>
        </w:sectPr>
      </w:pPr>
    </w:p>
    <w:bookmarkStart w:id="25" w:name="page26"/>
    <w:bookmarkEnd w:id="25"/>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Status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both"/>
        <w:ind w:left="8440"/>
        <w:spacing w:after="0"/>
        <w:tabs>
          <w:tab w:leader="none" w:pos="9460" w:val="left"/>
          <w:tab w:leader="none" w:pos="1016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jc w:val="right"/>
        <w:ind w:right="600"/>
        <w:spacing w:after="0"/>
        <w:tabs>
          <w:tab w:leader="none" w:pos="8580" w:val="left"/>
          <w:tab w:leader="none" w:pos="7640" w:val="left"/>
          <w:tab w:leader="none" w:pos="3420" w:val="left"/>
          <w:tab w:leader="none" w:pos="2460" w:val="left"/>
          <w:tab w:leader="none" w:pos="144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Type(1)</w:t>
      </w:r>
      <w:r>
        <w:rPr>
          <w:sz w:val="20"/>
          <w:szCs w:val="20"/>
          <w:color w:val="auto"/>
        </w:rPr>
        <w:tab/>
      </w:r>
      <w:r>
        <w:rPr>
          <w:rFonts w:ascii="Courier New" w:cs="Courier New" w:eastAsia="Courier New" w:hAnsi="Courier New"/>
          <w:sz w:val="14"/>
          <w:szCs w:val="14"/>
          <w:color w:val="auto"/>
        </w:rPr>
        <w:t>MSA Description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Investment</w:t>
        <w:tab/>
        <w:t>Percentage</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Forest Hills</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New York, NY</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New York, NY</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64,473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Newark, NJ</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Trenton, NJ</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7,790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315,118</w:t>
            </w:r>
          </w:p>
        </w:tc>
        <w:tc>
          <w:tcPr>
            <w:tcW w:w="76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New England</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29,290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13,070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Hartford, CT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21,857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Hartford, CT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16,178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New Haven-Bridgeport-Stamford-Waterbury</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19,386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118,490</w:t>
            </w:r>
          </w:p>
        </w:tc>
        <w:tc>
          <w:tcPr>
            <w:tcW w:w="76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Chicago</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21,730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26,344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10,634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North Lake Commons</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12,958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75,943</w:t>
            </w:r>
          </w:p>
        </w:tc>
        <w:tc>
          <w:tcPr>
            <w:tcW w:w="76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Northeast Region - Other</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Detroit, MI</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16,647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Lancaster, PA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9,808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26,455</w:t>
            </w:r>
          </w:p>
        </w:tc>
        <w:tc>
          <w:tcPr>
            <w:tcW w:w="76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Total Northeast Region</w:t>
            </w:r>
          </w:p>
        </w:tc>
        <w:tc>
          <w:tcPr>
            <w:tcW w:w="118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750,190</w:t>
            </w:r>
          </w:p>
        </w:tc>
        <w:tc>
          <w:tcPr>
            <w:tcW w:w="760" w:type="dxa"/>
            <w:vAlign w:val="bottom"/>
          </w:tcPr>
          <w:p>
            <w:pPr>
              <w:spacing w:after="0"/>
              <w:rPr>
                <w:sz w:val="24"/>
                <w:szCs w:val="2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West Region</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California</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Colorado Blvd</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14,717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Hermosa Ave</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4,591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Hollywood Blvd</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25,963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Third St Promenade</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1996-2000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71,592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San Diego,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24,649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San Diego,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1996-1997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San Francisco,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28,309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SC</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San Jose,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10,921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San Jose,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32,634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San Jose, CA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475,338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700,805</w:t>
            </w:r>
          </w:p>
        </w:tc>
        <w:tc>
          <w:tcPr>
            <w:tcW w:w="760" w:type="dxa"/>
            <w:vAlign w:val="bottom"/>
          </w:tcPr>
          <w:p>
            <w:pPr>
              <w:spacing w:after="0"/>
              <w:rPr>
                <w:sz w:val="14"/>
                <w:szCs w:val="14"/>
                <w:color w:val="auto"/>
              </w:rPr>
            </w:pPr>
          </w:p>
        </w:tc>
      </w:tr>
      <w:tr>
        <w:trPr>
          <w:trHeight w:val="331"/>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West Region - Other</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Mill Avenue</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Phoenix-Mesa, AZ</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11,036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Houston St</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San Antonio, TX</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Tanasbourne</w:t>
            </w: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SR</w:t>
            </w: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Portland, OR</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74,338</w:t>
            </w:r>
          </w:p>
        </w:tc>
        <w:tc>
          <w:tcPr>
            <w:tcW w:w="76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ind w:left="380"/>
              <w:spacing w:after="0"/>
              <w:rPr>
                <w:sz w:val="20"/>
                <w:szCs w:val="20"/>
                <w:color w:val="auto"/>
              </w:rPr>
            </w:pPr>
            <w:r>
              <w:rPr>
                <w:rFonts w:ascii="Courier New" w:cs="Courier New" w:eastAsia="Courier New" w:hAnsi="Courier New"/>
                <w:sz w:val="14"/>
                <w:szCs w:val="14"/>
                <w:color w:val="auto"/>
              </w:rPr>
              <w:t>Total West Region</w:t>
            </w:r>
          </w:p>
        </w:tc>
        <w:tc>
          <w:tcPr>
            <w:tcW w:w="118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775,143</w:t>
            </w:r>
          </w:p>
        </w:tc>
        <w:tc>
          <w:tcPr>
            <w:tcW w:w="76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spacing w:after="0"/>
        <w:tabs>
          <w:tab w:leader="none" w:pos="91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2,391,709</w:t>
      </w:r>
    </w:p>
    <w:p>
      <w:pPr>
        <w:spacing w:after="0" w:line="338" w:lineRule="exact"/>
        <w:rPr>
          <w:sz w:val="20"/>
          <w:szCs w:val="20"/>
          <w:color w:val="auto"/>
        </w:rPr>
      </w:pPr>
    </w:p>
    <w:p>
      <w:pPr>
        <w:ind w:left="4480"/>
        <w:spacing w:after="0"/>
        <w:tabs>
          <w:tab w:leader="none" w:pos="5500" w:val="left"/>
        </w:tabs>
        <w:rPr>
          <w:sz w:val="20"/>
          <w:szCs w:val="20"/>
          <w:color w:val="auto"/>
        </w:rPr>
      </w:pPr>
      <w:r>
        <w:rPr>
          <w:rFonts w:ascii="Courier New" w:cs="Courier New" w:eastAsia="Courier New" w:hAnsi="Courier New"/>
          <w:sz w:val="14"/>
          <w:szCs w:val="14"/>
          <w:color w:val="auto"/>
        </w:rPr>
        <w:t>Mortage or</w:t>
        <w:tab/>
        <w:t>Grocery</w:t>
      </w:r>
    </w:p>
    <w:p>
      <w:pPr>
        <w:spacing w:after="0" w:line="7" w:lineRule="exact"/>
        <w:rPr>
          <w:sz w:val="20"/>
          <w:szCs w:val="20"/>
          <w:color w:val="auto"/>
        </w:rPr>
      </w:pPr>
    </w:p>
    <w:p>
      <w:pPr>
        <w:ind w:left="4220"/>
        <w:spacing w:after="0"/>
        <w:tabs>
          <w:tab w:leader="none" w:pos="5500" w:val="left"/>
        </w:tabs>
        <w:rPr>
          <w:sz w:val="20"/>
          <w:szCs w:val="20"/>
          <w:color w:val="auto"/>
        </w:rPr>
      </w:pPr>
      <w:r>
        <w:rPr>
          <w:rFonts w:ascii="Courier New" w:cs="Courier New" w:eastAsia="Courier New" w:hAnsi="Courier New"/>
          <w:sz w:val="14"/>
          <w:szCs w:val="14"/>
          <w:color w:val="auto"/>
        </w:rPr>
        <w:t>Capital Lease</w:t>
        <w:tab/>
        <w:t>Anchor</w:t>
      </w:r>
    </w:p>
    <w:p>
      <w:pPr>
        <w:spacing w:after="0" w:line="7" w:lineRule="exact"/>
        <w:rPr>
          <w:sz w:val="20"/>
          <w:szCs w:val="20"/>
          <w:color w:val="auto"/>
        </w:rPr>
      </w:pPr>
    </w:p>
    <w:p>
      <w:pPr>
        <w:spacing w:after="0"/>
        <w:tabs>
          <w:tab w:leader="none" w:pos="2740" w:val="left"/>
          <w:tab w:leader="none" w:pos="4460" w:val="left"/>
          <w:tab w:leader="none" w:pos="5500" w:val="left"/>
          <w:tab w:leader="none" w:pos="800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GLA (2) % Leased</w:t>
      </w:r>
      <w:r>
        <w:rPr>
          <w:sz w:val="20"/>
          <w:szCs w:val="20"/>
          <w:color w:val="auto"/>
        </w:rPr>
        <w:tab/>
      </w:r>
      <w:r>
        <w:rPr>
          <w:rFonts w:ascii="Courier New" w:cs="Courier New" w:eastAsia="Courier New" w:hAnsi="Courier New"/>
          <w:sz w:val="14"/>
          <w:szCs w:val="14"/>
          <w:color w:val="auto"/>
        </w:rPr>
        <w:t>Obligation</w:t>
        <w:tab/>
        <w:t>GLA (3) Grocery Anchor (3)</w:t>
      </w:r>
      <w:r>
        <w:rPr>
          <w:sz w:val="20"/>
          <w:szCs w:val="20"/>
          <w:color w:val="auto"/>
        </w:rPr>
        <w:tab/>
      </w:r>
      <w:r>
        <w:rPr>
          <w:rFonts w:ascii="Courier New" w:cs="Courier New" w:eastAsia="Courier New" w:hAnsi="Courier New"/>
          <w:sz w:val="14"/>
          <w:szCs w:val="14"/>
          <w:color w:val="auto"/>
        </w:rPr>
        <w:t>Other Principal Tenants</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Forest Hills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86,000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Midway Theatre / Duane Reade / Gap</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408,000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w:t>
            </w: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60" w:type="dxa"/>
            <w:vAlign w:val="bottom"/>
          </w:tcPr>
          <w:p>
            <w:pPr>
              <w:ind w:left="520"/>
              <w:spacing w:after="0"/>
              <w:rPr>
                <w:sz w:val="20"/>
                <w:szCs w:val="20"/>
                <w:color w:val="auto"/>
              </w:rPr>
            </w:pPr>
            <w:r>
              <w:rPr>
                <w:rFonts w:ascii="Courier New" w:cs="Courier New" w:eastAsia="Courier New" w:hAnsi="Courier New"/>
                <w:sz w:val="14"/>
                <w:szCs w:val="14"/>
                <w:color w:val="auto"/>
              </w:rPr>
              <w:t>Value City / Kmart / Cineplex</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Odeon</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202,000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64,209</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Pathmark</w:t>
            </w:r>
          </w:p>
        </w:tc>
        <w:tc>
          <w:tcPr>
            <w:tcW w:w="3060" w:type="dxa"/>
            <w:vAlign w:val="bottom"/>
          </w:tcPr>
          <w:p>
            <w:pPr>
              <w:ind w:left="520"/>
              <w:spacing w:after="0"/>
              <w:rPr>
                <w:sz w:val="20"/>
                <w:szCs w:val="20"/>
                <w:color w:val="auto"/>
              </w:rPr>
            </w:pPr>
            <w:r>
              <w:rPr>
                <w:rFonts w:ascii="Courier New" w:cs="Courier New" w:eastAsia="Courier New" w:hAnsi="Courier New"/>
                <w:sz w:val="14"/>
                <w:szCs w:val="14"/>
                <w:color w:val="auto"/>
              </w:rPr>
              <w:t>A.C.Moore / Comp USA / Toys 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Us</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190,000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4,839  53,220</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Shop Rite</w:t>
            </w:r>
          </w:p>
        </w:tc>
        <w:tc>
          <w:tcPr>
            <w:tcW w:w="3060" w:type="dxa"/>
            <w:vAlign w:val="bottom"/>
          </w:tcPr>
          <w:p>
            <w:pPr>
              <w:ind w:left="520"/>
              <w:spacing w:after="0"/>
              <w:rPr>
                <w:sz w:val="20"/>
                <w:szCs w:val="20"/>
                <w:color w:val="auto"/>
              </w:rPr>
            </w:pPr>
            <w:r>
              <w:rPr>
                <w:rFonts w:ascii="Courier New" w:cs="Courier New" w:eastAsia="Courier New" w:hAnsi="Courier New"/>
                <w:sz w:val="14"/>
                <w:szCs w:val="14"/>
                <w:color w:val="auto"/>
              </w:rPr>
              <w:t>A.C.Moore / Stevens Furniture</w:t>
            </w:r>
          </w:p>
        </w:tc>
        <w:tc>
          <w:tcPr>
            <w:tcW w:w="48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2,871,000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w:t>
            </w: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England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540"/>
          </w:cols>
          <w:pgMar w:left="220" w:top="616" w:right="139"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Pier One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50,284</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Victory Supermarket</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54,530</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Super Stop &amp; Shop</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Kmart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56,634</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Super Stop &amp; Shop</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Saks Fifth Avenue</w:t>
            </w: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31"/>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Chicago</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Comp USA/Golfsmith/Guitar Center</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Bed,Bath &amp; Beyond/Sports Authority</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62,937</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Dominick's</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Walgreens</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North Lake Commons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77,303</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Dominick's</w:t>
            </w: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Gap</w:t>
            </w: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31"/>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Northeast Region - Other</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68,802</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Farmer Jack's</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Bed, Bath &amp; Beyond/Best Buy</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4,907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39,404</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Giant Food</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A.C.Moore</w:t>
            </w: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31"/>
        </w:trPr>
        <w:tc>
          <w:tcPr>
            <w:tcW w:w="2380" w:type="dxa"/>
            <w:vAlign w:val="bottom"/>
          </w:tcPr>
          <w:p>
            <w:pPr>
              <w:spacing w:after="0"/>
              <w:rPr>
                <w:sz w:val="24"/>
                <w:szCs w:val="2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7,442,000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West Region</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31"/>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California</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Colorado Blvd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Pottery Barn/Banana Republic</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Hermosa Ave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Hollywood Blvd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General Cinema/Hollywood Ent. Museum</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Third St Promenade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J. Crew/Banana Republic/Old Navy</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9,400</w:t>
            </w: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Cost Plus/TJ Maxx /Toys R Us</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Urban Outfitters</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Brooks Brothers/Williams Sonoma</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24,860</w:t>
            </w:r>
          </w:p>
        </w:tc>
        <w:tc>
          <w:tcPr>
            <w:tcW w:w="2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Lunardi's Super Market</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Longs Drug Store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Borders/Gap Kids/Banana Republic</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Crate &amp; Barrel/Borders</w:t>
            </w: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31"/>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West Region - Other</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Mill Avenue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Gordon Biersch</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Houston St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w:t>
            </w: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Tanasbourne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31"/>
        </w:trPr>
        <w:tc>
          <w:tcPr>
            <w:tcW w:w="2380" w:type="dxa"/>
            <w:vAlign w:val="bottom"/>
          </w:tcPr>
          <w:p>
            <w:pPr>
              <w:spacing w:after="0"/>
              <w:rPr>
                <w:sz w:val="24"/>
                <w:szCs w:val="2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15,698,000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364,811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SR - Street Retail; SC - Shopping Center</w:t>
      </w:r>
    </w:p>
    <w:p>
      <w:pPr>
        <w:spacing w:after="0" w:line="7" w:lineRule="exact"/>
        <w:rPr>
          <w:rFonts w:ascii="Courier New" w:cs="Courier New" w:eastAsia="Courier New" w:hAnsi="Courier New"/>
          <w:sz w:val="14"/>
          <w:szCs w:val="14"/>
          <w:color w:val="auto"/>
        </w:rPr>
      </w:pPr>
    </w:p>
    <w:p>
      <w:pPr>
        <w:ind w:left="440" w:right="5160" w:hanging="432"/>
        <w:spacing w:after="0" w:line="250"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redevelopment square footage not yet in service, Santana Row residential, Phase II and other future phases of Santana Row and Rollingwood Apartments.</w:t>
      </w:r>
    </w:p>
    <w:p>
      <w:pPr>
        <w:spacing w:after="0" w:line="1" w:lineRule="exact"/>
        <w:rPr>
          <w:rFonts w:ascii="Courier New" w:cs="Courier New" w:eastAsia="Courier New" w:hAnsi="Courier New"/>
          <w:sz w:val="14"/>
          <w:szCs w:val="14"/>
          <w:color w:val="auto"/>
        </w:rPr>
      </w:pPr>
    </w:p>
    <w:p>
      <w:pPr>
        <w:ind w:left="440" w:right="4900" w:hanging="432"/>
        <w:spacing w:after="0" w:line="250"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Grocery anchor is defined as a grocery tenant leasing 15,000 square feet or more.</w:t>
      </w: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 of property subject to capital lease obligation.</w:t>
      </w:r>
    </w:p>
    <w:p>
      <w:pPr>
        <w:spacing w:after="0" w:line="7" w:lineRule="exact"/>
        <w:rPr>
          <w:rFonts w:ascii="Courier New" w:cs="Courier New" w:eastAsia="Courier New" w:hAnsi="Courier New"/>
          <w:sz w:val="14"/>
          <w:szCs w:val="14"/>
          <w:color w:val="auto"/>
        </w:rPr>
      </w:pPr>
    </w:p>
    <w:p>
      <w:pPr>
        <w:ind w:left="440" w:right="4900" w:hanging="432"/>
        <w:spacing w:after="0" w:line="250"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purchased through "downreit" partnership, of which the Trust is the sole general partner, in exchange for operating partnership units.</w:t>
      </w: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subject to capital lease obligation.</w:t>
      </w:r>
    </w:p>
    <w:p>
      <w:pPr>
        <w:spacing w:after="0" w:line="7" w:lineRule="exact"/>
        <w:rPr>
          <w:rFonts w:ascii="Courier New" w:cs="Courier New" w:eastAsia="Courier New" w:hAnsi="Courier New"/>
          <w:sz w:val="14"/>
          <w:szCs w:val="14"/>
          <w:color w:val="auto"/>
        </w:rPr>
      </w:pPr>
    </w:p>
    <w:p>
      <w:pPr>
        <w:ind w:left="440" w:right="4720" w:hanging="432"/>
        <w:spacing w:after="0" w:line="250"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second grocery anchor in the center; Food Lion has vacated, but is currently paying rent.</w:t>
      </w: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nine properties, seven at 100% and two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four properties, three at 100% and one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85%.</w:t>
      </w:r>
    </w:p>
    <w:p>
      <w:pPr>
        <w:sectPr>
          <w:pgSz w:w="11900" w:h="16838" w:orient="portrait"/>
          <w:cols w:equalWidth="0" w:num="1">
            <w:col w:w="11540"/>
          </w:cols>
          <w:pgMar w:left="220" w:top="141" w:right="139" w:bottom="1440" w:gutter="0" w:footer="0" w:header="0"/>
        </w:sectPr>
      </w:pPr>
    </w:p>
    <w:bookmarkStart w:id="27" w:name="page28"/>
    <w:bookmarkEnd w:id="27"/>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 Street Retail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square footage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6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For the three months ended March 31,</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Real Estate Assets, at cost</w:t>
            </w:r>
          </w:p>
        </w:tc>
        <w:tc>
          <w:tcPr>
            <w:tcW w:w="2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$ 1,327,543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1,260,280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540" w:type="dxa"/>
            <w:vAlign w:val="bottom"/>
          </w:tcPr>
          <w:p>
            <w:pPr>
              <w:ind w:left="146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57,765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52,618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2,376</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2,162</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583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60,375</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55,363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Rental Expense</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12,998</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9,820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 Expense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6,015</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6,008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Property Operating Expenses</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19,013</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15,828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Property Operating Income (1)</w:t>
            </w:r>
          </w:p>
        </w:tc>
        <w:tc>
          <w:tcPr>
            <w:tcW w:w="1540" w:type="dxa"/>
            <w:vAlign w:val="bottom"/>
          </w:tcPr>
          <w:p>
            <w:pPr>
              <w:ind w:left="146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41,362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39,535</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13,030,000</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12,545,000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7"/>
        </w:trPr>
        <w:tc>
          <w:tcPr>
            <w:tcW w:w="4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6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For the year ended December 31,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320" w:type="dxa"/>
            <w:vAlign w:val="bottom"/>
          </w:tcPr>
          <w:p>
            <w:pPr>
              <w:spacing w:after="0"/>
              <w:rPr>
                <w:sz w:val="14"/>
                <w:szCs w:val="14"/>
                <w:color w:val="auto"/>
              </w:rPr>
            </w:pPr>
          </w:p>
        </w:tc>
        <w:tc>
          <w:tcPr>
            <w:tcW w:w="6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Real Estate Assets, at cost</w:t>
            </w:r>
          </w:p>
        </w:tc>
        <w:tc>
          <w:tcPr>
            <w:tcW w:w="2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$ 1,287,887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1,256,778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1,248,770</w:t>
            </w: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540" w:type="dxa"/>
            <w:vAlign w:val="bottom"/>
          </w:tcPr>
          <w:p>
            <w:pPr>
              <w:ind w:left="146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219,057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211,664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205,456</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8,498</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8,989</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7,483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1,906</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3,175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3,067</w:t>
            </w:r>
          </w:p>
        </w:tc>
      </w:tr>
      <w:tr>
        <w:trPr>
          <w:trHeight w:val="166"/>
        </w:trPr>
        <w:tc>
          <w:tcPr>
            <w:tcW w:w="4320" w:type="dxa"/>
            <w:vAlign w:val="bottom"/>
          </w:tcPr>
          <w:p>
            <w:pPr>
              <w:spacing w:after="0"/>
              <w:rPr>
                <w:sz w:val="14"/>
                <w:szCs w:val="14"/>
                <w:color w:val="auto"/>
              </w:rPr>
            </w:pPr>
          </w:p>
        </w:tc>
        <w:tc>
          <w:tcPr>
            <w:tcW w:w="6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229,461</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223,828</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216,006</w:t>
            </w: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Rental Expense</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41,066</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40,541</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40,599</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 Expense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23,976</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22,577</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21,515</w:t>
            </w:r>
          </w:p>
        </w:tc>
      </w:tr>
      <w:tr>
        <w:trPr>
          <w:trHeight w:val="166"/>
        </w:trPr>
        <w:tc>
          <w:tcPr>
            <w:tcW w:w="4320" w:type="dxa"/>
            <w:vAlign w:val="bottom"/>
          </w:tcPr>
          <w:p>
            <w:pPr>
              <w:spacing w:after="0"/>
              <w:rPr>
                <w:sz w:val="14"/>
                <w:szCs w:val="14"/>
                <w:color w:val="auto"/>
              </w:rPr>
            </w:pPr>
          </w:p>
        </w:tc>
        <w:tc>
          <w:tcPr>
            <w:tcW w:w="6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Property Operating Expenses</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65,042</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63,118</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62,114</w:t>
            </w:r>
          </w:p>
        </w:tc>
      </w:tr>
      <w:tr>
        <w:trPr>
          <w:trHeight w:val="166"/>
        </w:trPr>
        <w:tc>
          <w:tcPr>
            <w:tcW w:w="4320" w:type="dxa"/>
            <w:vAlign w:val="bottom"/>
          </w:tcPr>
          <w:p>
            <w:pPr>
              <w:spacing w:after="0"/>
              <w:rPr>
                <w:sz w:val="14"/>
                <w:szCs w:val="14"/>
                <w:color w:val="auto"/>
              </w:rPr>
            </w:pPr>
          </w:p>
        </w:tc>
        <w:tc>
          <w:tcPr>
            <w:tcW w:w="6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Property Operating Income (1)</w:t>
            </w:r>
          </w:p>
        </w:tc>
        <w:tc>
          <w:tcPr>
            <w:tcW w:w="1540" w:type="dxa"/>
            <w:vAlign w:val="bottom"/>
          </w:tcPr>
          <w:p>
            <w:pPr>
              <w:ind w:left="146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164,419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160,710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153,892</w:t>
            </w:r>
          </w:p>
        </w:tc>
      </w:tr>
      <w:tr>
        <w:trPr>
          <w:trHeight w:val="166"/>
        </w:trPr>
        <w:tc>
          <w:tcPr>
            <w:tcW w:w="4320" w:type="dxa"/>
            <w:vAlign w:val="bottom"/>
          </w:tcPr>
          <w:p>
            <w:pPr>
              <w:spacing w:after="0"/>
              <w:rPr>
                <w:sz w:val="14"/>
                <w:szCs w:val="14"/>
                <w:color w:val="auto"/>
              </w:rPr>
            </w:pPr>
          </w:p>
        </w:tc>
        <w:tc>
          <w:tcPr>
            <w:tcW w:w="6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12,555,000</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12,547,000</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12,700,000</w:t>
            </w:r>
          </w:p>
        </w:tc>
      </w:tr>
      <w:tr>
        <w:trPr>
          <w:trHeight w:val="828"/>
        </w:trPr>
        <w:tc>
          <w:tcPr>
            <w:tcW w:w="4320" w:type="dxa"/>
            <w:vAlign w:val="bottom"/>
          </w:tcPr>
          <w:p>
            <w:pPr>
              <w:spacing w:after="0"/>
              <w:rPr>
                <w:sz w:val="20"/>
                <w:szCs w:val="20"/>
                <w:color w:val="auto"/>
              </w:rPr>
            </w:pPr>
            <w:r>
              <w:rPr>
                <w:rFonts w:ascii="Courier New" w:cs="Courier New" w:eastAsia="Courier New" w:hAnsi="Courier New"/>
                <w:sz w:val="14"/>
                <w:szCs w:val="14"/>
                <w:color w:val="auto"/>
              </w:rPr>
              <w:t>Street Retail Summary</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 thousands, except square footage data)</w:t>
            </w: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4320" w:type="dxa"/>
            <w:vAlign w:val="bottom"/>
          </w:tcPr>
          <w:p>
            <w:pPr>
              <w:spacing w:after="0"/>
              <w:rPr>
                <w:sz w:val="24"/>
                <w:szCs w:val="24"/>
                <w:color w:val="auto"/>
              </w:rPr>
            </w:pPr>
          </w:p>
        </w:tc>
        <w:tc>
          <w:tcPr>
            <w:tcW w:w="5200" w:type="dxa"/>
            <w:vAlign w:val="bottom"/>
            <w:gridSpan w:val="4"/>
          </w:tcPr>
          <w:p>
            <w:pPr>
              <w:jc w:val="right"/>
              <w:ind w:right="648"/>
              <w:spacing w:after="0"/>
              <w:rPr>
                <w:sz w:val="20"/>
                <w:szCs w:val="20"/>
                <w:color w:val="auto"/>
              </w:rPr>
            </w:pPr>
            <w:r>
              <w:rPr>
                <w:rFonts w:ascii="Courier New" w:cs="Courier New" w:eastAsia="Courier New" w:hAnsi="Courier New"/>
                <w:sz w:val="14"/>
                <w:szCs w:val="14"/>
                <w:color w:val="auto"/>
              </w:rPr>
              <w:t>For the three months ended March 31,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Real Estate Assets, at cost (3)</w:t>
            </w:r>
          </w:p>
        </w:tc>
        <w:tc>
          <w:tcPr>
            <w:tcW w:w="2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$ 1,064,166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884,766</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540" w:type="dxa"/>
            <w:vAlign w:val="bottom"/>
          </w:tcPr>
          <w:p>
            <w:pPr>
              <w:ind w:left="146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22,231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17,881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1,719</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1,314</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981</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678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24,931</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19,873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Rental Expense</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8,702</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5,551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 Expense</w:t>
            </w:r>
          </w:p>
        </w:tc>
        <w:tc>
          <w:tcPr>
            <w:tcW w:w="15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1,843</w:t>
            </w:r>
          </w:p>
        </w:tc>
        <w:tc>
          <w:tcPr>
            <w:tcW w:w="480" w:type="dxa"/>
            <w:vAlign w:val="bottom"/>
          </w:tcPr>
          <w:p>
            <w:pPr>
              <w:spacing w:after="0"/>
              <w:rPr>
                <w:sz w:val="14"/>
                <w:szCs w:val="1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1,732</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Property Operating Expenses</w:t>
            </w:r>
          </w:p>
        </w:tc>
        <w:tc>
          <w:tcPr>
            <w:tcW w:w="15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10,545</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7,283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Property Operating Income (1) (4)</w:t>
            </w:r>
          </w:p>
        </w:tc>
        <w:tc>
          <w:tcPr>
            <w:tcW w:w="1540" w:type="dxa"/>
            <w:vAlign w:val="bottom"/>
          </w:tcPr>
          <w:p>
            <w:pPr>
              <w:ind w:left="146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14,386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12,590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5200" w:type="dxa"/>
            <w:vAlign w:val="bottom"/>
            <w:gridSpan w:val="4"/>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1540" w:type="dxa"/>
            <w:vAlign w:val="bottom"/>
          </w:tcPr>
          <w:p>
            <w:pPr>
              <w:spacing w:after="0"/>
              <w:rPr>
                <w:sz w:val="24"/>
                <w:szCs w:val="2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2,668,000</w:t>
            </w:r>
          </w:p>
        </w:tc>
        <w:tc>
          <w:tcPr>
            <w:tcW w:w="480" w:type="dxa"/>
            <w:vAlign w:val="bottom"/>
          </w:tcPr>
          <w:p>
            <w:pPr>
              <w:spacing w:after="0"/>
              <w:rPr>
                <w:sz w:val="24"/>
                <w:szCs w:val="24"/>
                <w:color w:val="auto"/>
              </w:rPr>
            </w:pP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2,145,000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33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For the year ended December 31,</w:t>
      </w:r>
    </w:p>
    <w:p>
      <w:pPr>
        <w:sectPr>
          <w:pgSz w:w="11900" w:h="16877" w:orient="portrait"/>
          <w:cols w:equalWidth="0" w:num="1">
            <w:col w:w="10600"/>
          </w:cols>
          <w:pgMar w:left="220" w:top="616" w:right="107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6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920" w:type="dxa"/>
            <w:vAlign w:val="bottom"/>
          </w:tcPr>
          <w:p>
            <w:pPr>
              <w:spacing w:after="0"/>
              <w:rPr>
                <w:sz w:val="14"/>
                <w:szCs w:val="14"/>
                <w:color w:val="auto"/>
              </w:rPr>
            </w:pP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Real Estate Assets, at cost (3)</w:t>
            </w:r>
          </w:p>
        </w:tc>
        <w:tc>
          <w:tcPr>
            <w:tcW w:w="32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$ 1,018,939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847,526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606,143</w:t>
            </w:r>
          </w:p>
        </w:tc>
      </w:tr>
      <w:tr>
        <w:trPr>
          <w:trHeight w:val="331"/>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79,028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62,903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50,178</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9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7,095</w:t>
            </w:r>
          </w:p>
        </w:tc>
        <w:tc>
          <w:tcPr>
            <w:tcW w:w="6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4,964</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3,540</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9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3,250</w:t>
            </w:r>
          </w:p>
        </w:tc>
        <w:tc>
          <w:tcPr>
            <w:tcW w:w="6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3,415</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4,465</w:t>
            </w:r>
          </w:p>
        </w:tc>
      </w:tr>
      <w:tr>
        <w:trPr>
          <w:trHeight w:val="166"/>
        </w:trPr>
        <w:tc>
          <w:tcPr>
            <w:tcW w:w="3920" w:type="dxa"/>
            <w:vAlign w:val="bottom"/>
          </w:tcPr>
          <w:p>
            <w:pPr>
              <w:spacing w:after="0"/>
              <w:rPr>
                <w:sz w:val="14"/>
                <w:szCs w:val="14"/>
                <w:color w:val="auto"/>
              </w:rPr>
            </w:pP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980" w:type="dxa"/>
            <w:vAlign w:val="bottom"/>
          </w:tcPr>
          <w:p>
            <w:pPr>
              <w:spacing w:after="0"/>
              <w:rPr>
                <w:sz w:val="24"/>
                <w:szCs w:val="2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89,373</w:t>
            </w:r>
          </w:p>
        </w:tc>
        <w:tc>
          <w:tcPr>
            <w:tcW w:w="60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71,282</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58,183</w:t>
            </w:r>
          </w:p>
        </w:tc>
      </w:tr>
      <w:tr>
        <w:trPr>
          <w:trHeight w:val="331"/>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Rental Expense</w:t>
            </w:r>
          </w:p>
        </w:tc>
        <w:tc>
          <w:tcPr>
            <w:tcW w:w="1980" w:type="dxa"/>
            <w:vAlign w:val="bottom"/>
          </w:tcPr>
          <w:p>
            <w:pPr>
              <w:spacing w:after="0"/>
              <w:rPr>
                <w:sz w:val="24"/>
                <w:szCs w:val="2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32,525</w:t>
            </w:r>
          </w:p>
        </w:tc>
        <w:tc>
          <w:tcPr>
            <w:tcW w:w="60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22,174</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15,032</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 Expense</w:t>
            </w:r>
          </w:p>
        </w:tc>
        <w:tc>
          <w:tcPr>
            <w:tcW w:w="19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7,210</w:t>
            </w:r>
          </w:p>
        </w:tc>
        <w:tc>
          <w:tcPr>
            <w:tcW w:w="6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5,771</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4,696</w:t>
            </w:r>
          </w:p>
        </w:tc>
      </w:tr>
      <w:tr>
        <w:trPr>
          <w:trHeight w:val="166"/>
        </w:trPr>
        <w:tc>
          <w:tcPr>
            <w:tcW w:w="3920" w:type="dxa"/>
            <w:vAlign w:val="bottom"/>
          </w:tcPr>
          <w:p>
            <w:pPr>
              <w:spacing w:after="0"/>
              <w:rPr>
                <w:sz w:val="14"/>
                <w:szCs w:val="14"/>
                <w:color w:val="auto"/>
              </w:rPr>
            </w:pP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Property Operating Expenses</w:t>
            </w:r>
          </w:p>
        </w:tc>
        <w:tc>
          <w:tcPr>
            <w:tcW w:w="1980" w:type="dxa"/>
            <w:vAlign w:val="bottom"/>
          </w:tcPr>
          <w:p>
            <w:pPr>
              <w:spacing w:after="0"/>
              <w:rPr>
                <w:sz w:val="24"/>
                <w:szCs w:val="2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39,735</w:t>
            </w:r>
          </w:p>
        </w:tc>
        <w:tc>
          <w:tcPr>
            <w:tcW w:w="60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27,945</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19,728</w:t>
            </w:r>
          </w:p>
        </w:tc>
      </w:tr>
      <w:tr>
        <w:trPr>
          <w:trHeight w:val="166"/>
        </w:trPr>
        <w:tc>
          <w:tcPr>
            <w:tcW w:w="3920" w:type="dxa"/>
            <w:vAlign w:val="bottom"/>
          </w:tcPr>
          <w:p>
            <w:pPr>
              <w:spacing w:after="0"/>
              <w:rPr>
                <w:sz w:val="14"/>
                <w:szCs w:val="14"/>
                <w:color w:val="auto"/>
              </w:rPr>
            </w:pP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Property Operating Income (1) (4)</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49,638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43,337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38,455</w:t>
            </w:r>
          </w:p>
        </w:tc>
      </w:tr>
      <w:tr>
        <w:trPr>
          <w:trHeight w:val="166"/>
        </w:trPr>
        <w:tc>
          <w:tcPr>
            <w:tcW w:w="3920" w:type="dxa"/>
            <w:vAlign w:val="bottom"/>
          </w:tcPr>
          <w:p>
            <w:pPr>
              <w:spacing w:after="0"/>
              <w:rPr>
                <w:sz w:val="14"/>
                <w:szCs w:val="14"/>
                <w:color w:val="auto"/>
              </w:rPr>
            </w:pP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1980" w:type="dxa"/>
            <w:vAlign w:val="bottom"/>
          </w:tcPr>
          <w:p>
            <w:pPr>
              <w:spacing w:after="0"/>
              <w:rPr>
                <w:sz w:val="24"/>
                <w:szCs w:val="2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2,690,000</w:t>
            </w:r>
          </w:p>
        </w:tc>
        <w:tc>
          <w:tcPr>
            <w:tcW w:w="60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2,232,000</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1,876,000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520" w:hanging="512"/>
        <w:spacing w:after="0"/>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components of property operating income for the periods ended</w:t>
      </w:r>
    </w:p>
    <w:p>
      <w:pPr>
        <w:spacing w:after="0" w:line="7" w:lineRule="exact"/>
        <w:rPr>
          <w:rFonts w:ascii="Courier New" w:cs="Courier New" w:eastAsia="Courier New" w:hAnsi="Courier New"/>
          <w:sz w:val="14"/>
          <w:szCs w:val="14"/>
          <w:color w:val="auto"/>
        </w:rPr>
      </w:pPr>
    </w:p>
    <w:p>
      <w:pPr>
        <w:ind w:left="520" w:right="3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March 31, 2002, December 31, 2001 and December 31, 2000 have been restated for 2002 discontinued asset sales.</w:t>
      </w:r>
    </w:p>
    <w:p>
      <w:pPr>
        <w:ind w:left="520" w:right="3960" w:hanging="512"/>
        <w:spacing w:after="0" w:line="250"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redevelopment square footage not yet in service. Street Retail includes 444,000 square feet of Santana Row Phase I only. It does not include Phase II or any future phases of Santana Row or residential square footage at Santana Row or Rollingwood Apartments.</w:t>
      </w:r>
    </w:p>
    <w:p>
      <w:pPr>
        <w:spacing w:after="0" w:line="1" w:lineRule="exact"/>
        <w:rPr>
          <w:rFonts w:ascii="Courier New" w:cs="Courier New" w:eastAsia="Courier New" w:hAnsi="Courier New"/>
          <w:sz w:val="14"/>
          <w:szCs w:val="14"/>
          <w:color w:val="auto"/>
        </w:rPr>
      </w:pPr>
    </w:p>
    <w:p>
      <w:pPr>
        <w:ind w:left="520" w:right="3880" w:hanging="512"/>
        <w:spacing w:after="0" w:line="250"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Street Retail includes stabilized assets and assets which are in various stages of development and redevelopment. At March 31, 2003, real estate assets include $475 million related to the Santana Row development.</w:t>
      </w:r>
    </w:p>
    <w:p>
      <w:pPr>
        <w:spacing w:after="0" w:line="1" w:lineRule="exact"/>
        <w:rPr>
          <w:rFonts w:ascii="Courier New" w:cs="Courier New" w:eastAsia="Courier New" w:hAnsi="Courier New"/>
          <w:sz w:val="14"/>
          <w:szCs w:val="14"/>
          <w:color w:val="auto"/>
        </w:rPr>
      </w:pPr>
    </w:p>
    <w:p>
      <w:pPr>
        <w:ind w:left="520" w:right="4220" w:hanging="512"/>
        <w:spacing w:after="0" w:line="255"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operating income is reduced by start-up expenses for Street Retail's development projects.</w:t>
      </w:r>
    </w:p>
    <w:p>
      <w:pPr>
        <w:sectPr>
          <w:pgSz w:w="11900" w:h="16838" w:orient="portrait"/>
          <w:cols w:equalWidth="0" w:num="1">
            <w:col w:w="10600"/>
          </w:cols>
          <w:pgMar w:left="220" w:top="141" w:right="1079" w:bottom="1440" w:gutter="0" w:footer="0" w:header="0"/>
        </w:sectPr>
      </w:pPr>
    </w:p>
    <w:bookmarkStart w:id="29" w:name="page30"/>
    <w:bookmarkEnd w:id="29"/>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 (1) - Comparable Basis (cash, non-straight-lined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New Lease Summary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Comparable (2)</w:t>
            </w:r>
          </w:p>
        </w:tc>
        <w:tc>
          <w:tcPr>
            <w:tcW w:w="1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of Total</w:t>
            </w:r>
          </w:p>
        </w:tc>
        <w:tc>
          <w:tcPr>
            <w:tcW w:w="1420" w:type="dxa"/>
            <w:vAlign w:val="bottom"/>
          </w:tcPr>
          <w:p>
            <w:pPr>
              <w:spacing w:after="0"/>
              <w:rPr>
                <w:sz w:val="24"/>
                <w:szCs w:val="2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New Rent (3)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Old Rent (4)</w:t>
            </w:r>
          </w:p>
        </w:tc>
      </w:tr>
      <w:tr>
        <w:trPr>
          <w:trHeight w:val="166"/>
        </w:trPr>
        <w:tc>
          <w:tcPr>
            <w:tcW w:w="29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Quarter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Leases Signed</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Leases Signed</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GLA Signed</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 Sq. Ft.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9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1st Quarter</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166,415</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$ 16.11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$ 12.30</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4th Quarter</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84,857</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$ 14.20</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3rd Quarter</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158,079</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$ 22.23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$ 16.99</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2nd Quarter</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207,888</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$ 15.69</w:t>
            </w:r>
          </w:p>
        </w:tc>
      </w:tr>
      <w:tr>
        <w:trPr>
          <w:trHeight w:val="166"/>
        </w:trPr>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Total - 12 months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617,239</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$ 18.71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$ 14.90</w:t>
            </w:r>
          </w:p>
        </w:tc>
      </w:tr>
      <w:tr>
        <w:trPr>
          <w:trHeight w:val="166"/>
        </w:trPr>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Straight-lined</w:t>
            </w: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Basis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Basis</w:t>
            </w: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Annual</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Increase</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Increase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 Average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Quarter</w:t>
            </w: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Increase in Rent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Over Old Rent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Over Old Rent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 Term (5)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Improvements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1st Quarter 2003</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634,063</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$ 3,245,153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$ 19.50</w:t>
            </w:r>
          </w:p>
        </w:tc>
      </w:tr>
      <w:tr>
        <w:trPr>
          <w:trHeight w:val="166"/>
        </w:trPr>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4th Quarter 2002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220,227</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150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485,714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5.72</w:t>
            </w:r>
          </w:p>
        </w:tc>
      </w:tr>
      <w:tr>
        <w:trPr>
          <w:trHeight w:val="166"/>
        </w:trPr>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3rd Quarter 2002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827,936</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$ 3,038,504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$ 19.22</w:t>
            </w:r>
          </w:p>
        </w:tc>
      </w:tr>
      <w:tr>
        <w:trPr>
          <w:trHeight w:val="166"/>
        </w:trPr>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2nd Quarter 2002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664,412</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50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$ 2,703,314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$ 13.00</w:t>
            </w:r>
          </w:p>
        </w:tc>
      </w:tr>
      <w:tr>
        <w:trPr>
          <w:trHeight w:val="166"/>
        </w:trPr>
        <w:tc>
          <w:tcPr>
            <w:tcW w:w="1900" w:type="dxa"/>
            <w:vAlign w:val="bottom"/>
          </w:tcPr>
          <w:p>
            <w:pPr>
              <w:spacing w:after="0"/>
              <w:rPr>
                <w:sz w:val="14"/>
                <w:szCs w:val="14"/>
                <w:color w:val="auto"/>
              </w:rPr>
            </w:pPr>
          </w:p>
        </w:tc>
        <w:tc>
          <w:tcPr>
            <w:tcW w:w="2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 - 12 months</w:t>
            </w:r>
          </w:p>
        </w:tc>
        <w:tc>
          <w:tcPr>
            <w:tcW w:w="2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$ 2,346,637</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w:t>
            </w:r>
          </w:p>
        </w:tc>
        <w:tc>
          <w:tcPr>
            <w:tcW w:w="150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$ 9,472,685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$ 15.35</w:t>
            </w:r>
          </w:p>
        </w:tc>
      </w:tr>
      <w:tr>
        <w:trPr>
          <w:trHeight w:val="166"/>
        </w:trPr>
        <w:tc>
          <w:tcPr>
            <w:tcW w:w="1900" w:type="dxa"/>
            <w:vAlign w:val="bottom"/>
          </w:tcPr>
          <w:p>
            <w:pPr>
              <w:spacing w:after="0"/>
              <w:rPr>
                <w:sz w:val="14"/>
                <w:szCs w:val="14"/>
                <w:color w:val="auto"/>
              </w:rPr>
            </w:pPr>
          </w:p>
        </w:tc>
        <w:tc>
          <w:tcPr>
            <w:tcW w:w="2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Renewal Lease Summary - Comparable (2)(6)</w:t>
            </w: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2540" w:type="dxa"/>
            <w:vAlign w:val="bottom"/>
          </w:tcPr>
          <w:p>
            <w:pPr>
              <w:spacing w:after="0"/>
              <w:rPr>
                <w:sz w:val="24"/>
                <w:szCs w:val="2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500" w:type="dxa"/>
            <w:vAlign w:val="bottom"/>
          </w:tcPr>
          <w:p>
            <w:pPr>
              <w:spacing w:after="0"/>
              <w:rPr>
                <w:sz w:val="24"/>
                <w:szCs w:val="2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New Rent (3)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Old Rent (4)</w:t>
            </w:r>
          </w:p>
        </w:tc>
      </w:tr>
      <w:tr>
        <w:trPr>
          <w:trHeight w:val="166"/>
        </w:trPr>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Quarter</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Renewals Signed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GLA Signed</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 Sq. Ft.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1st Quarter 2003</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207,725</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$ 16.54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$ 15.14</w:t>
            </w:r>
          </w:p>
        </w:tc>
      </w:tr>
      <w:tr>
        <w:trPr>
          <w:trHeight w:val="166"/>
        </w:trPr>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4th Quarter 2002</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183,151</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$ 20.76</w:t>
            </w:r>
          </w:p>
        </w:tc>
      </w:tr>
      <w:tr>
        <w:trPr>
          <w:trHeight w:val="166"/>
        </w:trPr>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3rd Quarter 2002</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219,027</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$ 16.76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$ 15.16</w:t>
            </w:r>
          </w:p>
        </w:tc>
      </w:tr>
      <w:tr>
        <w:trPr>
          <w:trHeight w:val="166"/>
        </w:trPr>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2nd Quarter 2002</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207,779</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$ 17.34</w:t>
            </w:r>
          </w:p>
        </w:tc>
      </w:tr>
      <w:tr>
        <w:trPr>
          <w:trHeight w:val="166"/>
        </w:trPr>
        <w:tc>
          <w:tcPr>
            <w:tcW w:w="254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Total - 12 months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817,682</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$ 18.42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$ 16.96</w:t>
            </w:r>
          </w:p>
        </w:tc>
      </w:tr>
      <w:tr>
        <w:trPr>
          <w:trHeight w:val="166"/>
        </w:trPr>
        <w:tc>
          <w:tcPr>
            <w:tcW w:w="254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Straight-lined</w:t>
            </w: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Basis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Basis</w:t>
            </w: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Annual</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Increase</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Increase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 Average</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Quarter</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Increase in Rent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Over Old Rent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Over Old Rent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 Term (5)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Improvements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1st Quarter 2003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291,261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315,041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$ 1.52</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4th Quarter 2002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378,702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500" w:type="dxa"/>
            <w:vAlign w:val="bottom"/>
          </w:tcPr>
          <w:p>
            <w:pPr>
              <w:spacing w:after="0"/>
              <w:rPr>
                <w:sz w:val="14"/>
                <w:szCs w:val="14"/>
                <w:color w:val="auto"/>
              </w:rPr>
            </w:pP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564,416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$ 3.08</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3rd Quarter 2002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350,554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75,680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$ 0.35</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2nd Quarter 2002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170,240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spacing w:after="0"/>
              <w:rPr>
                <w:sz w:val="14"/>
                <w:szCs w:val="14"/>
                <w:color w:val="auto"/>
              </w:rPr>
            </w:pP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150,620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$ 0.72</w:t>
            </w:r>
          </w:p>
        </w:tc>
      </w:tr>
      <w:tr>
        <w:trPr>
          <w:trHeight w:val="166"/>
        </w:trPr>
        <w:tc>
          <w:tcPr>
            <w:tcW w:w="1680" w:type="dxa"/>
            <w:vAlign w:val="bottom"/>
          </w:tcPr>
          <w:p>
            <w:pPr>
              <w:spacing w:after="0"/>
              <w:rPr>
                <w:sz w:val="14"/>
                <w:szCs w:val="14"/>
                <w:color w:val="auto"/>
              </w:rPr>
            </w:pP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- 12 months</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$ 1,190,757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w:t>
            </w:r>
          </w:p>
        </w:tc>
        <w:tc>
          <w:tcPr>
            <w:tcW w:w="1500" w:type="dxa"/>
            <w:vAlign w:val="bottom"/>
          </w:tcPr>
          <w:p>
            <w:pPr>
              <w:spacing w:after="0"/>
              <w:rPr>
                <w:sz w:val="14"/>
                <w:szCs w:val="14"/>
                <w:color w:val="auto"/>
              </w:rPr>
            </w:pP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$ 1,105,757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$ 1.35</w:t>
            </w:r>
          </w:p>
        </w:tc>
      </w:tr>
      <w:tr>
        <w:trPr>
          <w:trHeight w:val="166"/>
        </w:trPr>
        <w:tc>
          <w:tcPr>
            <w:tcW w:w="1680" w:type="dxa"/>
            <w:vAlign w:val="bottom"/>
          </w:tcPr>
          <w:p>
            <w:pPr>
              <w:spacing w:after="0"/>
              <w:rPr>
                <w:sz w:val="14"/>
                <w:szCs w:val="14"/>
                <w:color w:val="auto"/>
              </w:rPr>
            </w:pP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Total Lease Summary - Comparable (2)</w:t>
            </w: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3"/>
        </w:trPr>
        <w:tc>
          <w:tcPr>
            <w:tcW w:w="2460" w:type="dxa"/>
            <w:vAlign w:val="bottom"/>
          </w:tcPr>
          <w:p>
            <w:pPr>
              <w:spacing w:after="0"/>
              <w:rPr>
                <w:sz w:val="24"/>
                <w:szCs w:val="24"/>
                <w:color w:val="auto"/>
              </w:rPr>
            </w:pP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  Leases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500" w:type="dxa"/>
            <w:vAlign w:val="bottom"/>
          </w:tcPr>
          <w:p>
            <w:pPr>
              <w:spacing w:after="0"/>
              <w:rPr>
                <w:sz w:val="24"/>
                <w:szCs w:val="24"/>
                <w:color w:val="auto"/>
              </w:rPr>
            </w:pPr>
          </w:p>
        </w:tc>
        <w:tc>
          <w:tcPr>
            <w:tcW w:w="16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New Rent (3)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Old Rent (4)</w:t>
            </w:r>
          </w:p>
        </w:tc>
      </w:tr>
      <w:tr>
        <w:trPr>
          <w:trHeight w:val="166"/>
        </w:trPr>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&amp; Renewals Signed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GLA Signed</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 Sq. Ft.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2003</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374,140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$ 16.35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$ 13.88</w:t>
            </w:r>
          </w:p>
        </w:tc>
      </w:tr>
      <w:tr>
        <w:trPr>
          <w:trHeight w:val="166"/>
        </w:trPr>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2002</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268,008</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$ 20.92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$ 18.69</w:t>
            </w:r>
          </w:p>
        </w:tc>
      </w:tr>
      <w:tr>
        <w:trPr>
          <w:trHeight w:val="166"/>
        </w:trPr>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2002</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377,106</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$ 19.05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$ 15.93</w:t>
            </w:r>
          </w:p>
        </w:tc>
      </w:tr>
      <w:tr>
        <w:trPr>
          <w:trHeight w:val="166"/>
        </w:trPr>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415,667</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$ 18.52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$ 16.51</w:t>
            </w:r>
          </w:p>
        </w:tc>
      </w:tr>
      <w:tr>
        <w:trPr>
          <w:trHeight w:val="166"/>
        </w:trPr>
        <w:tc>
          <w:tcPr>
            <w:tcW w:w="2460" w:type="dxa"/>
            <w:vAlign w:val="bottom"/>
          </w:tcPr>
          <w:p>
            <w:pPr>
              <w:spacing w:after="0"/>
              <w:rPr>
                <w:sz w:val="14"/>
                <w:szCs w:val="14"/>
                <w:color w:val="auto"/>
              </w:rPr>
            </w:pP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323</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1,434,921</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$ 18.54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$ 16.08</w:t>
            </w:r>
          </w:p>
        </w:tc>
      </w:tr>
      <w:tr>
        <w:trPr>
          <w:trHeight w:val="166"/>
        </w:trPr>
        <w:tc>
          <w:tcPr>
            <w:tcW w:w="2460" w:type="dxa"/>
            <w:vAlign w:val="bottom"/>
          </w:tcPr>
          <w:p>
            <w:pPr>
              <w:spacing w:after="0"/>
              <w:rPr>
                <w:sz w:val="14"/>
                <w:szCs w:val="14"/>
                <w:color w:val="auto"/>
              </w:rPr>
            </w:pP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Straight-lined</w:t>
            </w: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Basis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Basis</w:t>
            </w: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Annual</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Increase</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Increase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 Average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Quarter</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Increase in Rent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Over Old Rent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Over Old Rent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 Term (5)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Improvements</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1st Quarter 2003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925,325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$ 3,560,194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9.52</w:t>
            </w:r>
          </w:p>
        </w:tc>
      </w:tr>
      <w:tr>
        <w:trPr>
          <w:trHeight w:val="166"/>
        </w:trPr>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4th Quarter 2002</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598,929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50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$ 1,050,130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w:t>
            </w:r>
          </w:p>
        </w:tc>
      </w:tr>
    </w:tbl>
    <w:p>
      <w:pPr>
        <w:sectPr>
          <w:pgSz w:w="11900" w:h="16880" w:orient="portrait"/>
          <w:cols w:equalWidth="0" w:num="1">
            <w:col w:w="11380"/>
          </w:cols>
          <w:pgMar w:left="220" w:top="616" w:right="299" w:bottom="0" w:gutter="0" w:footer="0" w:header="0"/>
        </w:sectPr>
      </w:pPr>
    </w:p>
    <w:bookmarkStart w:id="30" w:name="page31"/>
    <w:bookmarkEnd w:id="30"/>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3rd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19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$ 1,178,490</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2nd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834,652</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184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3,537,395</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right="1340"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on this report represent retail activity only; office and residential leases are not included.</w:t>
      </w:r>
    </w:p>
    <w:p>
      <w:pPr>
        <w:ind w:left="440" w:right="580"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leases represent those leases signed on spaces for which there was a former tenant.</w:t>
      </w:r>
    </w:p>
    <w:p>
      <w:pPr>
        <w:ind w:left="440" w:right="660"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Rent represents contractual Minimum Rent under the new lease for the first 12 months of the term.</w:t>
      </w:r>
    </w:p>
    <w:p>
      <w:pPr>
        <w:ind w:left="440" w:right="840"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Old Rent represents Minimum Rent and Percentage Rent paid by the prior tenant in the final 12 months of the term.</w:t>
      </w:r>
    </w:p>
    <w:p>
      <w:pPr>
        <w:ind w:left="440" w:hanging="432"/>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is determined on the basis of square footage.</w:t>
      </w:r>
    </w:p>
    <w:p>
      <w:pPr>
        <w:spacing w:after="0" w:line="7" w:lineRule="exact"/>
        <w:rPr>
          <w:rFonts w:ascii="Courier New" w:cs="Courier New" w:eastAsia="Courier New" w:hAnsi="Courier New"/>
          <w:sz w:val="14"/>
          <w:szCs w:val="14"/>
          <w:color w:val="auto"/>
        </w:rPr>
      </w:pPr>
    </w:p>
    <w:p>
      <w:pPr>
        <w:ind w:left="440" w:right="400" w:hanging="432"/>
        <w:spacing w:after="0" w:line="255"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represent expiring leases rolling over with the same tenant. All other leases are categorized as new.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7.6</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$ 3,114,184</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$ 8.26</w:t>
            </w:r>
          </w:p>
        </w:tc>
      </w:tr>
      <w:tr>
        <w:trPr>
          <w:trHeight w:val="166"/>
        </w:trPr>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8.1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2,853,934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6.87</w:t>
            </w:r>
          </w:p>
        </w:tc>
      </w:tr>
      <w:tr>
        <w:trPr>
          <w:trHeight w:val="166"/>
        </w:trPr>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7.0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9,456,499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6.59</w:t>
            </w:r>
          </w:p>
        </w:tc>
      </w:tr>
      <w:tr>
        <w:trPr>
          <w:trHeight w:val="166"/>
        </w:trPr>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300" w:space="720"/>
            <w:col w:w="3180"/>
          </w:cols>
          <w:pgMar w:left="220" w:top="141" w:right="479" w:bottom="1440" w:gutter="0" w:footer="0" w:header="0"/>
        </w:sectPr>
      </w:pPr>
    </w:p>
    <w:bookmarkStart w:id="31" w:name="page32"/>
    <w:bookmarkEnd w:id="31"/>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right="4580"/>
        <w:spacing w:after="0" w:line="250" w:lineRule="auto"/>
        <w:rPr>
          <w:sz w:val="20"/>
          <w:szCs w:val="20"/>
          <w:color w:val="auto"/>
        </w:rPr>
      </w:pPr>
      <w:r>
        <w:rPr>
          <w:rFonts w:ascii="Courier New" w:cs="Courier New" w:eastAsia="Courier New" w:hAnsi="Courier New"/>
          <w:sz w:val="14"/>
          <w:szCs w:val="14"/>
          <w:color w:val="auto"/>
        </w:rPr>
        <w:t>Retail Leasing Summary (1) - Non-Comparable Basis (cash, non-straight-lined basis)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Lease Summary - Non-Comparable (2)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 of Total</w:t>
            </w:r>
          </w:p>
        </w:tc>
        <w:tc>
          <w:tcPr>
            <w:tcW w:w="156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New Rent (3)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GLA Signed</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Per Sq. Ft.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 Term (4)</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2003</w:t>
            </w:r>
          </w:p>
        </w:tc>
        <w:tc>
          <w:tcPr>
            <w:tcW w:w="122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150,407</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$ 34.48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44,874</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$ 29.89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96,327</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$ 31.55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27,236</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$ 48.03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318,844</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$ 34.10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Tenant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Improvements</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1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Per Sq. Ft.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436,775</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225,118</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653,631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$ 1,315,525</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700" w:type="dxa"/>
            <w:vAlign w:val="bottom"/>
            <w:gridSpan w:val="3"/>
          </w:tcPr>
          <w:p>
            <w:pPr>
              <w:spacing w:after="0"/>
              <w:rPr>
                <w:sz w:val="20"/>
                <w:szCs w:val="20"/>
                <w:color w:val="auto"/>
              </w:rPr>
            </w:pPr>
            <w:r>
              <w:rPr>
                <w:rFonts w:ascii="Courier New" w:cs="Courier New" w:eastAsia="Courier New" w:hAnsi="Courier New"/>
                <w:sz w:val="14"/>
                <w:szCs w:val="14"/>
                <w:color w:val="auto"/>
              </w:rPr>
              <w:t>Renewal Lease Summary - Non-Comparable (2)(5)</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63"/>
        </w:trPr>
        <w:tc>
          <w:tcPr>
            <w:tcW w:w="2540" w:type="dxa"/>
            <w:vAlign w:val="bottom"/>
          </w:tcPr>
          <w:p>
            <w:pPr>
              <w:spacing w:after="0"/>
              <w:rPr>
                <w:sz w:val="24"/>
                <w:szCs w:val="2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5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 of Total</w:t>
            </w:r>
          </w:p>
        </w:tc>
        <w:tc>
          <w:tcPr>
            <w:tcW w:w="1560" w:type="dxa"/>
            <w:vAlign w:val="bottom"/>
          </w:tcPr>
          <w:p>
            <w:pPr>
              <w:spacing w:after="0"/>
              <w:rPr>
                <w:sz w:val="24"/>
                <w:szCs w:val="24"/>
                <w:color w:val="auto"/>
              </w:rPr>
            </w:pP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New Rent (3)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Renewals Signed</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GLA Signed</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Per Sq. Ft.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 Term (4)</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2002</w:t>
            </w:r>
          </w:p>
        </w:tc>
        <w:tc>
          <w:tcPr>
            <w:tcW w:w="122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7,473</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$ 11.58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16,142</w:t>
            </w:r>
          </w:p>
        </w:tc>
        <w:tc>
          <w:tcPr>
            <w:tcW w:w="8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$ 5.36</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Tenant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Improvements</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Per Sq. Ft.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Total Lease Summary - Non-Comparable (2)</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63"/>
        </w:trPr>
        <w:tc>
          <w:tcPr>
            <w:tcW w:w="25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w:t>
            </w:r>
          </w:p>
        </w:tc>
        <w:tc>
          <w:tcPr>
            <w:tcW w:w="5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 of Total</w:t>
            </w:r>
          </w:p>
        </w:tc>
        <w:tc>
          <w:tcPr>
            <w:tcW w:w="1560" w:type="dxa"/>
            <w:vAlign w:val="bottom"/>
          </w:tcPr>
          <w:p>
            <w:pPr>
              <w:spacing w:after="0"/>
              <w:rPr>
                <w:sz w:val="24"/>
                <w:szCs w:val="24"/>
                <w:color w:val="auto"/>
              </w:rPr>
            </w:pP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New Rent (3)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&amp; Renewals Signed</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GLA Signed</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Per Sq. Ft.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Lease Term (4)</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2002</w:t>
            </w:r>
          </w:p>
        </w:tc>
        <w:tc>
          <w:tcPr>
            <w:tcW w:w="122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157,880</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$ 33.39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44,874</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$ 29.89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104,996</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2002</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27,236</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$ 48.03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334,986</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$ 32.72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Tenant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Improvements</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Per Sq. Ft.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436,775</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225,118</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653,631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6.23</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$ 1,315,525</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ectPr>
          <w:pgSz w:w="11900" w:h="16880" w:orient="portrait"/>
          <w:cols w:equalWidth="0" w:num="1">
            <w:col w:w="11040"/>
          </w:cols>
          <w:pgMar w:left="220" w:top="616" w:right="639"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right="4279"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on this report represent retail activity only; office and residential leases are not included.</w:t>
      </w:r>
    </w:p>
    <w:p>
      <w:pPr>
        <w:ind w:left="440" w:right="3419"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Non-comparable leases represent those leases signed on spaces for which there was no former tenant, or expansion square footage for leases rolling over for which there was no former tenant.</w:t>
      </w:r>
    </w:p>
    <w:p>
      <w:pPr>
        <w:spacing w:after="0" w:line="1" w:lineRule="exact"/>
        <w:rPr>
          <w:rFonts w:ascii="Courier New" w:cs="Courier New" w:eastAsia="Courier New" w:hAnsi="Courier New"/>
          <w:sz w:val="14"/>
          <w:szCs w:val="14"/>
          <w:color w:val="auto"/>
        </w:rPr>
      </w:pPr>
    </w:p>
    <w:p>
      <w:pPr>
        <w:ind w:left="440" w:right="3599"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Rent represents contractual Minimum Rent under the new lease for the first 12 months of the term.</w:t>
      </w: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is determined on the basis of square footage.</w:t>
      </w:r>
    </w:p>
    <w:p>
      <w:pPr>
        <w:spacing w:after="0" w:line="7"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represent expiring leases rolling over with the same tenant. All other leases are categorized as new.</w:t>
      </w:r>
    </w:p>
    <w:p>
      <w:pPr>
        <w:sectPr>
          <w:pgSz w:w="11900" w:h="16838" w:orient="portrait"/>
          <w:cols w:equalWidth="0" w:num="1">
            <w:col w:w="10239"/>
          </w:cols>
          <w:pgMar w:left="220" w:top="473" w:right="1440" w:bottom="1440" w:gutter="0" w:footer="0" w:header="0"/>
        </w:sectPr>
      </w:pPr>
    </w:p>
    <w:bookmarkStart w:id="33" w:name="page34"/>
    <w:bookmarkEnd w:id="33"/>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Assumes no exercise of lease options</w:t>
      </w:r>
    </w:p>
    <w:p>
      <w:pPr>
        <w:spacing w:after="0" w:line="200" w:lineRule="exact"/>
        <w:rPr>
          <w:sz w:val="20"/>
          <w:szCs w:val="20"/>
          <w:color w:val="auto"/>
        </w:rPr>
      </w:pPr>
    </w:p>
    <w:p>
      <w:pPr>
        <w:spacing w:after="0" w:line="304" w:lineRule="exact"/>
        <w:rPr>
          <w:sz w:val="20"/>
          <w:szCs w:val="20"/>
          <w:color w:val="auto"/>
        </w:rPr>
      </w:pPr>
    </w:p>
    <w:p>
      <w:pPr>
        <w:ind w:left="3460"/>
        <w:spacing w:after="0"/>
        <w:tabs>
          <w:tab w:leader="none" w:pos="8260" w:val="left"/>
        </w:tabs>
        <w:rPr>
          <w:sz w:val="20"/>
          <w:szCs w:val="20"/>
          <w:color w:val="auto"/>
        </w:rPr>
      </w:pPr>
      <w:r>
        <w:rPr>
          <w:rFonts w:ascii="Courier New" w:cs="Courier New" w:eastAsia="Courier New" w:hAnsi="Courier New"/>
          <w:sz w:val="14"/>
          <w:szCs w:val="14"/>
          <w:color w:val="auto"/>
        </w:rPr>
        <w:t>Anchor Tenants (1)</w:t>
      </w:r>
      <w:r>
        <w:rPr>
          <w:sz w:val="20"/>
          <w:szCs w:val="20"/>
          <w:color w:val="auto"/>
        </w:rPr>
        <w:tab/>
      </w:r>
      <w:r>
        <w:rPr>
          <w:rFonts w:ascii="Courier New" w:cs="Courier New" w:eastAsia="Courier New" w:hAnsi="Courier New"/>
          <w:sz w:val="14"/>
          <w:szCs w:val="14"/>
          <w:color w:val="auto"/>
        </w:rPr>
        <w:t>Small Shop Tenants</w:t>
      </w:r>
    </w:p>
    <w:p>
      <w:pPr>
        <w:spacing w:after="0" w:line="7" w:lineRule="exact"/>
        <w:rPr>
          <w:sz w:val="20"/>
          <w:szCs w:val="20"/>
          <w:color w:val="auto"/>
        </w:rPr>
      </w:pPr>
    </w:p>
    <w:p>
      <w:pPr>
        <w:ind w:left="3460"/>
        <w:spacing w:after="0"/>
        <w:tabs>
          <w:tab w:leader="none" w:pos="8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5500" w:val="left"/>
          <w:tab w:leader="none" w:pos="8600" w:val="left"/>
          <w:tab w:leader="none" w:pos="10060" w:val="left"/>
        </w:tabs>
        <w:rPr>
          <w:sz w:val="20"/>
          <w:szCs w:val="20"/>
          <w:color w:val="auto"/>
        </w:rPr>
      </w:pP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Minimum Rent</w:t>
      </w:r>
      <w:r>
        <w:rPr>
          <w:sz w:val="20"/>
          <w:szCs w:val="20"/>
          <w:color w:val="auto"/>
        </w:rPr>
        <w:tab/>
      </w:r>
      <w:r>
        <w:rPr>
          <w:rFonts w:ascii="Courier New" w:cs="Courier New" w:eastAsia="Courier New" w:hAnsi="Courier New"/>
          <w:sz w:val="14"/>
          <w:szCs w:val="14"/>
          <w:color w:val="auto"/>
        </w:rPr>
        <w:t>% of Small</w:t>
      </w:r>
      <w:r>
        <w:rPr>
          <w:sz w:val="20"/>
          <w:szCs w:val="20"/>
          <w:color w:val="auto"/>
        </w:rPr>
        <w:tab/>
      </w:r>
      <w:r>
        <w:rPr>
          <w:rFonts w:ascii="Courier New" w:cs="Courier New" w:eastAsia="Courier New" w:hAnsi="Courier New"/>
          <w:sz w:val="14"/>
          <w:szCs w:val="14"/>
          <w:color w:val="auto"/>
        </w:rPr>
        <w:t>Minimum Rent</w:t>
      </w:r>
    </w:p>
    <w:p>
      <w:pPr>
        <w:spacing w:after="0" w:line="7" w:lineRule="exact"/>
        <w:rPr>
          <w:sz w:val="20"/>
          <w:szCs w:val="20"/>
          <w:color w:val="auto"/>
        </w:rPr>
      </w:pPr>
    </w:p>
    <w:p>
      <w:pPr>
        <w:ind w:left="860"/>
        <w:spacing w:after="0"/>
        <w:tabs>
          <w:tab w:leader="none" w:pos="2060" w:val="left"/>
          <w:tab w:leader="none" w:pos="4120" w:val="left"/>
          <w:tab w:leader="none" w:pos="5940" w:val="left"/>
          <w:tab w:leader="none" w:pos="7140" w:val="left"/>
          <w:tab w:leader="none" w:pos="8860" w:val="left"/>
          <w:tab w:leader="none" w:pos="105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Expiring SF</w:t>
      </w:r>
      <w:r>
        <w:rPr>
          <w:sz w:val="20"/>
          <w:szCs w:val="20"/>
          <w:color w:val="auto"/>
        </w:rPr>
        <w:tab/>
      </w:r>
      <w:r>
        <w:rPr>
          <w:rFonts w:ascii="Courier New" w:cs="Courier New" w:eastAsia="Courier New" w:hAnsi="Courier New"/>
          <w:sz w:val="14"/>
          <w:szCs w:val="14"/>
          <w:color w:val="auto"/>
        </w:rPr>
        <w:t>Anchor SF</w:t>
      </w:r>
      <w:r>
        <w:rPr>
          <w:sz w:val="20"/>
          <w:szCs w:val="20"/>
          <w:color w:val="auto"/>
        </w:rPr>
        <w:tab/>
      </w:r>
      <w:r>
        <w:rPr>
          <w:rFonts w:ascii="Courier New" w:cs="Courier New" w:eastAsia="Courier New" w:hAnsi="Courier New"/>
          <w:sz w:val="14"/>
          <w:szCs w:val="14"/>
          <w:color w:val="auto"/>
        </w:rPr>
        <w:t>PSF</w:t>
      </w:r>
      <w:r>
        <w:rPr>
          <w:sz w:val="20"/>
          <w:szCs w:val="20"/>
          <w:color w:val="auto"/>
        </w:rPr>
        <w:tab/>
      </w:r>
      <w:r>
        <w:rPr>
          <w:rFonts w:ascii="Courier New" w:cs="Courier New" w:eastAsia="Courier New" w:hAnsi="Courier New"/>
          <w:sz w:val="14"/>
          <w:szCs w:val="14"/>
          <w:color w:val="auto"/>
        </w:rPr>
        <w:t>Expiring SF</w:t>
      </w:r>
      <w:r>
        <w:rPr>
          <w:sz w:val="20"/>
          <w:szCs w:val="20"/>
          <w:color w:val="auto"/>
        </w:rPr>
        <w:tab/>
      </w:r>
      <w:r>
        <w:rPr>
          <w:rFonts w:ascii="Courier New" w:cs="Courier New" w:eastAsia="Courier New" w:hAnsi="Courier New"/>
          <w:sz w:val="14"/>
          <w:szCs w:val="14"/>
          <w:color w:val="auto"/>
        </w:rPr>
        <w:t>Shop SF</w:t>
      </w:r>
      <w:r>
        <w:rPr>
          <w:sz w:val="20"/>
          <w:szCs w:val="20"/>
          <w:color w:val="auto"/>
        </w:rPr>
        <w:tab/>
      </w:r>
      <w:r>
        <w:rPr>
          <w:rFonts w:ascii="Courier New" w:cs="Courier New" w:eastAsia="Courier New" w:hAnsi="Courier New"/>
          <w:sz w:val="14"/>
          <w:szCs w:val="14"/>
          <w:color w:val="auto"/>
        </w:rPr>
        <w:t>PSF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3.46</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460,000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$ 20.32</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908,000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6.74</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795,000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$ 22.11</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538,000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$ 12.21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896,000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$ 23.17</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479,000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$ 11.52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863,000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$ 24.99</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730,000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$ 10.13</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949,000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$ 26.03</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2008</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919,000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$ 12.12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668,000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$ 24.07</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2009</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572,000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$ 12.27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$ 33.41</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2010</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$ 12.98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299,000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$ 26.67</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2011</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416,000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$ 21.26</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387,000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$ 33.03</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2012</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550,000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$ 14.05</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$ 42.92</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Thereafter</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2,764,000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$ 15.48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575,000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$ 33.42</w:t>
            </w:r>
          </w:p>
        </w:tc>
      </w:tr>
      <w:tr>
        <w:trPr>
          <w:trHeight w:val="166"/>
        </w:trPr>
        <w:tc>
          <w:tcPr>
            <w:tcW w:w="1340" w:type="dxa"/>
            <w:vAlign w:val="bottom"/>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(2)</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8,202,000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$ 12.96</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6,605,000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$ 26.77</w:t>
            </w:r>
          </w:p>
        </w:tc>
      </w:tr>
      <w:tr>
        <w:trPr>
          <w:trHeight w:val="166"/>
        </w:trPr>
        <w:tc>
          <w:tcPr>
            <w:tcW w:w="1340" w:type="dxa"/>
            <w:vAlign w:val="bottom"/>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of Total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Minimum Rent</w:t>
            </w:r>
          </w:p>
        </w:tc>
      </w:tr>
      <w:tr>
        <w:trPr>
          <w:trHeight w:val="166"/>
        </w:trPr>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Year</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Expiring SF</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SF</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PSF</w:t>
            </w:r>
          </w:p>
        </w:tc>
      </w:tr>
      <w:tr>
        <w:trPr>
          <w:trHeight w:val="166"/>
        </w:trPr>
        <w:tc>
          <w:tcPr>
            <w:tcW w:w="6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$ 17.07</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1,703,000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$ 13.91</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1,434,000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$ 19.06</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$ 20.18</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$ 19.12</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2008</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1,587,000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$ 17.15</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2009</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$ 20.93</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2010</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514,000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$ 20.94</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2011</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803,000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$ 26.94</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2012</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867,000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$ 24.57</w:t>
            </w:r>
          </w:p>
        </w:tc>
      </w:tr>
      <w:tr>
        <w:trPr>
          <w:trHeight w:val="166"/>
        </w:trPr>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Thereafter</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$ 18.57</w:t>
            </w:r>
          </w:p>
        </w:tc>
      </w:tr>
      <w:tr>
        <w:trPr>
          <w:trHeight w:val="166"/>
        </w:trPr>
        <w:tc>
          <w:tcPr>
            <w:tcW w:w="1680" w:type="dxa"/>
            <w:vAlign w:val="bottom"/>
          </w:tcPr>
          <w:p>
            <w:pPr>
              <w:spacing w:after="0"/>
              <w:rPr>
                <w:sz w:val="14"/>
                <w:szCs w:val="14"/>
                <w:color w:val="auto"/>
              </w:rPr>
            </w:pP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(2)</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14,807,000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$ 19.12</w:t>
            </w:r>
          </w:p>
        </w:tc>
      </w:tr>
      <w:tr>
        <w:trPr>
          <w:trHeight w:val="166"/>
        </w:trPr>
        <w:tc>
          <w:tcPr>
            <w:tcW w:w="1680" w:type="dxa"/>
            <w:vAlign w:val="bottom"/>
          </w:tcPr>
          <w:p>
            <w:pPr>
              <w:spacing w:after="0"/>
              <w:rPr>
                <w:sz w:val="14"/>
                <w:szCs w:val="14"/>
                <w:color w:val="auto"/>
              </w:rPr>
            </w:pP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Assumes lease options are exercised</w:t>
      </w:r>
    </w:p>
    <w:p>
      <w:pPr>
        <w:spacing w:after="0" w:line="200" w:lineRule="exact"/>
        <w:rPr>
          <w:sz w:val="20"/>
          <w:szCs w:val="20"/>
          <w:color w:val="auto"/>
        </w:rPr>
      </w:pPr>
    </w:p>
    <w:p>
      <w:pPr>
        <w:spacing w:after="0" w:line="304" w:lineRule="exact"/>
        <w:rPr>
          <w:sz w:val="20"/>
          <w:szCs w:val="20"/>
          <w:color w:val="auto"/>
        </w:rPr>
      </w:pPr>
    </w:p>
    <w:p>
      <w:pPr>
        <w:ind w:left="3460"/>
        <w:spacing w:after="0"/>
        <w:tabs>
          <w:tab w:leader="none" w:pos="8260" w:val="left"/>
        </w:tabs>
        <w:rPr>
          <w:sz w:val="20"/>
          <w:szCs w:val="20"/>
          <w:color w:val="auto"/>
        </w:rPr>
      </w:pPr>
      <w:r>
        <w:rPr>
          <w:rFonts w:ascii="Courier New" w:cs="Courier New" w:eastAsia="Courier New" w:hAnsi="Courier New"/>
          <w:sz w:val="14"/>
          <w:szCs w:val="14"/>
          <w:color w:val="auto"/>
        </w:rPr>
        <w:t>Anchor Tenants (1)</w:t>
      </w:r>
      <w:r>
        <w:rPr>
          <w:sz w:val="20"/>
          <w:szCs w:val="20"/>
          <w:color w:val="auto"/>
        </w:rPr>
        <w:tab/>
      </w:r>
      <w:r>
        <w:rPr>
          <w:rFonts w:ascii="Courier New" w:cs="Courier New" w:eastAsia="Courier New" w:hAnsi="Courier New"/>
          <w:sz w:val="14"/>
          <w:szCs w:val="14"/>
          <w:color w:val="auto"/>
        </w:rPr>
        <w:t>Small Shop Tenants</w:t>
      </w:r>
    </w:p>
    <w:p>
      <w:pPr>
        <w:spacing w:after="0" w:line="7" w:lineRule="exact"/>
        <w:rPr>
          <w:sz w:val="20"/>
          <w:szCs w:val="20"/>
          <w:color w:val="auto"/>
        </w:rPr>
      </w:pPr>
    </w:p>
    <w:p>
      <w:pPr>
        <w:ind w:left="3460"/>
        <w:spacing w:after="0"/>
        <w:tabs>
          <w:tab w:leader="none" w:pos="8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5500" w:val="left"/>
          <w:tab w:leader="none" w:pos="8680" w:val="left"/>
          <w:tab w:leader="none" w:pos="10060" w:val="left"/>
        </w:tabs>
        <w:rPr>
          <w:sz w:val="20"/>
          <w:szCs w:val="20"/>
          <w:color w:val="auto"/>
        </w:rPr>
      </w:pP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Minimum Rent</w:t>
      </w:r>
      <w:r>
        <w:rPr>
          <w:sz w:val="20"/>
          <w:szCs w:val="20"/>
          <w:color w:val="auto"/>
        </w:rPr>
        <w:tab/>
      </w:r>
      <w:r>
        <w:rPr>
          <w:rFonts w:ascii="Courier New" w:cs="Courier New" w:eastAsia="Courier New" w:hAnsi="Courier New"/>
          <w:sz w:val="14"/>
          <w:szCs w:val="14"/>
          <w:color w:val="auto"/>
        </w:rPr>
        <w:t>% of Small</w:t>
      </w:r>
      <w:r>
        <w:rPr>
          <w:sz w:val="20"/>
          <w:szCs w:val="20"/>
          <w:color w:val="auto"/>
        </w:rPr>
        <w:tab/>
      </w:r>
      <w:r>
        <w:rPr>
          <w:rFonts w:ascii="Courier New" w:cs="Courier New" w:eastAsia="Courier New" w:hAnsi="Courier New"/>
          <w:sz w:val="14"/>
          <w:szCs w:val="14"/>
          <w:color w:val="auto"/>
        </w:rPr>
        <w:t>Minimum Rent</w:t>
      </w:r>
    </w:p>
    <w:p>
      <w:pPr>
        <w:spacing w:after="0" w:line="7" w:lineRule="exact"/>
        <w:rPr>
          <w:sz w:val="20"/>
          <w:szCs w:val="20"/>
          <w:color w:val="auto"/>
        </w:rPr>
      </w:pPr>
    </w:p>
    <w:p>
      <w:pPr>
        <w:ind w:left="860"/>
        <w:spacing w:after="0"/>
        <w:tabs>
          <w:tab w:leader="none" w:pos="2060" w:val="left"/>
          <w:tab w:leader="none" w:pos="4120" w:val="left"/>
          <w:tab w:leader="none" w:pos="5940" w:val="left"/>
          <w:tab w:leader="none" w:pos="6960" w:val="left"/>
          <w:tab w:leader="none" w:pos="8860" w:val="left"/>
          <w:tab w:leader="none" w:pos="105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Expiring SF</w:t>
      </w:r>
      <w:r>
        <w:rPr>
          <w:sz w:val="20"/>
          <w:szCs w:val="20"/>
          <w:color w:val="auto"/>
        </w:rPr>
        <w:tab/>
      </w:r>
      <w:r>
        <w:rPr>
          <w:rFonts w:ascii="Courier New" w:cs="Courier New" w:eastAsia="Courier New" w:hAnsi="Courier New"/>
          <w:sz w:val="14"/>
          <w:szCs w:val="14"/>
          <w:color w:val="auto"/>
        </w:rPr>
        <w:t>Anchor SF</w:t>
      </w:r>
      <w:r>
        <w:rPr>
          <w:sz w:val="20"/>
          <w:szCs w:val="20"/>
          <w:color w:val="auto"/>
        </w:rPr>
        <w:tab/>
      </w:r>
      <w:r>
        <w:rPr>
          <w:rFonts w:ascii="Courier New" w:cs="Courier New" w:eastAsia="Courier New" w:hAnsi="Courier New"/>
          <w:sz w:val="14"/>
          <w:szCs w:val="14"/>
          <w:color w:val="auto"/>
        </w:rPr>
        <w:t>PSF</w:t>
      </w:r>
      <w:r>
        <w:rPr>
          <w:sz w:val="20"/>
          <w:szCs w:val="20"/>
          <w:color w:val="auto"/>
        </w:rPr>
        <w:tab/>
      </w:r>
      <w:r>
        <w:rPr>
          <w:rFonts w:ascii="Courier New" w:cs="Courier New" w:eastAsia="Courier New" w:hAnsi="Courier New"/>
          <w:sz w:val="14"/>
          <w:szCs w:val="14"/>
          <w:color w:val="auto"/>
        </w:rPr>
        <w:t>Expiring SF</w:t>
      </w:r>
      <w:r>
        <w:rPr>
          <w:sz w:val="20"/>
          <w:szCs w:val="20"/>
          <w:color w:val="auto"/>
        </w:rPr>
        <w:tab/>
      </w:r>
      <w:r>
        <w:rPr>
          <w:rFonts w:ascii="Courier New" w:cs="Courier New" w:eastAsia="Courier New" w:hAnsi="Courier New"/>
          <w:sz w:val="14"/>
          <w:szCs w:val="14"/>
          <w:color w:val="auto"/>
        </w:rPr>
        <w:t>Shop SF</w:t>
      </w:r>
      <w:r>
        <w:rPr>
          <w:sz w:val="20"/>
          <w:szCs w:val="20"/>
          <w:color w:val="auto"/>
        </w:rPr>
        <w:tab/>
      </w:r>
      <w:r>
        <w:rPr>
          <w:rFonts w:ascii="Courier New" w:cs="Courier New" w:eastAsia="Courier New" w:hAnsi="Courier New"/>
          <w:sz w:val="14"/>
          <w:szCs w:val="14"/>
          <w:color w:val="auto"/>
        </w:rPr>
        <w:t>PSF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345,000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$ 20.14</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171,000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512,000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$ 23.09</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$ 15.58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546,000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$ 24.00</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$ 12.27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546,000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$ 27.61</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597,000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$ 25.56</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2008</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$ 12.72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503,000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$ 24.13</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2009</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355,000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$ 11.18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391,000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$ 33.24</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2010</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$ 13.48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354,000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$ 29.74</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2011</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$ 23.89</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432,000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$ 27.46</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2012</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$ 14.49</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421,000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$ 36.88</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Thereafter</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6,730,000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$ 17.27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1,958,000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$ 32.57</w:t>
            </w:r>
          </w:p>
        </w:tc>
      </w:tr>
      <w:tr>
        <w:trPr>
          <w:trHeight w:val="166"/>
        </w:trPr>
        <w:tc>
          <w:tcPr>
            <w:tcW w:w="1340" w:type="dxa"/>
            <w:vAlign w:val="bottom"/>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(3)</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8,202,000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$ 16.37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6,605,000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$ 28.62</w:t>
            </w:r>
          </w:p>
        </w:tc>
      </w:tr>
      <w:tr>
        <w:trPr>
          <w:trHeight w:val="166"/>
        </w:trPr>
        <w:tc>
          <w:tcPr>
            <w:tcW w:w="1340" w:type="dxa"/>
            <w:vAlign w:val="bottom"/>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tabs>
          <w:tab w:leader="none" w:pos="5840" w:val="left"/>
        </w:tabs>
        <w:rPr>
          <w:sz w:val="20"/>
          <w:szCs w:val="20"/>
          <w:color w:val="auto"/>
        </w:rPr>
      </w:pPr>
      <w:r>
        <w:rPr>
          <w:rFonts w:ascii="Courier New" w:cs="Courier New" w:eastAsia="Courier New" w:hAnsi="Courier New"/>
          <w:sz w:val="14"/>
          <w:szCs w:val="14"/>
          <w:color w:val="auto"/>
        </w:rPr>
        <w:t>% of Total</w:t>
      </w:r>
      <w:r>
        <w:rPr>
          <w:sz w:val="20"/>
          <w:szCs w:val="20"/>
          <w:color w:val="auto"/>
        </w:rPr>
        <w:tab/>
      </w:r>
      <w:r>
        <w:rPr>
          <w:rFonts w:ascii="Courier New" w:cs="Courier New" w:eastAsia="Courier New" w:hAnsi="Courier New"/>
          <w:sz w:val="14"/>
          <w:szCs w:val="14"/>
          <w:color w:val="auto"/>
        </w:rPr>
        <w:t>Minimum Rent</w:t>
      </w:r>
    </w:p>
    <w:p>
      <w:pPr>
        <w:spacing w:after="0" w:line="7" w:lineRule="exact"/>
        <w:rPr>
          <w:sz w:val="20"/>
          <w:szCs w:val="20"/>
          <w:color w:val="auto"/>
        </w:rPr>
      </w:pPr>
    </w:p>
    <w:p>
      <w:pPr>
        <w:ind w:left="860"/>
        <w:spacing w:after="0"/>
        <w:tabs>
          <w:tab w:leader="none" w:pos="2400" w:val="left"/>
          <w:tab w:leader="none" w:pos="4720" w:val="left"/>
          <w:tab w:leader="none" w:pos="628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Expiring SF</w:t>
      </w:r>
      <w:r>
        <w:rPr>
          <w:sz w:val="20"/>
          <w:szCs w:val="20"/>
          <w:color w:val="auto"/>
        </w:rPr>
        <w:tab/>
      </w:r>
      <w:r>
        <w:rPr>
          <w:rFonts w:ascii="Courier New" w:cs="Courier New" w:eastAsia="Courier New" w:hAnsi="Courier New"/>
          <w:sz w:val="14"/>
          <w:szCs w:val="14"/>
          <w:color w:val="auto"/>
        </w:rPr>
        <w:t>SF</w:t>
      </w:r>
      <w:r>
        <w:rPr>
          <w:sz w:val="20"/>
          <w:szCs w:val="20"/>
          <w:color w:val="auto"/>
        </w:rPr>
        <w:tab/>
      </w:r>
      <w:r>
        <w:rPr>
          <w:rFonts w:ascii="Courier New" w:cs="Courier New" w:eastAsia="Courier New" w:hAnsi="Courier New"/>
          <w:sz w:val="14"/>
          <w:szCs w:val="14"/>
          <w:color w:val="auto"/>
        </w:rPr>
        <w:t>PSF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345,000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683,000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19.06</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565,000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23.71</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600,000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26.23</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738,000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21.58</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2008</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653,000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21.51</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2009</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746,000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22.74</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2010</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512,000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24.72</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2011</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546,000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26.72</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2012</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731,000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27.39</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Thereafter</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8,688,000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20.72</w:t>
            </w:r>
          </w:p>
        </w:tc>
      </w:tr>
    </w:tbl>
    <w:p>
      <w:pPr>
        <w:sectPr>
          <w:pgSz w:w="11900" w:h="16880" w:orient="portrait"/>
          <w:cols w:equalWidth="0" w:num="1">
            <w:col w:w="11120"/>
          </w:cols>
          <w:pgMar w:left="220" w:top="616" w:right="559" w:bottom="0" w:gutter="0" w:footer="0" w:header="0"/>
        </w:sectPr>
      </w:pPr>
    </w:p>
    <w:bookmarkStart w:id="34" w:name="page35"/>
    <w:bookmarkEnd w:id="34"/>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Total   (3)</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14,807,000</w:t>
            </w: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$ 21.83</w:t>
            </w:r>
          </w:p>
        </w:tc>
      </w:tr>
      <w:tr>
        <w:trPr>
          <w:trHeight w:val="166"/>
        </w:trPr>
        <w:tc>
          <w:tcPr>
            <w:tcW w:w="1300" w:type="dxa"/>
            <w:vAlign w:val="bottom"/>
          </w:tcPr>
          <w:p>
            <w:pPr>
              <w:spacing w:after="0"/>
              <w:rPr>
                <w:sz w:val="14"/>
                <w:szCs w:val="14"/>
                <w:color w:val="auto"/>
              </w:rPr>
            </w:pP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hanging="432"/>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is defined as a tenant leasing 15,000 square feet or more.</w:t>
      </w:r>
    </w:p>
    <w:p>
      <w:pPr>
        <w:spacing w:after="0" w:line="7" w:lineRule="exact"/>
        <w:rPr>
          <w:rFonts w:ascii="Courier New" w:cs="Courier New" w:eastAsia="Courier New" w:hAnsi="Courier New"/>
          <w:sz w:val="14"/>
          <w:szCs w:val="14"/>
          <w:color w:val="auto"/>
        </w:rPr>
      </w:pPr>
    </w:p>
    <w:p>
      <w:pPr>
        <w:ind w:left="440" w:right="3419"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Rent reflects contractual rent at the end of the term or option. For leases with CPI or market based increases, such increases are excluded from analysis.</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occupied square footage as of March 31, 2003.</w:t>
      </w:r>
    </w:p>
    <w:p>
      <w:pPr>
        <w:sectPr>
          <w:pgSz w:w="11900" w:h="16838" w:orient="portrait"/>
          <w:cols w:equalWidth="0" w:num="1">
            <w:col w:w="10239"/>
          </w:cols>
          <w:pgMar w:left="220" w:top="14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Overall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Overall Occupancy (1)</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(Quarter to Quarter Analysis)</w:t>
            </w:r>
          </w:p>
        </w:tc>
        <w:tc>
          <w:tcPr>
            <w:tcW w:w="366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At March 31, 2003 (3)</w:t>
            </w:r>
          </w:p>
        </w:tc>
        <w:tc>
          <w:tcPr>
            <w:tcW w:w="1200" w:type="dxa"/>
            <w:vAlign w:val="bottom"/>
          </w:tcPr>
          <w:p>
            <w:pPr>
              <w:spacing w:after="0"/>
              <w:rPr>
                <w:sz w:val="14"/>
                <w:szCs w:val="14"/>
                <w:color w:val="auto"/>
              </w:rPr>
            </w:pPr>
          </w:p>
        </w:tc>
        <w:tc>
          <w:tcPr>
            <w:tcW w:w="20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At March 31, 2002</w:t>
            </w:r>
          </w:p>
        </w:tc>
      </w:tr>
      <w:tr>
        <w:trPr>
          <w:trHeight w:val="166"/>
        </w:trPr>
        <w:tc>
          <w:tcPr>
            <w:tcW w:w="4660" w:type="dxa"/>
            <w:vAlign w:val="bottom"/>
          </w:tcPr>
          <w:p>
            <w:pPr>
              <w:spacing w:after="0"/>
              <w:rPr>
                <w:sz w:val="14"/>
                <w:szCs w:val="14"/>
                <w:color w:val="auto"/>
              </w:rPr>
            </w:pPr>
          </w:p>
        </w:tc>
        <w:tc>
          <w:tcPr>
            <w:tcW w:w="68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Size</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Retail Properties - Excluding Santana Row  (2)</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15,254,267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14,486,515</w:t>
            </w:r>
          </w:p>
        </w:tc>
        <w:tc>
          <w:tcPr>
            <w:tcW w:w="11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95.0%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14,863,000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14,201,000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Retail Properties - Including Santana Row Phase I (2)</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15,697,961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14,807,131</w:t>
            </w:r>
          </w:p>
        </w:tc>
        <w:tc>
          <w:tcPr>
            <w:tcW w:w="11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94.3%</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 (4)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w:t>
            </w:r>
          </w:p>
        </w:tc>
        <w:tc>
          <w:tcPr>
            <w:tcW w:w="11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98.6%</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Overall Occupancy</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(Rolling 12 Months)</w:t>
            </w: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March 31, 2003 (3)</w:t>
            </w:r>
          </w:p>
        </w:tc>
        <w:tc>
          <w:tcPr>
            <w:tcW w:w="700" w:type="dxa"/>
            <w:vAlign w:val="bottom"/>
          </w:tcPr>
          <w:p>
            <w:pPr>
              <w:spacing w:after="0"/>
              <w:rPr>
                <w:sz w:val="14"/>
                <w:szCs w:val="14"/>
                <w:color w:val="auto"/>
              </w:rPr>
            </w:pPr>
          </w:p>
        </w:tc>
        <w:tc>
          <w:tcPr>
            <w:tcW w:w="31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At December 31, 2002 (3)</w:t>
            </w:r>
          </w:p>
        </w:tc>
      </w:tr>
      <w:tr>
        <w:trPr>
          <w:trHeight w:val="166"/>
        </w:trPr>
        <w:tc>
          <w:tcPr>
            <w:tcW w:w="1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 Excluding Santana Row (2)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15,254,267</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14,486,515</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14,801,252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14,128,278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 Including Santana Row Phase I (2)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15,697,961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14,807,131</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15,245,000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14,442,000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94.7%</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 (# of units) (4)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278</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r>
      <w:tr>
        <w:trPr>
          <w:trHeight w:val="331"/>
        </w:trPr>
        <w:tc>
          <w:tcPr>
            <w:tcW w:w="1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At September 30, 2002</w:t>
            </w:r>
          </w:p>
        </w:tc>
        <w:tc>
          <w:tcPr>
            <w:tcW w:w="700" w:type="dxa"/>
            <w:vAlign w:val="bottom"/>
          </w:tcPr>
          <w:p>
            <w:pPr>
              <w:spacing w:after="0"/>
              <w:rPr>
                <w:sz w:val="24"/>
                <w:szCs w:val="24"/>
                <w:color w:val="auto"/>
              </w:rPr>
            </w:pPr>
          </w:p>
        </w:tc>
        <w:tc>
          <w:tcPr>
            <w:tcW w:w="2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At June 30, 2002</w:t>
            </w:r>
          </w:p>
        </w:tc>
        <w:tc>
          <w:tcPr>
            <w:tcW w:w="600" w:type="dxa"/>
            <w:vAlign w:val="bottom"/>
          </w:tcPr>
          <w:p>
            <w:pPr>
              <w:spacing w:after="0"/>
              <w:rPr>
                <w:sz w:val="24"/>
                <w:szCs w:val="24"/>
                <w:color w:val="auto"/>
              </w:rPr>
            </w:pPr>
          </w:p>
        </w:tc>
      </w:tr>
      <w:tr>
        <w:trPr>
          <w:trHeight w:val="166"/>
        </w:trPr>
        <w:tc>
          <w:tcPr>
            <w:tcW w:w="1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 Excluding Santana Row (2)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14,738,000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14,081,000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14,687,000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14,093,000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 Including Santana Row Phase I (2)</w:t>
            </w:r>
          </w:p>
        </w:tc>
        <w:tc>
          <w:tcPr>
            <w:tcW w:w="1200" w:type="dxa"/>
            <w:vAlign w:val="bottom"/>
          </w:tcPr>
          <w:p>
            <w:pPr>
              <w:ind w:left="820"/>
              <w:spacing w:after="0"/>
              <w:rPr>
                <w:sz w:val="20"/>
                <w:szCs w:val="20"/>
                <w:color w:val="auto"/>
              </w:rPr>
            </w:pPr>
            <w:r>
              <w:rPr>
                <w:rFonts w:ascii="Courier New" w:cs="Courier New" w:eastAsia="Courier New" w:hAnsi="Courier New"/>
                <w:sz w:val="14"/>
                <w:szCs w:val="14"/>
                <w:color w:val="auto"/>
              </w:rPr>
              <w:t>N/A</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N/A</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 (# of units) (4)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279</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Glossary of Terms</w:t>
      </w:r>
    </w:p>
    <w:p>
      <w:pPr>
        <w:spacing w:after="0" w:line="7" w:lineRule="exact"/>
        <w:rPr>
          <w:rFonts w:ascii="Courier New" w:cs="Courier New" w:eastAsia="Courier New" w:hAnsi="Courier New"/>
          <w:sz w:val="14"/>
          <w:szCs w:val="14"/>
          <w:color w:val="auto"/>
        </w:rPr>
      </w:pPr>
    </w:p>
    <w:p>
      <w:pPr>
        <w:ind w:left="360" w:right="4820" w:hanging="352"/>
        <w:spacing w:after="0" w:line="250" w:lineRule="auto"/>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Leasable square feet; excludes redevelopment square footage not yet placed in service and Phase II and other future phases of Santana Row.</w:t>
      </w: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444,000 square feet of Santana Row Phase I.</w:t>
      </w:r>
    </w:p>
    <w:p>
      <w:pPr>
        <w:spacing w:after="0" w:line="7" w:lineRule="exact"/>
        <w:rPr>
          <w:rFonts w:ascii="Courier New" w:cs="Courier New" w:eastAsia="Courier New" w:hAnsi="Courier New"/>
          <w:sz w:val="14"/>
          <w:szCs w:val="14"/>
          <w:color w:val="auto"/>
        </w:rPr>
      </w:pPr>
    </w:p>
    <w:p>
      <w:pPr>
        <w:ind w:left="360" w:right="5320" w:hanging="352"/>
        <w:spacing w:after="0" w:line="255" w:lineRule="auto"/>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 occupancy for Santana Row is included in the Santana Row Summary Schedule.</w:t>
      </w:r>
    </w:p>
    <w:p>
      <w:pPr>
        <w:sectPr>
          <w:pgSz w:w="11900" w:h="16838" w:orient="portrait"/>
          <w:cols w:equalWidth="0" w:num="1">
            <w:col w:w="11540"/>
          </w:cols>
          <w:pgMar w:left="220" w:top="616" w:right="139"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Same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Occupancy (1)</w:t>
            </w: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(Quarter to</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Quarter Comparison)</w:t>
            </w:r>
          </w:p>
        </w:tc>
        <w:tc>
          <w:tcPr>
            <w:tcW w:w="14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At March 31, 2003</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At March 31, 2002</w:t>
            </w:r>
          </w:p>
        </w:tc>
        <w:tc>
          <w:tcPr>
            <w:tcW w:w="98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2920" w:type="dxa"/>
            <w:vAlign w:val="bottom"/>
          </w:tcPr>
          <w:p>
            <w:pPr>
              <w:spacing w:after="0"/>
              <w:rPr>
                <w:sz w:val="24"/>
                <w:szCs w:val="2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Size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Size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 (2)</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14,688,735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14,075,558</w:t>
            </w:r>
          </w:p>
        </w:tc>
        <w:tc>
          <w:tcPr>
            <w:tcW w:w="10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95.8%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14,402,000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13,759,000</w:t>
            </w:r>
          </w:p>
        </w:tc>
        <w:tc>
          <w:tcPr>
            <w:tcW w:w="9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98.6%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274</w:t>
            </w:r>
          </w:p>
        </w:tc>
        <w:tc>
          <w:tcPr>
            <w:tcW w:w="9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97.2%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Occupancy (1)</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 12</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260" w:type="dxa"/>
            <w:vAlign w:val="bottom"/>
          </w:tcPr>
          <w:p>
            <w:pPr>
              <w:spacing w:after="0"/>
              <w:rPr>
                <w:sz w:val="14"/>
                <w:szCs w:val="14"/>
                <w:color w:val="auto"/>
              </w:rPr>
            </w:pP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At March 31, 2003</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At December 31, 2002</w:t>
            </w:r>
          </w:p>
        </w:tc>
        <w:tc>
          <w:tcPr>
            <w:tcW w:w="7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 (2)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14,688,735</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14,075,558</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14,603,000</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13,965,000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278</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97.5%</w:t>
            </w:r>
          </w:p>
        </w:tc>
      </w:tr>
      <w:tr>
        <w:trPr>
          <w:trHeight w:val="331"/>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At September 30, 2002</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At June 30, 2002</w:t>
            </w:r>
          </w:p>
        </w:tc>
        <w:tc>
          <w:tcPr>
            <w:tcW w:w="70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 (2)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14,368,000</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13,756,000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14,251,000</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13,670,000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hanging="352"/>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Glossary of Terms.</w:t>
      </w:r>
    </w:p>
    <w:p>
      <w:pPr>
        <w:spacing w:after="0" w:line="7" w:lineRule="exact"/>
        <w:rPr>
          <w:rFonts w:ascii="Courier New" w:cs="Courier New" w:eastAsia="Courier New" w:hAnsi="Courier New"/>
          <w:sz w:val="14"/>
          <w:szCs w:val="14"/>
          <w:color w:val="auto"/>
        </w:rPr>
      </w:pPr>
    </w:p>
    <w:p>
      <w:pPr>
        <w:ind w:left="360" w:right="4820" w:hanging="352"/>
        <w:spacing w:after="0" w:line="255" w:lineRule="auto"/>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centers purchased or sold as well as properties under development and redevelopment.</w:t>
      </w:r>
    </w:p>
    <w:p>
      <w:pPr>
        <w:sectPr>
          <w:pgSz w:w="11900" w:h="16838" w:orient="portrait"/>
          <w:cols w:equalWidth="0" w:num="1">
            <w:col w:w="11540"/>
          </w:cols>
          <w:pgMar w:left="220" w:top="616" w:right="13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Top 25 Tenants - Prospective (April 2003 through March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right"/>
        <w:ind w:right="239"/>
        <w:spacing w:after="0"/>
        <w:tabs>
          <w:tab w:leader="none" w:pos="940" w:val="left"/>
        </w:tabs>
        <w:rPr>
          <w:sz w:val="20"/>
          <w:szCs w:val="20"/>
          <w:color w:val="auto"/>
        </w:rPr>
      </w:pPr>
      <w:r>
        <w:rPr>
          <w:rFonts w:ascii="Courier New" w:cs="Courier New" w:eastAsia="Courier New" w:hAnsi="Courier New"/>
          <w:sz w:val="14"/>
          <w:szCs w:val="14"/>
          <w:color w:val="auto"/>
        </w:rPr>
        <w:t>Percentage of</w:t>
      </w:r>
      <w:r>
        <w:rPr>
          <w:sz w:val="20"/>
          <w:szCs w:val="20"/>
          <w:color w:val="auto"/>
        </w:rPr>
        <w:tab/>
      </w:r>
      <w:r>
        <w:rPr>
          <w:rFonts w:ascii="Courier New" w:cs="Courier New" w:eastAsia="Courier New" w:hAnsi="Courier New"/>
          <w:sz w:val="14"/>
          <w:szCs w:val="14"/>
          <w:color w:val="auto"/>
        </w:rPr>
        <w:t>Number of</w:t>
      </w:r>
    </w:p>
    <w:p>
      <w:pPr>
        <w:spacing w:after="0" w:line="7" w:lineRule="exact"/>
        <w:rPr>
          <w:sz w:val="20"/>
          <w:szCs w:val="20"/>
          <w:color w:val="auto"/>
        </w:rPr>
      </w:pPr>
    </w:p>
    <w:p>
      <w:pPr>
        <w:jc w:val="both"/>
        <w:ind w:left="3980"/>
        <w:spacing w:after="0"/>
        <w:tabs>
          <w:tab w:leader="none" w:pos="5080" w:val="left"/>
          <w:tab w:leader="none" w:pos="7820" w:val="left"/>
          <w:tab w:leader="none" w:pos="9460" w:val="left"/>
        </w:tabs>
        <w:rPr>
          <w:sz w:val="20"/>
          <w:szCs w:val="20"/>
          <w:color w:val="auto"/>
        </w:rPr>
      </w:pPr>
      <w:r>
        <w:rPr>
          <w:rFonts w:ascii="Courier New" w:cs="Courier New" w:eastAsia="Courier New" w:hAnsi="Courier New"/>
          <w:sz w:val="14"/>
          <w:szCs w:val="14"/>
          <w:color w:val="auto"/>
        </w:rPr>
        <w:t>Annualized</w:t>
      </w:r>
      <w:r>
        <w:rPr>
          <w:sz w:val="20"/>
          <w:szCs w:val="20"/>
          <w:color w:val="auto"/>
        </w:rPr>
        <w:tab/>
      </w:r>
      <w:r>
        <w:rPr>
          <w:rFonts w:ascii="Courier New" w:cs="Courier New" w:eastAsia="Courier New" w:hAnsi="Courier New"/>
          <w:sz w:val="14"/>
          <w:szCs w:val="14"/>
          <w:color w:val="auto"/>
        </w:rPr>
        <w:t>Total Annualized</w:t>
      </w:r>
      <w:r>
        <w:rPr>
          <w:sz w:val="20"/>
          <w:szCs w:val="20"/>
          <w:color w:val="auto"/>
        </w:rPr>
        <w:tab/>
      </w:r>
      <w:r>
        <w:rPr>
          <w:rFonts w:ascii="Courier New" w:cs="Courier New" w:eastAsia="Courier New" w:hAnsi="Courier New"/>
          <w:sz w:val="14"/>
          <w:szCs w:val="14"/>
          <w:color w:val="auto"/>
        </w:rPr>
        <w:t>Percentage of</w:t>
      </w:r>
      <w:r>
        <w:rPr>
          <w:sz w:val="20"/>
          <w:szCs w:val="20"/>
          <w:color w:val="auto"/>
        </w:rPr>
        <w:tab/>
      </w:r>
      <w:r>
        <w:rPr>
          <w:rFonts w:ascii="Courier New" w:cs="Courier New" w:eastAsia="Courier New" w:hAnsi="Courier New"/>
          <w:sz w:val="14"/>
          <w:szCs w:val="14"/>
          <w:color w:val="auto"/>
        </w:rPr>
        <w:t>Stores</w:t>
      </w:r>
    </w:p>
    <w:p>
      <w:pPr>
        <w:spacing w:after="0" w:line="7" w:lineRule="exact"/>
        <w:rPr>
          <w:sz w:val="20"/>
          <w:szCs w:val="20"/>
          <w:color w:val="auto"/>
        </w:rPr>
      </w:pPr>
    </w:p>
    <w:p>
      <w:pPr>
        <w:jc w:val="both"/>
        <w:spacing w:after="0"/>
        <w:tabs>
          <w:tab w:leader="none" w:pos="600" w:val="left"/>
          <w:tab w:leader="none" w:pos="4040" w:val="left"/>
          <w:tab w:leader="none" w:pos="5680" w:val="left"/>
          <w:tab w:leader="none" w:pos="6700" w:val="left"/>
          <w:tab w:leader="none" w:pos="8180" w:val="left"/>
          <w:tab w:leader="none" w:pos="9460" w:val="left"/>
        </w:tabs>
        <w:rPr>
          <w:sz w:val="20"/>
          <w:szCs w:val="20"/>
          <w:color w:val="auto"/>
        </w:rPr>
      </w:pPr>
      <w:r>
        <w:rPr>
          <w:rFonts w:ascii="Courier New" w:cs="Courier New" w:eastAsia="Courier New" w:hAnsi="Courier New"/>
          <w:sz w:val="14"/>
          <w:szCs w:val="14"/>
          <w:color w:val="auto"/>
        </w:rPr>
        <w:t>Rank</w:t>
      </w:r>
      <w:r>
        <w:rPr>
          <w:sz w:val="20"/>
          <w:szCs w:val="20"/>
          <w:color w:val="auto"/>
        </w:rPr>
        <w:tab/>
      </w:r>
      <w:r>
        <w:rPr>
          <w:rFonts w:ascii="Courier New" w:cs="Courier New" w:eastAsia="Courier New" w:hAnsi="Courier New"/>
          <w:sz w:val="14"/>
          <w:szCs w:val="14"/>
          <w:color w:val="auto"/>
        </w:rPr>
        <w:t>Tenant Name</w:t>
      </w:r>
      <w:r>
        <w:rPr>
          <w:sz w:val="20"/>
          <w:szCs w:val="20"/>
          <w:color w:val="auto"/>
        </w:rPr>
        <w:tab/>
      </w: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Tenant GLA</w:t>
      </w:r>
      <w:r>
        <w:rPr>
          <w:sz w:val="20"/>
          <w:szCs w:val="20"/>
          <w:color w:val="auto"/>
        </w:rPr>
        <w:tab/>
      </w:r>
      <w:r>
        <w:rPr>
          <w:rFonts w:ascii="Courier New" w:cs="Courier New" w:eastAsia="Courier New" w:hAnsi="Courier New"/>
          <w:sz w:val="14"/>
          <w:szCs w:val="14"/>
          <w:color w:val="auto"/>
        </w:rPr>
        <w:t>Total GLA</w:t>
      </w:r>
      <w:r>
        <w:rPr>
          <w:sz w:val="20"/>
          <w:szCs w:val="20"/>
          <w:color w:val="auto"/>
        </w:rPr>
        <w:tab/>
      </w:r>
      <w:r>
        <w:rPr>
          <w:rFonts w:ascii="Courier New" w:cs="Courier New" w:eastAsia="Courier New" w:hAnsi="Courier New"/>
          <w:sz w:val="14"/>
          <w:szCs w:val="14"/>
          <w:color w:val="auto"/>
        </w:rPr>
        <w:t>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Gap, Inc., The</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6,063,625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210,275</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Ahold USA,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5,888,651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503,230</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Safeway,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5,597,172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412,770</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Bed, Bath &amp; Beyond,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5,007,899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358,165</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CVS Corporation</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3,858,676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164,266</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Barnes &amp; Noble,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3,752,078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167,765</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TJX Companies, The</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3,302,350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340,547</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Toys R Us,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3,040,162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325,582</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Borders Group,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2,753,858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135,181</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10</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MTS,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2,452,569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106,479</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11</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Great Atlantic &amp; Pacific Tea Co.</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2,380,178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239,215</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12</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OPNET Technologies,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2,335,499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60,466</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13</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Dollar Tree Stores,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2,313,100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176,834</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14</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Dress Barn,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1,954,958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92,588</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15</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CompUSA,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1,909,776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108,219</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16</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Wakefern Food Corporation</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1,908,096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157,376</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17</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Bally's Health &amp; Tennis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1,738,673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139,546</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18</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Whole Foods Market,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1,662,066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81,874</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19</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Linens' N Things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1,652,689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108,169</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20</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Saks &amp; Company</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1,635,300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35,550</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21</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Michaels Stores,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1,613,849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143,843</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22</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Ross Stores,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1,589,240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84,858</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23</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Viacom International,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1,559,386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65,592</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24</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Kohl's Corporation</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2,125,749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390,626</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25</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Home Depot, Inc.</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1,487,180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127,550</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4"/>
                <w:szCs w:val="2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Totals - Top 25 Tenants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$ 69,582,778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4,736,566</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00" w:type="dxa"/>
            <w:vAlign w:val="bottom"/>
          </w:tcPr>
          <w:p>
            <w:pPr>
              <w:spacing w:after="0"/>
              <w:rPr>
                <w:sz w:val="24"/>
                <w:szCs w:val="2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Total Annualized Base Rent: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$248,020,984</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300" w:type="dxa"/>
            <w:vAlign w:val="bottom"/>
          </w:tcPr>
          <w:p>
            <w:pPr>
              <w:spacing w:after="0"/>
              <w:rPr>
                <w:sz w:val="24"/>
                <w:szCs w:val="2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Total Portfolio Square Footage:</w:t>
            </w: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15,698,000</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spacing w:after="0"/>
              <w:rPr>
                <w:sz w:val="24"/>
                <w:szCs w:val="2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620" w:hanging="439"/>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redevelopment square footage not yet placed in service.</w:t>
      </w:r>
    </w:p>
    <w:p>
      <w:pPr>
        <w:spacing w:after="0" w:line="7" w:lineRule="exact"/>
        <w:rPr>
          <w:rFonts w:ascii="Courier New" w:cs="Courier New" w:eastAsia="Courier New" w:hAnsi="Courier New"/>
          <w:sz w:val="14"/>
          <w:szCs w:val="14"/>
          <w:color w:val="auto"/>
        </w:rPr>
      </w:pPr>
    </w:p>
    <w:p>
      <w:pPr>
        <w:ind w:left="620" w:right="3339" w:hanging="439"/>
        <w:spacing w:after="0" w:line="255"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444,000 square feet of Santana Row Phase I, but no future Phases of Santana Row.</w:t>
      </w:r>
    </w:p>
    <w:p>
      <w:pPr>
        <w:sectPr>
          <w:pgSz w:w="11900" w:h="16838" w:orient="portrait"/>
          <w:cols w:equalWidth="0" w:num="1">
            <w:col w:w="10239"/>
          </w:cols>
          <w:pgMar w:left="220" w:top="61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Non-GAAP Disclosures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3419" w:hanging="252"/>
        <w:spacing w:after="0" w:line="255" w:lineRule="auto"/>
        <w:tabs>
          <w:tab w:leader="none" w:pos="2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2003 EPS to 2003 FFO Guidance ($ millions except per share amounts)</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Forecast</w:t>
            </w:r>
          </w:p>
        </w:tc>
        <w:tc>
          <w:tcPr>
            <w:tcW w:w="22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45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Net Income Available to Common Shareholders</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0.03</w:t>
            </w:r>
          </w:p>
        </w:tc>
      </w:tr>
      <w:tr>
        <w:trPr>
          <w:trHeight w:val="331"/>
        </w:trPr>
        <w:tc>
          <w:tcPr>
            <w:tcW w:w="45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119.9</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5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Weighted-average Diluted Shares (million)</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46.1</w:t>
            </w:r>
          </w:p>
        </w:tc>
      </w:tr>
    </w:tbl>
    <w:p>
      <w:pPr>
        <w:sectPr>
          <w:pgSz w:w="11900" w:h="16838" w:orient="portrait"/>
          <w:cols w:equalWidth="0" w:num="1">
            <w:col w:w="10239"/>
          </w:cols>
          <w:pgMar w:left="220" w:top="616" w:right="1440" w:bottom="1440" w:gutter="0" w:footer="0" w:header="0"/>
        </w:sectPr>
      </w:pPr>
    </w:p>
    <w:bookmarkStart w:id="39" w:name="page40"/>
    <w:bookmarkEnd w:id="39"/>
    <w:p>
      <w:pPr>
        <w:jc w:val="center"/>
        <w:ind w:right="3239"/>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EBITDA: EBITDA is a non-GAAP measure that means net income or loss plus interest expense, income taxes, depreciation and amortization; adjusted for gain or 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three months ended March 31, 2003 and 2002 is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For the Three Months</w:t>
            </w:r>
          </w:p>
        </w:tc>
      </w:tr>
      <w:tr>
        <w:trPr>
          <w:trHeight w:val="166"/>
        </w:trPr>
        <w:tc>
          <w:tcPr>
            <w:tcW w:w="6120" w:type="dxa"/>
            <w:vAlign w:val="bottom"/>
          </w:tcPr>
          <w:p>
            <w:pPr>
              <w:spacing w:after="0"/>
              <w:rPr>
                <w:sz w:val="14"/>
                <w:szCs w:val="14"/>
                <w:color w:val="auto"/>
              </w:rPr>
            </w:pPr>
          </w:p>
        </w:tc>
        <w:tc>
          <w:tcPr>
            <w:tcW w:w="2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Ended March 31,</w:t>
            </w:r>
          </w:p>
        </w:tc>
      </w:tr>
      <w:tr>
        <w:trPr>
          <w:trHeight w:val="166"/>
        </w:trPr>
        <w:tc>
          <w:tcPr>
            <w:tcW w:w="6120" w:type="dxa"/>
            <w:vAlign w:val="bottom"/>
          </w:tcPr>
          <w:p>
            <w:pPr>
              <w:spacing w:after="0"/>
              <w:rPr>
                <w:sz w:val="14"/>
                <w:szCs w:val="14"/>
                <w:color w:val="auto"/>
              </w:rPr>
            </w:pPr>
          </w:p>
        </w:tc>
        <w:tc>
          <w:tcPr>
            <w:tcW w:w="2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61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Net income (loss) ....................................................</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($1,331)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17,449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15,986</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Interest .............................................................</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17,579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16,640</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Loss on abandoned developments held for sale .........................</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9,647</w:t>
            </w:r>
          </w:p>
        </w:tc>
      </w:tr>
      <w:tr>
        <w:trPr>
          <w:trHeight w:val="166"/>
        </w:trPr>
        <w:tc>
          <w:tcPr>
            <w:tcW w:w="61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EBITDA ...............................................................</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$51,404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$40,942</w:t>
            </w:r>
          </w:p>
        </w:tc>
      </w:tr>
      <w:tr>
        <w:trPr>
          <w:trHeight w:val="166"/>
        </w:trPr>
        <w:tc>
          <w:tcPr>
            <w:tcW w:w="61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Funds From Operations (FFO): FFO is a supplemental measure of real estate companies' operating performances. The National Association of Real Estate 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34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Property Operating Income: Gross revenues, including interest income, less rental expenses and real estate taxes.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Occupancy: The portion of the property for which the Trust is collecting rent, or for which a lease has been signed but a tenant has not yet commenced, divided by the total square footage available for lease.</w:t>
      </w:r>
    </w:p>
    <w:p>
      <w:pPr>
        <w:spacing w:after="0" w:line="16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Occupancy - overall: Occupancy for the entire portfolio -- includes all operating properties owned in reporting period.</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Occupancy - same center: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Tenant improvements: Represents the total dollars committed for the improvement (fit-out) of a space as it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3"/>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4"/>
    </w:lvl>
  </w:abstractNum>
  <w:abstractNum w:abstractNumId="3">
    <w:nsid w:val="721DA317"/>
    <w:multiLevelType w:val="hybridMultilevel"/>
    <w:lvl w:ilvl="0">
      <w:lvlJc w:val="left"/>
      <w:lvlText w:val="%1."/>
      <w:numFmt w:val="decimal"/>
      <w:start w:val="9"/>
    </w:lvl>
  </w:abstractNum>
  <w:abstractNum w:abstractNumId="4">
    <w:nsid w:val="2443A858"/>
    <w:multiLevelType w:val="hybridMultilevel"/>
    <w:lvl w:ilvl="0">
      <w:lvlJc w:val="left"/>
      <w:lvlText w:val="(%1)"/>
      <w:numFmt w:val="lowerLetter"/>
      <w:start w:val="4"/>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gt;&gt;"/>
      <w:numFmt w:val="bullet"/>
      <w:start w:val="1"/>
    </w:lvl>
  </w:abstractNum>
  <w:abstractNum w:abstractNumId="8">
    <w:nsid w:val="8EDBDAB"/>
    <w:multiLevelType w:val="hybridMultilevel"/>
    <w:lvl w:ilvl="0">
      <w:lvlJc w:val="left"/>
      <w:lvlText w:val="&gt;&gt;"/>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2019-12-12T09:21:19Z</dcterms:created>
  <dcterms:modified xsi:type="dcterms:W3CDTF">2019-12-12T09:21:19Z</dcterms:modified>
</cp:coreProperties>
</file>