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9"/>
        <w:spacing w:after="0"/>
        <w:tabs>
          <w:tab w:leader="none" w:pos="180" w:val="left"/>
        </w:tabs>
        <w:rPr>
          <w:sz w:val="20"/>
          <w:szCs w:val="20"/>
          <w:color w:val="auto"/>
        </w:rPr>
      </w:pPr>
      <w:r>
        <w:rPr>
          <w:rFonts w:ascii="Courier New" w:cs="Courier New" w:eastAsia="Courier New" w:hAnsi="Courier New"/>
          <w:sz w:val="16"/>
          <w:szCs w:val="16"/>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2" w:lineRule="exact"/>
        <w:rPr>
          <w:sz w:val="24"/>
          <w:szCs w:val="24"/>
          <w:color w:val="auto"/>
        </w:rPr>
      </w:pPr>
    </w:p>
    <w:p>
      <w:pPr>
        <w:jc w:val="center"/>
        <w:ind w:right="2499"/>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6" w:lineRule="exact"/>
        <w:rPr>
          <w:sz w:val="24"/>
          <w:szCs w:val="24"/>
          <w:color w:val="auto"/>
        </w:rPr>
      </w:pPr>
    </w:p>
    <w:p>
      <w:pPr>
        <w:ind w:left="1520"/>
        <w:spacing w:after="0"/>
        <w:tabs>
          <w:tab w:leader="none" w:pos="3780" w:val="left"/>
        </w:tabs>
        <w:rPr>
          <w:sz w:val="20"/>
          <w:szCs w:val="20"/>
          <w:color w:val="auto"/>
        </w:rPr>
      </w:pPr>
      <w:r>
        <w:rPr>
          <w:rFonts w:ascii="Courier New" w:cs="Courier New" w:eastAsia="Courier New" w:hAnsi="Courier New"/>
          <w:sz w:val="16"/>
          <w:szCs w:val="16"/>
          <w:color w:val="auto"/>
        </w:rPr>
        <w:t>For the Quarter Ended:</w:t>
      </w:r>
      <w:r>
        <w:rPr>
          <w:sz w:val="20"/>
          <w:szCs w:val="20"/>
          <w:color w:val="auto"/>
        </w:rPr>
        <w:tab/>
      </w:r>
      <w:r>
        <w:rPr>
          <w:rFonts w:ascii="Courier New" w:cs="Courier New" w:eastAsia="Courier New" w:hAnsi="Courier New"/>
          <w:sz w:val="15"/>
          <w:szCs w:val="15"/>
          <w:color w:val="auto"/>
        </w:rPr>
        <w:t>September 30, 1994</w:t>
      </w:r>
    </w:p>
    <w:p>
      <w:pPr>
        <w:spacing w:after="0" w:line="2" w:lineRule="exact"/>
        <w:rPr>
          <w:sz w:val="24"/>
          <w:szCs w:val="24"/>
          <w:color w:val="auto"/>
        </w:rPr>
      </w:pPr>
    </w:p>
    <w:p>
      <w:pPr>
        <w:ind w:left="16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2280"/>
        <w:spacing w:after="0"/>
        <w:rPr>
          <w:sz w:val="20"/>
          <w:szCs w:val="20"/>
          <w:color w:val="auto"/>
        </w:rPr>
      </w:pPr>
      <w:r>
        <w:rPr>
          <w:rFonts w:ascii="Courier New" w:cs="Courier New" w:eastAsia="Courier New" w:hAnsi="Courier New"/>
          <w:sz w:val="16"/>
          <w:szCs w:val="16"/>
          <w:color w:val="auto"/>
        </w:rPr>
        <w:t>Commission File No. 1-7533</w:t>
      </w:r>
    </w:p>
    <w:p>
      <w:pPr>
        <w:spacing w:after="0" w:line="2" w:lineRule="exact"/>
        <w:rPr>
          <w:sz w:val="24"/>
          <w:szCs w:val="24"/>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FEDERAL REALTY INVESTMENT TRUST ------------------------------- (Exact name of registrant as specified in its charter)</w:t>
      </w:r>
    </w:p>
    <w:p>
      <w:pPr>
        <w:spacing w:after="0" w:line="187" w:lineRule="exact"/>
        <w:rPr>
          <w:sz w:val="24"/>
          <w:szCs w:val="24"/>
          <w:color w:val="auto"/>
        </w:rPr>
      </w:pPr>
    </w:p>
    <w:p>
      <w:pPr>
        <w:ind w:left="560"/>
        <w:spacing w:after="0"/>
        <w:tabs>
          <w:tab w:leader="none" w:pos="4740" w:val="left"/>
        </w:tabs>
        <w:rPr>
          <w:sz w:val="20"/>
          <w:szCs w:val="20"/>
          <w:color w:val="auto"/>
        </w:rPr>
      </w:pPr>
      <w:r>
        <w:rPr>
          <w:rFonts w:ascii="Courier New" w:cs="Courier New" w:eastAsia="Courier New" w:hAnsi="Courier New"/>
          <w:sz w:val="16"/>
          <w:szCs w:val="16"/>
          <w:color w:val="auto"/>
        </w:rPr>
        <w:t>District of Columbia</w:t>
      </w:r>
      <w:r>
        <w:rPr>
          <w:sz w:val="20"/>
          <w:szCs w:val="20"/>
          <w:color w:val="auto"/>
        </w:rPr>
        <w:tab/>
      </w:r>
      <w:r>
        <w:rPr>
          <w:rFonts w:ascii="Courier New" w:cs="Courier New" w:eastAsia="Courier New" w:hAnsi="Courier New"/>
          <w:sz w:val="15"/>
          <w:szCs w:val="15"/>
          <w:color w:val="auto"/>
        </w:rPr>
        <w:t>52-0782497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65" w:lineRule="exact"/>
        <w:rPr>
          <w:sz w:val="24"/>
          <w:szCs w:val="24"/>
          <w:color w:val="auto"/>
        </w:rPr>
      </w:pPr>
    </w:p>
    <w:p>
      <w:pPr>
        <w:ind w:left="860" w:right="3459"/>
        <w:spacing w:after="0" w:line="239" w:lineRule="auto"/>
        <w:rPr>
          <w:sz w:val="20"/>
          <w:szCs w:val="20"/>
          <w:color w:val="auto"/>
        </w:rPr>
      </w:pPr>
      <w:r>
        <w:rPr>
          <w:rFonts w:ascii="Courier New" w:cs="Courier New" w:eastAsia="Courier New" w:hAnsi="Courier New"/>
          <w:sz w:val="16"/>
          <w:szCs w:val="16"/>
          <w:color w:val="auto"/>
        </w:rPr>
        <w:t>(State or other jurisdiction of (I.R.S. Employer incorporation or organization) Identification No.)</w:t>
      </w:r>
    </w:p>
    <w:p>
      <w:pPr>
        <w:spacing w:after="0" w:line="186" w:lineRule="exact"/>
        <w:rPr>
          <w:sz w:val="24"/>
          <w:szCs w:val="24"/>
          <w:color w:val="auto"/>
        </w:rPr>
      </w:pPr>
    </w:p>
    <w:p>
      <w:pPr>
        <w:ind w:left="940"/>
        <w:spacing w:after="0"/>
        <w:tabs>
          <w:tab w:leader="none" w:pos="5700" w:val="left"/>
        </w:tabs>
        <w:rPr>
          <w:sz w:val="20"/>
          <w:szCs w:val="20"/>
          <w:color w:val="auto"/>
        </w:rPr>
      </w:pPr>
      <w:r>
        <w:rPr>
          <w:rFonts w:ascii="Courier New" w:cs="Courier New" w:eastAsia="Courier New" w:hAnsi="Courier New"/>
          <w:sz w:val="16"/>
          <w:szCs w:val="16"/>
          <w:color w:val="auto"/>
        </w:rPr>
        <w:t>4800 Hampden Lane, Suite 500, Bethesda, Maryland</w:t>
        <w:tab/>
        <w:t>20814</w:t>
      </w:r>
    </w:p>
    <w:p>
      <w:pPr>
        <w:spacing w:after="0" w:line="2"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860"/>
        <w:spacing w:after="0"/>
        <w:tabs>
          <w:tab w:leader="none" w:pos="570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86" w:lineRule="exact"/>
        <w:rPr>
          <w:sz w:val="24"/>
          <w:szCs w:val="24"/>
          <w:color w:val="auto"/>
        </w:rPr>
      </w:pPr>
    </w:p>
    <w:p>
      <w:pPr>
        <w:ind w:left="3240" w:hanging="575"/>
        <w:spacing w:after="0"/>
        <w:tabs>
          <w:tab w:leader="none" w:pos="32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652-3360</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188" w:lineRule="exact"/>
        <w:rPr>
          <w:sz w:val="24"/>
          <w:szCs w:val="24"/>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9739"/>
          </w:cols>
          <w:pgMar w:left="720" w:top="420" w:right="1440" w:bottom="0" w:gutter="0" w:footer="0" w:header="0"/>
        </w:sectPr>
      </w:pPr>
    </w:p>
    <w:p>
      <w:pPr>
        <w:spacing w:after="0" w:line="190" w:lineRule="exact"/>
        <w:rPr>
          <w:sz w:val="24"/>
          <w:szCs w:val="24"/>
          <w:color w:val="auto"/>
        </w:rPr>
      </w:pPr>
    </w:p>
    <w:p>
      <w:pPr>
        <w:ind w:left="86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14" w:lineRule="exact"/>
        <w:rPr>
          <w:sz w:val="24"/>
          <w:szCs w:val="24"/>
          <w:color w:val="auto"/>
        </w:rPr>
      </w:pPr>
    </w:p>
    <w:p>
      <w:pPr>
        <w:sectPr>
          <w:pgSz w:w="11900" w:h="16838" w:orient="portrait"/>
          <w:cols w:equalWidth="0" w:num="6">
            <w:col w:w="1140" w:space="100"/>
            <w:col w:w="480" w:space="0"/>
            <w:col w:w="220" w:space="720"/>
            <w:col w:w="200" w:space="0"/>
            <w:col w:w="480" w:space="0"/>
            <w:col w:w="6399"/>
          </w:cols>
          <w:pgMar w:left="720" w:top="420" w:right="1440" w:bottom="0" w:gutter="0" w:footer="0" w:header="0"/>
          <w:type w:val="continuous"/>
        </w:sectPr>
      </w:pPr>
    </w:p>
    <w:p>
      <w:pPr>
        <w:ind w:right="2679" w:firstLine="858"/>
        <w:spacing w:after="0" w:line="239"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9739"/>
          </w:cols>
          <w:pgMar w:left="720" w:top="420" w:right="1440" w:bottom="0" w:gutter="0" w:footer="0" w:header="0"/>
          <w:type w:val="continuous"/>
        </w:sectPr>
      </w:pPr>
    </w:p>
    <w:p>
      <w:pPr>
        <w:spacing w:after="0" w:line="186" w:lineRule="exact"/>
        <w:rPr>
          <w:sz w:val="24"/>
          <w:szCs w:val="24"/>
          <w:color w:val="auto"/>
        </w:rPr>
      </w:pPr>
    </w:p>
    <w:p>
      <w:pPr>
        <w:jc w:val="center"/>
        <w:ind w:left="80"/>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November 7, 1994</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sectPr>
          <w:pgSz w:w="11900" w:h="16838" w:orient="portrait"/>
          <w:cols w:equalWidth="0" w:num="2">
            <w:col w:w="3040" w:space="200"/>
            <w:col w:w="6499"/>
          </w:cols>
          <w:pgMar w:left="720" w:top="420"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31,598,152</w:t>
      </w:r>
    </w:p>
    <w:p>
      <w:pPr>
        <w:spacing w:after="0" w:line="188" w:lineRule="exact"/>
        <w:rPr>
          <w:sz w:val="24"/>
          <w:szCs w:val="24"/>
          <w:color w:val="auto"/>
        </w:rPr>
      </w:pPr>
    </w:p>
    <w:p>
      <w:pPr>
        <w:sectPr>
          <w:pgSz w:w="11900" w:h="16838" w:orient="portrait"/>
          <w:cols w:equalWidth="0" w:num="2">
            <w:col w:w="5000" w:space="720"/>
            <w:col w:w="4019"/>
          </w:cols>
          <w:pgMar w:left="720" w:top="42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This report, including exhibits, contains 20 pages.</w:t>
      </w:r>
    </w:p>
    <w:p>
      <w:pPr>
        <w:sectPr>
          <w:pgSz w:w="11900" w:h="16838" w:orient="portrait"/>
          <w:cols w:equalWidth="0" w:num="1">
            <w:col w:w="9739"/>
          </w:cols>
          <w:pgMar w:left="720" w:top="42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ind w:left="2100"/>
              <w:spacing w:after="0"/>
              <w:rPr>
                <w:sz w:val="20"/>
                <w:szCs w:val="20"/>
                <w:color w:val="auto"/>
              </w:rPr>
            </w:pPr>
            <w:r>
              <w:rPr>
                <w:rFonts w:ascii="Courier New" w:cs="Courier New" w:eastAsia="Courier New" w:hAnsi="Courier New"/>
                <w:sz w:val="16"/>
                <w:szCs w:val="16"/>
                <w:color w:val="auto"/>
              </w:rPr>
              <w:t>FEDERAL</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REALTY INVESTMENT TRUST</w:t>
            </w:r>
          </w:p>
        </w:tc>
        <w:tc>
          <w:tcPr>
            <w:tcW w:w="800" w:type="dxa"/>
            <w:vAlign w:val="bottom"/>
          </w:tcPr>
          <w:p>
            <w:pPr>
              <w:spacing w:after="0"/>
              <w:rPr>
                <w:sz w:val="15"/>
                <w:szCs w:val="15"/>
                <w:color w:val="auto"/>
              </w:rPr>
            </w:pPr>
          </w:p>
        </w:tc>
      </w:tr>
      <w:tr>
        <w:trPr>
          <w:trHeight w:val="367"/>
        </w:trPr>
        <w:tc>
          <w:tcPr>
            <w:tcW w:w="28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S.E.C. FORM 10-Q</w:t>
            </w:r>
          </w:p>
        </w:tc>
        <w:tc>
          <w:tcPr>
            <w:tcW w:w="800" w:type="dxa"/>
            <w:vAlign w:val="bottom"/>
          </w:tcPr>
          <w:p>
            <w:pPr>
              <w:spacing w:after="0"/>
              <w:rPr>
                <w:sz w:val="24"/>
                <w:szCs w:val="24"/>
                <w:color w:val="auto"/>
              </w:rPr>
            </w:pPr>
          </w:p>
        </w:tc>
      </w:tr>
      <w:tr>
        <w:trPr>
          <w:trHeight w:val="367"/>
        </w:trPr>
        <w:tc>
          <w:tcPr>
            <w:tcW w:w="6340" w:type="dxa"/>
            <w:vAlign w:val="bottom"/>
            <w:gridSpan w:val="2"/>
          </w:tcPr>
          <w:p>
            <w:pPr>
              <w:ind w:left="2760"/>
              <w:spacing w:after="0"/>
              <w:rPr>
                <w:sz w:val="20"/>
                <w:szCs w:val="20"/>
                <w:color w:val="auto"/>
              </w:rPr>
            </w:pPr>
            <w:r>
              <w:rPr>
                <w:rFonts w:ascii="Courier New" w:cs="Courier New" w:eastAsia="Courier New" w:hAnsi="Courier New"/>
                <w:sz w:val="16"/>
                <w:szCs w:val="16"/>
                <w:color w:val="auto"/>
              </w:rPr>
              <w:t>September 30, 1994</w:t>
            </w:r>
          </w:p>
        </w:tc>
        <w:tc>
          <w:tcPr>
            <w:tcW w:w="800" w:type="dxa"/>
            <w:vAlign w:val="bottom"/>
          </w:tcPr>
          <w:p>
            <w:pPr>
              <w:spacing w:after="0"/>
              <w:rPr>
                <w:sz w:val="24"/>
                <w:szCs w:val="24"/>
                <w:color w:val="auto"/>
              </w:rPr>
            </w:pPr>
          </w:p>
        </w:tc>
      </w:tr>
      <w:tr>
        <w:trPr>
          <w:trHeight w:val="367"/>
        </w:trPr>
        <w:tc>
          <w:tcPr>
            <w:tcW w:w="2860" w:type="dxa"/>
            <w:vAlign w:val="bottom"/>
          </w:tcPr>
          <w:p>
            <w:pPr>
              <w:spacing w:after="0"/>
              <w:rPr>
                <w:sz w:val="24"/>
                <w:szCs w:val="24"/>
                <w:color w:val="auto"/>
              </w:rPr>
            </w:pPr>
          </w:p>
        </w:tc>
        <w:tc>
          <w:tcPr>
            <w:tcW w:w="3480" w:type="dxa"/>
            <w:vAlign w:val="bottom"/>
          </w:tcPr>
          <w:p>
            <w:pPr>
              <w:ind w:left="280"/>
              <w:spacing w:after="0"/>
              <w:rPr>
                <w:sz w:val="20"/>
                <w:szCs w:val="20"/>
                <w:color w:val="auto"/>
              </w:rPr>
            </w:pPr>
            <w:r>
              <w:rPr>
                <w:rFonts w:ascii="Courier New" w:cs="Courier New" w:eastAsia="Courier New" w:hAnsi="Courier New"/>
                <w:sz w:val="16"/>
                <w:szCs w:val="16"/>
                <w:color w:val="auto"/>
              </w:rPr>
              <w:t>I N D E X</w:t>
            </w:r>
          </w:p>
        </w:tc>
        <w:tc>
          <w:tcPr>
            <w:tcW w:w="800" w:type="dxa"/>
            <w:vAlign w:val="bottom"/>
          </w:tcPr>
          <w:p>
            <w:pPr>
              <w:spacing w:after="0"/>
              <w:rPr>
                <w:sz w:val="24"/>
                <w:szCs w:val="24"/>
                <w:color w:val="auto"/>
              </w:rPr>
            </w:pPr>
          </w:p>
        </w:tc>
      </w:tr>
      <w:tr>
        <w:trPr>
          <w:trHeight w:val="734"/>
        </w:trPr>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PART I.  FINANCIAL INFORMATION</w:t>
            </w:r>
          </w:p>
        </w:tc>
        <w:tc>
          <w:tcPr>
            <w:tcW w:w="3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367"/>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Accountants'</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Report</w:t>
            </w:r>
          </w:p>
        </w:tc>
        <w:tc>
          <w:tcPr>
            <w:tcW w:w="800" w:type="dxa"/>
            <w:vAlign w:val="bottom"/>
          </w:tcPr>
          <w:p>
            <w:pPr>
              <w:jc w:val="center"/>
              <w:ind w:left="261"/>
              <w:spacing w:after="0"/>
              <w:rPr>
                <w:sz w:val="20"/>
                <w:szCs w:val="20"/>
                <w:color w:val="auto"/>
              </w:rPr>
            </w:pPr>
            <w:r>
              <w:rPr>
                <w:rFonts w:ascii="Courier New" w:cs="Courier New" w:eastAsia="Courier New" w:hAnsi="Courier New"/>
                <w:sz w:val="16"/>
                <w:szCs w:val="16"/>
                <w:color w:val="auto"/>
              </w:rPr>
              <w:t>4</w:t>
            </w:r>
          </w:p>
        </w:tc>
      </w:tr>
      <w:tr>
        <w:trPr>
          <w:trHeight w:val="367"/>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Consolidated</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Balance Sheets</w:t>
            </w:r>
          </w:p>
        </w:tc>
        <w:tc>
          <w:tcPr>
            <w:tcW w:w="800" w:type="dxa"/>
            <w:vAlign w:val="bottom"/>
          </w:tcPr>
          <w:p>
            <w:pPr>
              <w:jc w:val="center"/>
              <w:ind w:left="261"/>
              <w:spacing w:after="0"/>
              <w:rPr>
                <w:sz w:val="20"/>
                <w:szCs w:val="20"/>
                <w:color w:val="auto"/>
              </w:rPr>
            </w:pPr>
            <w:r>
              <w:rPr>
                <w:rFonts w:ascii="Courier New" w:cs="Courier New" w:eastAsia="Courier New" w:hAnsi="Courier New"/>
                <w:sz w:val="16"/>
                <w:szCs w:val="16"/>
                <w:color w:val="auto"/>
              </w:rPr>
              <w:t>5</w:t>
            </w:r>
          </w:p>
        </w:tc>
      </w:tr>
      <w:tr>
        <w:trPr>
          <w:trHeight w:val="183"/>
        </w:trPr>
        <w:tc>
          <w:tcPr>
            <w:tcW w:w="63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September 30, 1994 (unaudited) and</w:t>
            </w:r>
          </w:p>
        </w:tc>
        <w:tc>
          <w:tcPr>
            <w:tcW w:w="800" w:type="dxa"/>
            <w:vAlign w:val="bottom"/>
          </w:tcPr>
          <w:p>
            <w:pPr>
              <w:spacing w:after="0"/>
              <w:rPr>
                <w:sz w:val="15"/>
                <w:szCs w:val="15"/>
                <w:color w:val="auto"/>
              </w:rPr>
            </w:pPr>
          </w:p>
        </w:tc>
      </w:tr>
      <w:tr>
        <w:trPr>
          <w:trHeight w:val="183"/>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December 31,</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1993 (audited)</w:t>
            </w:r>
          </w:p>
        </w:tc>
        <w:tc>
          <w:tcPr>
            <w:tcW w:w="800" w:type="dxa"/>
            <w:vAlign w:val="bottom"/>
          </w:tcPr>
          <w:p>
            <w:pPr>
              <w:spacing w:after="0"/>
              <w:rPr>
                <w:sz w:val="15"/>
                <w:szCs w:val="15"/>
                <w:color w:val="auto"/>
              </w:rPr>
            </w:pPr>
          </w:p>
        </w:tc>
      </w:tr>
      <w:tr>
        <w:trPr>
          <w:trHeight w:val="367"/>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Consolidated</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Statements of Operations (unaudited)</w:t>
            </w:r>
          </w:p>
        </w:tc>
        <w:tc>
          <w:tcPr>
            <w:tcW w:w="800" w:type="dxa"/>
            <w:vAlign w:val="bottom"/>
          </w:tcPr>
          <w:p>
            <w:pPr>
              <w:jc w:val="center"/>
              <w:ind w:left="261"/>
              <w:spacing w:after="0"/>
              <w:rPr>
                <w:sz w:val="20"/>
                <w:szCs w:val="20"/>
                <w:color w:val="auto"/>
              </w:rPr>
            </w:pPr>
            <w:r>
              <w:rPr>
                <w:rFonts w:ascii="Courier New" w:cs="Courier New" w:eastAsia="Courier New" w:hAnsi="Courier New"/>
                <w:sz w:val="16"/>
                <w:szCs w:val="16"/>
                <w:color w:val="auto"/>
              </w:rPr>
              <w:t>6</w:t>
            </w:r>
          </w:p>
        </w:tc>
      </w:tr>
      <w:tr>
        <w:trPr>
          <w:trHeight w:val="183"/>
        </w:trPr>
        <w:tc>
          <w:tcPr>
            <w:tcW w:w="63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Nine months ended September 30, 1994 and 1993</w:t>
            </w:r>
          </w:p>
        </w:tc>
        <w:tc>
          <w:tcPr>
            <w:tcW w:w="800" w:type="dxa"/>
            <w:vAlign w:val="bottom"/>
          </w:tcPr>
          <w:p>
            <w:pPr>
              <w:spacing w:after="0"/>
              <w:rPr>
                <w:sz w:val="15"/>
                <w:szCs w:val="15"/>
                <w:color w:val="auto"/>
              </w:rPr>
            </w:pPr>
          </w:p>
        </w:tc>
      </w:tr>
      <w:tr>
        <w:trPr>
          <w:trHeight w:val="367"/>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Consolidated</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Statements of Operations (unaudited)</w:t>
            </w:r>
          </w:p>
        </w:tc>
        <w:tc>
          <w:tcPr>
            <w:tcW w:w="800" w:type="dxa"/>
            <w:vAlign w:val="bottom"/>
          </w:tcPr>
          <w:p>
            <w:pPr>
              <w:jc w:val="center"/>
              <w:ind w:left="261"/>
              <w:spacing w:after="0"/>
              <w:rPr>
                <w:sz w:val="20"/>
                <w:szCs w:val="20"/>
                <w:color w:val="auto"/>
              </w:rPr>
            </w:pPr>
            <w:r>
              <w:rPr>
                <w:rFonts w:ascii="Courier New" w:cs="Courier New" w:eastAsia="Courier New" w:hAnsi="Courier New"/>
                <w:sz w:val="16"/>
                <w:szCs w:val="16"/>
                <w:color w:val="auto"/>
              </w:rPr>
              <w:t>7</w:t>
            </w:r>
          </w:p>
        </w:tc>
      </w:tr>
      <w:tr>
        <w:trPr>
          <w:trHeight w:val="183"/>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Three months</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ended September 30, 1994 and 1993</w:t>
            </w:r>
          </w:p>
        </w:tc>
        <w:tc>
          <w:tcPr>
            <w:tcW w:w="800" w:type="dxa"/>
            <w:vAlign w:val="bottom"/>
          </w:tcPr>
          <w:p>
            <w:pPr>
              <w:spacing w:after="0"/>
              <w:rPr>
                <w:sz w:val="15"/>
                <w:szCs w:val="15"/>
                <w:color w:val="auto"/>
              </w:rPr>
            </w:pPr>
          </w:p>
        </w:tc>
      </w:tr>
      <w:tr>
        <w:trPr>
          <w:trHeight w:val="367"/>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Consolidated</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Statements</w:t>
            </w:r>
          </w:p>
        </w:tc>
        <w:tc>
          <w:tcPr>
            <w:tcW w:w="800" w:type="dxa"/>
            <w:vAlign w:val="bottom"/>
          </w:tcPr>
          <w:p>
            <w:pPr>
              <w:jc w:val="center"/>
              <w:ind w:left="261"/>
              <w:spacing w:after="0"/>
              <w:rPr>
                <w:sz w:val="20"/>
                <w:szCs w:val="20"/>
                <w:color w:val="auto"/>
              </w:rPr>
            </w:pPr>
            <w:r>
              <w:rPr>
                <w:rFonts w:ascii="Courier New" w:cs="Courier New" w:eastAsia="Courier New" w:hAnsi="Courier New"/>
                <w:sz w:val="16"/>
                <w:szCs w:val="16"/>
                <w:color w:val="auto"/>
              </w:rPr>
              <w:t>8</w:t>
            </w:r>
          </w:p>
        </w:tc>
      </w:tr>
      <w:tr>
        <w:trPr>
          <w:trHeight w:val="183"/>
        </w:trPr>
        <w:tc>
          <w:tcPr>
            <w:tcW w:w="63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of Shareholders' Equity (unaudited)</w:t>
            </w:r>
          </w:p>
        </w:tc>
        <w:tc>
          <w:tcPr>
            <w:tcW w:w="800" w:type="dxa"/>
            <w:vAlign w:val="bottom"/>
          </w:tcPr>
          <w:p>
            <w:pPr>
              <w:spacing w:after="0"/>
              <w:rPr>
                <w:sz w:val="15"/>
                <w:szCs w:val="15"/>
                <w:color w:val="auto"/>
              </w:rPr>
            </w:pPr>
          </w:p>
        </w:tc>
      </w:tr>
      <w:tr>
        <w:trPr>
          <w:trHeight w:val="183"/>
        </w:trPr>
        <w:tc>
          <w:tcPr>
            <w:tcW w:w="63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Nine months ended September 30, 1994 and 1993</w:t>
            </w:r>
          </w:p>
        </w:tc>
        <w:tc>
          <w:tcPr>
            <w:tcW w:w="800" w:type="dxa"/>
            <w:vAlign w:val="bottom"/>
          </w:tcPr>
          <w:p>
            <w:pPr>
              <w:spacing w:after="0"/>
              <w:rPr>
                <w:sz w:val="15"/>
                <w:szCs w:val="15"/>
                <w:color w:val="auto"/>
              </w:rPr>
            </w:pPr>
          </w:p>
        </w:tc>
      </w:tr>
      <w:tr>
        <w:trPr>
          <w:trHeight w:val="367"/>
        </w:trPr>
        <w:tc>
          <w:tcPr>
            <w:tcW w:w="2860" w:type="dxa"/>
            <w:vAlign w:val="bottom"/>
          </w:tcPr>
          <w:p>
            <w:pPr>
              <w:ind w:left="1620"/>
              <w:spacing w:after="0"/>
              <w:rPr>
                <w:sz w:val="20"/>
                <w:szCs w:val="20"/>
                <w:color w:val="auto"/>
              </w:rPr>
            </w:pPr>
            <w:r>
              <w:rPr>
                <w:rFonts w:ascii="Courier New" w:cs="Courier New" w:eastAsia="Courier New" w:hAnsi="Courier New"/>
                <w:sz w:val="16"/>
                <w:szCs w:val="16"/>
                <w:color w:val="auto"/>
              </w:rPr>
              <w:t>Consolidated</w:t>
            </w: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Statements of Cash Flows (unaudited)</w:t>
            </w:r>
          </w:p>
        </w:tc>
        <w:tc>
          <w:tcPr>
            <w:tcW w:w="8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w:t>
            </w:r>
          </w:p>
        </w:tc>
      </w:tr>
      <w:tr>
        <w:trPr>
          <w:trHeight w:val="183"/>
        </w:trPr>
        <w:tc>
          <w:tcPr>
            <w:tcW w:w="63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Nine months ended September 30, 1994 and 1993</w:t>
            </w:r>
          </w:p>
        </w:tc>
        <w:tc>
          <w:tcPr>
            <w:tcW w:w="800" w:type="dxa"/>
            <w:vAlign w:val="bottom"/>
          </w:tcPr>
          <w:p>
            <w:pPr>
              <w:spacing w:after="0"/>
              <w:rPr>
                <w:sz w:val="15"/>
                <w:szCs w:val="15"/>
                <w:color w:val="auto"/>
              </w:rPr>
            </w:pPr>
          </w:p>
        </w:tc>
      </w:tr>
      <w:tr>
        <w:trPr>
          <w:trHeight w:val="367"/>
        </w:trPr>
        <w:tc>
          <w:tcPr>
            <w:tcW w:w="6340" w:type="dxa"/>
            <w:vAlign w:val="bottom"/>
            <w:gridSpan w:val="2"/>
          </w:tcPr>
          <w:p>
            <w:pPr>
              <w:ind w:left="1620"/>
              <w:spacing w:after="0"/>
              <w:rPr>
                <w:sz w:val="20"/>
                <w:szCs w:val="20"/>
                <w:color w:val="auto"/>
              </w:rPr>
            </w:pPr>
            <w:r>
              <w:rPr>
                <w:rFonts w:ascii="Courier New" w:cs="Courier New" w:eastAsia="Courier New" w:hAnsi="Courier New"/>
                <w:sz w:val="16"/>
                <w:szCs w:val="16"/>
                <w:color w:val="auto"/>
              </w:rPr>
              <w:t>Notes to Financial Statements</w:t>
            </w:r>
          </w:p>
        </w:tc>
        <w:tc>
          <w:tcPr>
            <w:tcW w:w="800" w:type="dxa"/>
            <w:vAlign w:val="bottom"/>
          </w:tcPr>
          <w:p>
            <w:pPr>
              <w:jc w:val="center"/>
              <w:ind w:left="261"/>
              <w:spacing w:after="0"/>
              <w:rPr>
                <w:sz w:val="20"/>
                <w:szCs w:val="20"/>
                <w:color w:val="auto"/>
              </w:rPr>
            </w:pPr>
            <w:r>
              <w:rPr>
                <w:rFonts w:ascii="Courier New" w:cs="Courier New" w:eastAsia="Courier New" w:hAnsi="Courier New"/>
                <w:sz w:val="16"/>
                <w:szCs w:val="16"/>
                <w:color w:val="auto"/>
                <w:w w:val="95"/>
              </w:rPr>
              <w:t>10-13</w:t>
            </w:r>
          </w:p>
        </w:tc>
      </w:tr>
    </w:tbl>
    <w:p>
      <w:pPr>
        <w:sectPr>
          <w:pgSz w:w="11900" w:h="16838" w:orient="portrait"/>
          <w:cols w:equalWidth="0" w:num="1">
            <w:col w:w="9739"/>
          </w:cols>
          <w:pgMar w:left="720" w:top="42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Management's Discussion</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and Analysis of</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14-19</w:t>
            </w:r>
          </w:p>
        </w:tc>
      </w:tr>
      <w:tr>
        <w:trPr>
          <w:trHeight w:val="183"/>
        </w:trPr>
        <w:tc>
          <w:tcPr>
            <w:tcW w:w="1180" w:type="dxa"/>
            <w:vAlign w:val="bottom"/>
          </w:tcPr>
          <w:p>
            <w:pPr>
              <w:spacing w:after="0"/>
              <w:rPr>
                <w:sz w:val="15"/>
                <w:szCs w:val="15"/>
                <w:color w:val="auto"/>
              </w:rPr>
            </w:pP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Financial Condition and</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Results of Operations</w:t>
            </w:r>
          </w:p>
        </w:tc>
        <w:tc>
          <w:tcPr>
            <w:tcW w:w="860" w:type="dxa"/>
            <w:vAlign w:val="bottom"/>
          </w:tcPr>
          <w:p>
            <w:pPr>
              <w:spacing w:after="0"/>
              <w:rPr>
                <w:sz w:val="15"/>
                <w:szCs w:val="15"/>
                <w:color w:val="auto"/>
              </w:rPr>
            </w:pPr>
          </w:p>
        </w:tc>
      </w:tr>
      <w:tr>
        <w:trPr>
          <w:trHeight w:val="367"/>
        </w:trPr>
        <w:tc>
          <w:tcPr>
            <w:tcW w:w="11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2680" w:type="dxa"/>
            <w:vAlign w:val="bottom"/>
          </w:tcPr>
          <w:p>
            <w:pPr>
              <w:ind w:left="440"/>
              <w:spacing w:after="0"/>
              <w:rPr>
                <w:sz w:val="20"/>
                <w:szCs w:val="20"/>
                <w:color w:val="auto"/>
              </w:rPr>
            </w:pPr>
            <w:r>
              <w:rPr>
                <w:rFonts w:ascii="Courier New" w:cs="Courier New" w:eastAsia="Courier New" w:hAnsi="Courier New"/>
                <w:sz w:val="16"/>
                <w:szCs w:val="16"/>
                <w:color w:val="auto"/>
              </w:rPr>
              <w:t>OTHER INFORMATION</w:t>
            </w:r>
          </w:p>
        </w:tc>
        <w:tc>
          <w:tcPr>
            <w:tcW w:w="24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Exhibit 27 - Financial Data Schedule (For Edgar</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filing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39"/>
          </w:cols>
          <w:pgMar w:left="720" w:top="139" w:right="1440" w:bottom="1440" w:gutter="0" w:footer="0" w:header="0"/>
        </w:sectPr>
      </w:pPr>
    </w:p>
    <w:bookmarkStart w:id="2" w:name="page3"/>
    <w:bookmarkEnd w:id="2"/>
    <w:p>
      <w:pPr>
        <w:spacing w:after="0" w:line="200" w:lineRule="exact"/>
        <w:rPr>
          <w:sz w:val="20"/>
          <w:szCs w:val="20"/>
          <w:color w:val="auto"/>
        </w:rPr>
      </w:pPr>
    </w:p>
    <w:p>
      <w:pPr>
        <w:spacing w:after="0" w:line="309"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S.E.C. FORM 10-Q</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September 30, 1994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8" w:lineRule="exact"/>
        <w:rPr>
          <w:sz w:val="20"/>
          <w:szCs w:val="20"/>
          <w:color w:val="auto"/>
        </w:rPr>
      </w:pPr>
    </w:p>
    <w:p>
      <w:pPr>
        <w:ind w:left="1620" w:right="2679" w:firstLine="858"/>
        <w:spacing w:after="0" w:line="260"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61" w:lineRule="exact"/>
        <w:rPr>
          <w:sz w:val="20"/>
          <w:szCs w:val="20"/>
          <w:color w:val="auto"/>
        </w:rPr>
      </w:pPr>
    </w:p>
    <w:p>
      <w:pPr>
        <w:ind w:left="1620" w:right="2679" w:firstLine="858"/>
        <w:spacing w:after="0" w:line="242" w:lineRule="auto"/>
        <w:rPr>
          <w:sz w:val="20"/>
          <w:szCs w:val="20"/>
          <w:color w:val="auto"/>
        </w:rPr>
      </w:pPr>
      <w:r>
        <w:rPr>
          <w:rFonts w:ascii="Courier New" w:cs="Courier New" w:eastAsia="Courier New" w:hAnsi="Courier New"/>
          <w:sz w:val="16"/>
          <w:szCs w:val="16"/>
          <w:color w:val="auto"/>
        </w:rPr>
        <w:t>The balance sheet as of December 31, 1993 was audited by Grant Thornton, independent public accountants, who expressed an unqualified opinion on it in their report dated February 14, 1994. All other financial information presented is unaudited but has been reviewed as of September 30, 1994 and for each of the nine month and three month periods ended September 30, 1994 and 1993 by Grant Thornton whose report thereon appears on Page 4. All adjustments and disclosures proposed by them have been reflected in the data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39"/>
          </w:cols>
          <w:pgMar w:left="720" w:top="1440" w:right="1440" w:bottom="1440" w:gutter="0" w:footer="0" w:header="0"/>
        </w:sectPr>
      </w:pPr>
    </w:p>
    <w:bookmarkStart w:id="3" w:name="page4"/>
    <w:bookmarkEnd w:id="3"/>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Accountants' Review Report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September 30, 1994 and the related consolidated statements of operations, shareholders' equity and cash flows for the nine-month periods ended September 30, 1994 and 1993, and the consolidated statements of operations for the three-month periods ended September 30, 1994 and 1993. These financial statements are the responsibility of the Trust's management.</w:t>
      </w:r>
    </w:p>
    <w:p>
      <w:pPr>
        <w:spacing w:after="0" w:line="188"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89"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Based on our review, we are not aware of any material modifications that should be made to the accompanying financial statements for them to be in conformity with generally accepted accounting principles.</w:t>
      </w:r>
    </w:p>
    <w:p>
      <w:pPr>
        <w:spacing w:after="0" w:line="190"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December 31, 1993 and the related consolidated statements of operations, shareholders' equity and cash flows for the year then ended (not presented herein); and in our report dated February 14, 1994, we expressed an unqualified opinion on those consolidated financial statements. In our opinion, the information set forth in the accompanying condensed consolidated balance sheet as of December 31, 1993 is stated fairly, in all material respects, in relation to the consolidated balance sheet from which it has been derived.</w:t>
      </w:r>
    </w:p>
    <w:p>
      <w:pPr>
        <w:spacing w:after="0" w:line="175"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Grant Thornton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9,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39"/>
          </w:cols>
          <w:pgMar w:left="720" w:top="1440" w:right="1440" w:bottom="1440" w:gutter="0" w:footer="0" w:header="0"/>
        </w:sectPr>
      </w:pPr>
    </w:p>
    <w:bookmarkStart w:id="4" w:name="page5"/>
    <w:bookmarkEnd w:id="4"/>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00" w:type="dxa"/>
            <w:vAlign w:val="bottom"/>
          </w:tcPr>
          <w:p>
            <w:pPr>
              <w:spacing w:after="0"/>
              <w:rPr>
                <w:sz w:val="20"/>
                <w:szCs w:val="20"/>
                <w:color w:val="auto"/>
              </w:rPr>
            </w:pPr>
            <w:r>
              <w:rPr>
                <w:rFonts w:ascii="Courier New" w:cs="Courier New" w:eastAsia="Courier New" w:hAnsi="Courier New"/>
                <w:sz w:val="16"/>
                <w:szCs w:val="16"/>
                <w:color w:val="auto"/>
              </w:rPr>
              <w:t>Federal Realty Investment Trust</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67"/>
        </w:trPr>
        <w:tc>
          <w:tcPr>
            <w:tcW w:w="6500" w:type="dxa"/>
            <w:vAlign w:val="bottom"/>
          </w:tcPr>
          <w:p>
            <w:pPr>
              <w:spacing w:after="0"/>
              <w:rPr>
                <w:sz w:val="20"/>
                <w:szCs w:val="20"/>
                <w:color w:val="auto"/>
              </w:rPr>
            </w:pPr>
            <w:r>
              <w:rPr>
                <w:rFonts w:ascii="Courier New" w:cs="Courier New" w:eastAsia="Courier New" w:hAnsi="Courier New"/>
                <w:sz w:val="16"/>
                <w:szCs w:val="16"/>
                <w:color w:val="auto"/>
              </w:rPr>
              <w:t>CONSOLIDATED BALANCE SHEETS</w:t>
            </w:r>
          </w:p>
        </w:tc>
        <w:tc>
          <w:tcPr>
            <w:tcW w:w="2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3"/>
        </w:trPr>
        <w:tc>
          <w:tcPr>
            <w:tcW w:w="6500" w:type="dxa"/>
            <w:vAlign w:val="bottom"/>
          </w:tcPr>
          <w:p>
            <w:pPr>
              <w:spacing w:after="0"/>
              <w:rPr>
                <w:sz w:val="20"/>
                <w:szCs w:val="20"/>
                <w:color w:val="auto"/>
              </w:rPr>
            </w:pPr>
            <w:r>
              <w:rPr>
                <w:rFonts w:ascii="Courier New" w:cs="Courier New" w:eastAsia="Courier New" w:hAnsi="Courier New"/>
                <w:sz w:val="16"/>
                <w:szCs w:val="16"/>
                <w:color w:val="auto"/>
              </w:rPr>
              <w:t>(see accountants' review report)</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spacing w:after="0"/>
              <w:rPr>
                <w:sz w:val="15"/>
                <w:szCs w:val="15"/>
                <w:color w:val="auto"/>
              </w:rPr>
            </w:pP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September 30, 1994</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December 31, 1993</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(unaudited)</w:t>
            </w:r>
          </w:p>
        </w:tc>
        <w:tc>
          <w:tcPr>
            <w:tcW w:w="1780" w:type="dxa"/>
            <w:vAlign w:val="bottom"/>
          </w:tcPr>
          <w:p>
            <w:pPr>
              <w:spacing w:after="0"/>
              <w:rPr>
                <w:sz w:val="15"/>
                <w:szCs w:val="15"/>
                <w:color w:val="auto"/>
              </w:rPr>
            </w:pPr>
          </w:p>
        </w:tc>
      </w:tr>
      <w:tr>
        <w:trPr>
          <w:trHeight w:val="183"/>
        </w:trPr>
        <w:tc>
          <w:tcPr>
            <w:tcW w:w="6500" w:type="dxa"/>
            <w:vAlign w:val="bottom"/>
          </w:tcPr>
          <w:p>
            <w:pPr>
              <w:spacing w:after="0"/>
              <w:rPr>
                <w:sz w:val="15"/>
                <w:szCs w:val="15"/>
                <w:color w:val="auto"/>
              </w:rPr>
            </w:pPr>
          </w:p>
        </w:tc>
        <w:tc>
          <w:tcPr>
            <w:tcW w:w="23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(in thousands)</w:t>
            </w:r>
          </w:p>
        </w:tc>
        <w:tc>
          <w:tcPr>
            <w:tcW w:w="1780" w:type="dxa"/>
            <w:vAlign w:val="bottom"/>
          </w:tcPr>
          <w:p>
            <w:pPr>
              <w:spacing w:after="0"/>
              <w:rPr>
                <w:sz w:val="15"/>
                <w:szCs w:val="15"/>
                <w:color w:val="auto"/>
              </w:rPr>
            </w:pPr>
          </w:p>
        </w:tc>
      </w:tr>
      <w:tr>
        <w:trPr>
          <w:trHeight w:val="367"/>
        </w:trPr>
        <w:tc>
          <w:tcPr>
            <w:tcW w:w="6500" w:type="dxa"/>
            <w:vAlign w:val="bottom"/>
          </w:tcPr>
          <w:p>
            <w:pPr>
              <w:ind w:left="2960"/>
              <w:spacing w:after="0"/>
              <w:rPr>
                <w:sz w:val="20"/>
                <w:szCs w:val="20"/>
                <w:color w:val="auto"/>
              </w:rPr>
            </w:pPr>
            <w:r>
              <w:rPr>
                <w:rFonts w:ascii="Courier New" w:cs="Courier New" w:eastAsia="Courier New" w:hAnsi="Courier New"/>
                <w:sz w:val="16"/>
                <w:szCs w:val="16"/>
                <w:color w:val="auto"/>
              </w:rPr>
              <w:t>ASSETS</w:t>
            </w:r>
          </w:p>
        </w:tc>
        <w:tc>
          <w:tcPr>
            <w:tcW w:w="2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3"/>
        </w:trPr>
        <w:tc>
          <w:tcPr>
            <w:tcW w:w="650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Real estate, at cost</w:t>
            </w:r>
          </w:p>
        </w:tc>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$822,549</w:t>
            </w:r>
          </w:p>
        </w:tc>
        <w:tc>
          <w:tcPr>
            <w:tcW w:w="17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$758,088</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(153,476)</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(135,045)</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669,073</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623,043</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Mortgage notes receivable</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13,177</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13,871</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682,250</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636,914</w:t>
            </w:r>
          </w:p>
        </w:tc>
      </w:tr>
      <w:tr>
        <w:trPr>
          <w:trHeight w:val="183"/>
        </w:trPr>
        <w:tc>
          <w:tcPr>
            <w:tcW w:w="65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Cash</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7,314</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9,635</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Investments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3,673</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4,008</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Notes receivable - officers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2,797</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1,890</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14,910</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15,681</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Prepaid expenses and other assets, principally</w:t>
            </w:r>
          </w:p>
        </w:tc>
        <w:tc>
          <w:tcPr>
            <w:tcW w:w="23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19,499</w:t>
            </w:r>
          </w:p>
        </w:tc>
      </w:tr>
      <w:tr>
        <w:trPr>
          <w:trHeight w:val="183"/>
        </w:trPr>
        <w:tc>
          <w:tcPr>
            <w:tcW w:w="6500" w:type="dxa"/>
            <w:vAlign w:val="bottom"/>
          </w:tcPr>
          <w:p>
            <w:pPr>
              <w:ind w:left="760"/>
              <w:spacing w:after="0"/>
              <w:rPr>
                <w:sz w:val="20"/>
                <w:szCs w:val="20"/>
                <w:color w:val="auto"/>
              </w:rPr>
            </w:pPr>
            <w:r>
              <w:rPr>
                <w:rFonts w:ascii="Courier New" w:cs="Courier New" w:eastAsia="Courier New" w:hAnsi="Courier New"/>
                <w:sz w:val="16"/>
                <w:szCs w:val="16"/>
                <w:color w:val="auto"/>
              </w:rPr>
              <w:t>property taxes, interest, and lease commissions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20,466</w:t>
            </w:r>
          </w:p>
        </w:tc>
        <w:tc>
          <w:tcPr>
            <w:tcW w:w="1780" w:type="dxa"/>
            <w:vAlign w:val="bottom"/>
          </w:tcPr>
          <w:p>
            <w:pPr>
              <w:spacing w:after="0"/>
              <w:rPr>
                <w:sz w:val="15"/>
                <w:szCs w:val="15"/>
                <w:color w:val="auto"/>
              </w:rPr>
            </w:pPr>
          </w:p>
        </w:tc>
      </w:tr>
      <w:tr>
        <w:trPr>
          <w:trHeight w:val="367"/>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Debt issue costs (net of accumulated</w:t>
            </w:r>
          </w:p>
        </w:tc>
        <w:tc>
          <w:tcPr>
            <w:tcW w:w="2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3"/>
        </w:trPr>
        <w:tc>
          <w:tcPr>
            <w:tcW w:w="6500" w:type="dxa"/>
            <w:vAlign w:val="bottom"/>
          </w:tcPr>
          <w:p>
            <w:pPr>
              <w:ind w:left="760"/>
              <w:spacing w:after="0"/>
              <w:rPr>
                <w:sz w:val="20"/>
                <w:szCs w:val="20"/>
                <w:color w:val="auto"/>
              </w:rPr>
            </w:pPr>
            <w:r>
              <w:rPr>
                <w:rFonts w:ascii="Courier New" w:cs="Courier New" w:eastAsia="Courier New" w:hAnsi="Courier New"/>
                <w:sz w:val="16"/>
                <w:szCs w:val="16"/>
                <w:color w:val="auto"/>
              </w:rPr>
              <w:t>amortization of $3,087,000 and $3,862,000, respectively)</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2,991</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3,316</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$734,401</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$690,943</w:t>
            </w:r>
          </w:p>
        </w:tc>
      </w:tr>
      <w:tr>
        <w:trPr>
          <w:trHeight w:val="183"/>
        </w:trPr>
        <w:tc>
          <w:tcPr>
            <w:tcW w:w="6500" w:type="dxa"/>
            <w:vAlign w:val="bottom"/>
          </w:tcPr>
          <w:p>
            <w:pPr>
              <w:spacing w:after="0"/>
              <w:rPr>
                <w:sz w:val="15"/>
                <w:szCs w:val="15"/>
                <w:color w:val="auto"/>
              </w:rPr>
            </w:pP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00" w:type="dxa"/>
            <w:vAlign w:val="bottom"/>
          </w:tcPr>
          <w:p>
            <w:pPr>
              <w:ind w:left="1540"/>
              <w:spacing w:after="0"/>
              <w:rPr>
                <w:sz w:val="20"/>
                <w:szCs w:val="20"/>
                <w:color w:val="auto"/>
              </w:rPr>
            </w:pPr>
            <w:r>
              <w:rPr>
                <w:rFonts w:ascii="Courier New" w:cs="Courier New" w:eastAsia="Courier New" w:hAnsi="Courier New"/>
                <w:sz w:val="16"/>
                <w:szCs w:val="16"/>
                <w:color w:val="auto"/>
              </w:rPr>
              <w:t>LIABILITIES AND SHAREHOLDERS' EQUITY</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Obligations under capital leases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$136,580</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$137,308</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Mortgages payable</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103,028</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81,237</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Notes payable</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34,053</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30,519</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Accrued expenses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10,186</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19,104</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6,624</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5,785</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Dividends payable</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12,466</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10,927</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Security deposits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2,603</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2,430</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Prepaid rents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1,216</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1,783</w:t>
            </w: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5 1/4% Convertible subordinated debentures,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75,000</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75,000</w:t>
            </w:r>
          </w:p>
        </w:tc>
      </w:tr>
      <w:tr>
        <w:trPr>
          <w:trHeight w:val="183"/>
        </w:trPr>
        <w:tc>
          <w:tcPr>
            <w:tcW w:w="6500" w:type="dxa"/>
            <w:vAlign w:val="bottom"/>
          </w:tcPr>
          <w:p>
            <w:pPr>
              <w:ind w:left="760"/>
              <w:spacing w:after="0"/>
              <w:rPr>
                <w:sz w:val="20"/>
                <w:szCs w:val="20"/>
                <w:color w:val="auto"/>
              </w:rPr>
            </w:pPr>
            <w:r>
              <w:rPr>
                <w:rFonts w:ascii="Courier New" w:cs="Courier New" w:eastAsia="Courier New" w:hAnsi="Courier New"/>
                <w:sz w:val="16"/>
                <w:szCs w:val="16"/>
                <w:color w:val="auto"/>
              </w:rPr>
              <w:t>due 2003</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5 1/4% Convertible subordinated debentures,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289</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40,167</w:t>
            </w:r>
          </w:p>
        </w:tc>
      </w:tr>
      <w:tr>
        <w:trPr>
          <w:trHeight w:val="183"/>
        </w:trPr>
        <w:tc>
          <w:tcPr>
            <w:tcW w:w="6500" w:type="dxa"/>
            <w:vAlign w:val="bottom"/>
          </w:tcPr>
          <w:p>
            <w:pPr>
              <w:ind w:left="760"/>
              <w:spacing w:after="0"/>
              <w:rPr>
                <w:sz w:val="20"/>
                <w:szCs w:val="20"/>
                <w:color w:val="auto"/>
              </w:rPr>
            </w:pPr>
            <w:r>
              <w:rPr>
                <w:rFonts w:ascii="Courier New" w:cs="Courier New" w:eastAsia="Courier New" w:hAnsi="Courier New"/>
                <w:sz w:val="16"/>
                <w:szCs w:val="16"/>
                <w:color w:val="auto"/>
              </w:rPr>
              <w:t>due 2002</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spacing w:after="0"/>
              <w:rPr>
                <w:sz w:val="20"/>
                <w:szCs w:val="20"/>
                <w:color w:val="auto"/>
              </w:rPr>
            </w:pPr>
            <w:r>
              <w:rPr>
                <w:rFonts w:ascii="Courier New" w:cs="Courier New" w:eastAsia="Courier New" w:hAnsi="Courier New"/>
                <w:sz w:val="16"/>
                <w:szCs w:val="16"/>
                <w:color w:val="auto"/>
              </w:rPr>
              <w:t>Investors' interest in consolidated assets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2,379</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2,484</w:t>
            </w:r>
          </w:p>
        </w:tc>
      </w:tr>
      <w:tr>
        <w:trPr>
          <w:trHeight w:val="183"/>
        </w:trPr>
        <w:tc>
          <w:tcPr>
            <w:tcW w:w="65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ind w:left="200"/>
              <w:spacing w:after="0"/>
              <w:rPr>
                <w:sz w:val="20"/>
                <w:szCs w:val="20"/>
                <w:color w:val="auto"/>
              </w:rPr>
            </w:pPr>
            <w:r>
              <w:rPr>
                <w:rFonts w:ascii="Courier New" w:cs="Courier New" w:eastAsia="Courier New" w:hAnsi="Courier New"/>
                <w:sz w:val="16"/>
                <w:szCs w:val="16"/>
                <w:color w:val="auto"/>
              </w:rPr>
              <w:t>Common shares of beneficial interest, no</w:t>
            </w:r>
          </w:p>
        </w:tc>
        <w:tc>
          <w:tcPr>
            <w:tcW w:w="2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495,914</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408,005</w:t>
            </w:r>
          </w:p>
        </w:tc>
      </w:tr>
      <w:tr>
        <w:trPr>
          <w:trHeight w:val="183"/>
        </w:trPr>
        <w:tc>
          <w:tcPr>
            <w:tcW w:w="6500" w:type="dxa"/>
            <w:vAlign w:val="bottom"/>
          </w:tcPr>
          <w:p>
            <w:pPr>
              <w:ind w:left="760"/>
              <w:spacing w:after="0"/>
              <w:rPr>
                <w:sz w:val="20"/>
                <w:szCs w:val="20"/>
                <w:color w:val="auto"/>
              </w:rPr>
            </w:pPr>
            <w:r>
              <w:rPr>
                <w:rFonts w:ascii="Courier New" w:cs="Courier New" w:eastAsia="Courier New" w:hAnsi="Courier New"/>
                <w:sz w:val="16"/>
                <w:szCs w:val="16"/>
                <w:color w:val="auto"/>
              </w:rPr>
              <w:t>par or stated value, unlimited authorization, issued</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3"/>
        </w:trPr>
        <w:tc>
          <w:tcPr>
            <w:tcW w:w="6500" w:type="dxa"/>
            <w:vAlign w:val="bottom"/>
          </w:tcPr>
          <w:p>
            <w:pPr>
              <w:ind w:left="760"/>
              <w:spacing w:after="0"/>
              <w:rPr>
                <w:sz w:val="20"/>
                <w:szCs w:val="20"/>
                <w:color w:val="auto"/>
              </w:rPr>
            </w:pPr>
            <w:r>
              <w:rPr>
                <w:rFonts w:ascii="Courier New" w:cs="Courier New" w:eastAsia="Courier New" w:hAnsi="Courier New"/>
                <w:sz w:val="16"/>
                <w:szCs w:val="16"/>
                <w:color w:val="auto"/>
              </w:rPr>
              <w:t>31,618,611 and 28,077,999 shares, respectively</w:t>
            </w:r>
          </w:p>
        </w:tc>
        <w:tc>
          <w:tcPr>
            <w:tcW w:w="23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67"/>
        </w:trPr>
        <w:tc>
          <w:tcPr>
            <w:tcW w:w="6500" w:type="dxa"/>
            <w:vAlign w:val="bottom"/>
          </w:tcPr>
          <w:p>
            <w:pPr>
              <w:ind w:left="3620"/>
              <w:spacing w:after="0"/>
              <w:rPr>
                <w:sz w:val="20"/>
                <w:szCs w:val="20"/>
                <w:color w:val="auto"/>
              </w:rPr>
            </w:pPr>
            <w:r>
              <w:rPr>
                <w:rFonts w:ascii="Courier New" w:cs="Courier New" w:eastAsia="Courier New" w:hAnsi="Courier New"/>
                <w:sz w:val="16"/>
                <w:szCs w:val="16"/>
                <w:color w:val="auto"/>
              </w:rPr>
              <w:t>5</w:t>
            </w:r>
          </w:p>
        </w:tc>
        <w:tc>
          <w:tcPr>
            <w:tcW w:w="23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600"/>
          </w:cols>
          <w:pgMar w:left="900" w:top="1440" w:right="399" w:bottom="1440" w:gutter="0" w:footer="0" w:header="0"/>
        </w:sectPr>
      </w:pPr>
    </w:p>
    <w:bookmarkStart w:id="5" w:name="page6"/>
    <w:bookmarkEnd w:id="5"/>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20" w:type="dxa"/>
            <w:vAlign w:val="bottom"/>
          </w:tcPr>
          <w:p>
            <w:pPr>
              <w:ind w:left="200"/>
              <w:spacing w:after="0"/>
              <w:rPr>
                <w:sz w:val="20"/>
                <w:szCs w:val="20"/>
                <w:color w:val="auto"/>
              </w:rPr>
            </w:pPr>
            <w:r>
              <w:rPr>
                <w:rFonts w:ascii="Courier New" w:cs="Courier New" w:eastAsia="Courier New" w:hAnsi="Courier New"/>
                <w:sz w:val="16"/>
                <w:szCs w:val="16"/>
                <w:color w:val="auto"/>
              </w:rPr>
              <w:t>Accumulated dividends in excess of Trust net</w:t>
            </w: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(138,278)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(116,823)</w:t>
            </w:r>
          </w:p>
        </w:tc>
      </w:tr>
      <w:tr>
        <w:trPr>
          <w:trHeight w:val="183"/>
        </w:trPr>
        <w:tc>
          <w:tcPr>
            <w:tcW w:w="6920" w:type="dxa"/>
            <w:vAlign w:val="bottom"/>
          </w:tcPr>
          <w:p>
            <w:pPr>
              <w:ind w:left="760"/>
              <w:spacing w:after="0"/>
              <w:rPr>
                <w:sz w:val="20"/>
                <w:szCs w:val="20"/>
                <w:color w:val="auto"/>
              </w:rPr>
            </w:pPr>
            <w:r>
              <w:rPr>
                <w:rFonts w:ascii="Courier New" w:cs="Courier New" w:eastAsia="Courier New" w:hAnsi="Courier New"/>
                <w:sz w:val="16"/>
                <w:szCs w:val="16"/>
                <w:color w:val="auto"/>
              </w:rPr>
              <w:t>income</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920" w:type="dxa"/>
            <w:vAlign w:val="bottom"/>
          </w:tcPr>
          <w:p>
            <w:pPr>
              <w:ind w:left="200"/>
              <w:spacing w:after="0"/>
              <w:rPr>
                <w:sz w:val="20"/>
                <w:szCs w:val="20"/>
                <w:color w:val="auto"/>
              </w:rPr>
            </w:pPr>
            <w:r>
              <w:rPr>
                <w:rFonts w:ascii="Courier New" w:cs="Courier New" w:eastAsia="Courier New" w:hAnsi="Courier New"/>
                <w:sz w:val="16"/>
                <w:szCs w:val="16"/>
                <w:color w:val="auto"/>
              </w:rPr>
              <w:t>Allowance for unrealized loss on marketable</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920" w:type="dxa"/>
            <w:vAlign w:val="bottom"/>
          </w:tcPr>
          <w:p>
            <w:pPr>
              <w:ind w:left="760"/>
              <w:spacing w:after="0"/>
              <w:rPr>
                <w:sz w:val="20"/>
                <w:szCs w:val="20"/>
                <w:color w:val="auto"/>
              </w:rPr>
            </w:pPr>
            <w:r>
              <w:rPr>
                <w:rFonts w:ascii="Courier New" w:cs="Courier New" w:eastAsia="Courier New" w:hAnsi="Courier New"/>
                <w:sz w:val="16"/>
                <w:szCs w:val="16"/>
                <w:color w:val="auto"/>
              </w:rPr>
              <w:t>securities</w:t>
            </w: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(364)</w:t>
            </w:r>
          </w:p>
        </w:tc>
      </w:tr>
      <w:tr>
        <w:trPr>
          <w:trHeight w:val="183"/>
        </w:trPr>
        <w:tc>
          <w:tcPr>
            <w:tcW w:w="6920" w:type="dxa"/>
            <w:vAlign w:val="bottom"/>
          </w:tcPr>
          <w:p>
            <w:pPr>
              <w:spacing w:after="0"/>
              <w:rPr>
                <w:sz w:val="15"/>
                <w:szCs w:val="15"/>
                <w:color w:val="auto"/>
              </w:rPr>
            </w:pP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357,174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290,818</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Less 60,200 common shares in treasury - at cost,</w:t>
            </w: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(7,197)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(6,619)</w:t>
            </w:r>
          </w:p>
        </w:tc>
      </w:tr>
      <w:tr>
        <w:trPr>
          <w:trHeight w:val="183"/>
        </w:trPr>
        <w:tc>
          <w:tcPr>
            <w:tcW w:w="6920" w:type="dxa"/>
            <w:vAlign w:val="bottom"/>
          </w:tcPr>
          <w:p>
            <w:pPr>
              <w:ind w:left="760"/>
              <w:spacing w:after="0"/>
              <w:rPr>
                <w:sz w:val="20"/>
                <w:szCs w:val="20"/>
                <w:color w:val="auto"/>
              </w:rPr>
            </w:pPr>
            <w:r>
              <w:rPr>
                <w:rFonts w:ascii="Courier New" w:cs="Courier New" w:eastAsia="Courier New" w:hAnsi="Courier New"/>
                <w:sz w:val="16"/>
                <w:szCs w:val="16"/>
                <w:color w:val="auto"/>
              </w:rPr>
              <w:t>and subscriptions receivable</w:t>
            </w: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920" w:type="dxa"/>
            <w:vAlign w:val="bottom"/>
          </w:tcPr>
          <w:p>
            <w:pPr>
              <w:spacing w:after="0"/>
              <w:rPr>
                <w:sz w:val="24"/>
                <w:szCs w:val="24"/>
                <w:color w:val="auto"/>
              </w:rPr>
            </w:pP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349,977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284,199</w:t>
            </w:r>
          </w:p>
        </w:tc>
      </w:tr>
      <w:tr>
        <w:trPr>
          <w:trHeight w:val="183"/>
        </w:trPr>
        <w:tc>
          <w:tcPr>
            <w:tcW w:w="6920" w:type="dxa"/>
            <w:vAlign w:val="bottom"/>
          </w:tcPr>
          <w:p>
            <w:pPr>
              <w:spacing w:after="0"/>
              <w:rPr>
                <w:sz w:val="15"/>
                <w:szCs w:val="15"/>
                <w:color w:val="auto"/>
              </w:rPr>
            </w:pP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15"/>
                <w:szCs w:val="15"/>
                <w:color w:val="auto"/>
              </w:rPr>
            </w:pP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$734,401</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$690,943</w:t>
            </w:r>
          </w:p>
        </w:tc>
      </w:tr>
      <w:tr>
        <w:trPr>
          <w:trHeight w:val="183"/>
        </w:trPr>
        <w:tc>
          <w:tcPr>
            <w:tcW w:w="6920" w:type="dxa"/>
            <w:vAlign w:val="bottom"/>
          </w:tcPr>
          <w:p>
            <w:pPr>
              <w:spacing w:after="0"/>
              <w:rPr>
                <w:sz w:val="15"/>
                <w:szCs w:val="15"/>
                <w:color w:val="auto"/>
              </w:rPr>
            </w:pPr>
          </w:p>
        </w:tc>
        <w:tc>
          <w:tcPr>
            <w:tcW w:w="2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920" w:type="dxa"/>
            <w:vAlign w:val="bottom"/>
          </w:tcPr>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tc>
        <w:tc>
          <w:tcPr>
            <w:tcW w:w="224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600"/>
          </w:cols>
          <w:pgMar w:left="900" w:top="1440" w:right="399" w:bottom="1440" w:gutter="0" w:footer="0" w:header="0"/>
        </w:sectPr>
      </w:pPr>
    </w:p>
    <w:bookmarkStart w:id="6" w:name="page7"/>
    <w:bookmarkEnd w:id="6"/>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40" w:type="dxa"/>
            <w:vAlign w:val="bottom"/>
          </w:tcPr>
          <w:p>
            <w:pPr>
              <w:spacing w:after="0"/>
              <w:rPr>
                <w:sz w:val="20"/>
                <w:szCs w:val="20"/>
                <w:color w:val="auto"/>
              </w:rPr>
            </w:pPr>
            <w:r>
              <w:rPr>
                <w:rFonts w:ascii="Courier New" w:cs="Courier New" w:eastAsia="Courier New" w:hAnsi="Courier New"/>
                <w:sz w:val="16"/>
                <w:szCs w:val="16"/>
                <w:color w:val="auto"/>
              </w:rPr>
              <w:t>Federal Realty Investment Trust</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CONSOLIDATED STATEMENTS OF OPERATIONS</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(see accountants' review report)</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ind w:left="2100"/>
              <w:spacing w:after="0"/>
              <w:rPr>
                <w:sz w:val="20"/>
                <w:szCs w:val="20"/>
                <w:color w:val="auto"/>
              </w:rPr>
            </w:pPr>
            <w:r>
              <w:rPr>
                <w:rFonts w:ascii="Courier New" w:cs="Courier New" w:eastAsia="Courier New" w:hAnsi="Courier New"/>
                <w:sz w:val="16"/>
                <w:szCs w:val="16"/>
                <w:color w:val="auto"/>
              </w:rPr>
              <w:t>(unaudited)</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spacing w:after="0"/>
              <w:rPr>
                <w:sz w:val="15"/>
                <w:szCs w:val="15"/>
                <w:color w:val="auto"/>
              </w:rPr>
            </w:pPr>
          </w:p>
        </w:tc>
        <w:tc>
          <w:tcPr>
            <w:tcW w:w="368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1121"/>
              <w:spacing w:after="0"/>
              <w:rPr>
                <w:sz w:val="20"/>
                <w:szCs w:val="20"/>
                <w:color w:val="auto"/>
              </w:rPr>
            </w:pPr>
            <w:r>
              <w:rPr>
                <w:rFonts w:ascii="Courier New" w:cs="Courier New" w:eastAsia="Courier New" w:hAnsi="Courier New"/>
                <w:sz w:val="16"/>
                <w:szCs w:val="16"/>
                <w:color w:val="auto"/>
              </w:rPr>
              <w:t>1994</w:t>
            </w:r>
          </w:p>
        </w:tc>
        <w:tc>
          <w:tcPr>
            <w:tcW w:w="168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112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w:t>
            </w:r>
          </w:p>
        </w:tc>
      </w:tr>
      <w:tr>
        <w:trPr>
          <w:trHeight w:val="367"/>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20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Rental income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$94,168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$77,185</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Interest</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3,046</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2,858</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Other income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4,068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3,943</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101,282</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83,986</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Rental</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27,183</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19,393</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Real estate taxes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8,874</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7,606</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Interest</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23,533</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23,474</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Administrative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4,448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3,286</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Other charges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758</w:t>
            </w:r>
          </w:p>
        </w:tc>
        <w:tc>
          <w:tcPr>
            <w:tcW w:w="1680" w:type="dxa"/>
            <w:vAlign w:val="bottom"/>
          </w:tcPr>
          <w:p>
            <w:pPr>
              <w:spacing w:after="0"/>
              <w:rPr>
                <w:sz w:val="15"/>
                <w:szCs w:val="15"/>
                <w:color w:val="auto"/>
              </w:rPr>
            </w:pP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Depreciation and amortization</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21,736</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18,643</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86,532</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72,402</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Operating income before investors'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14,750</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11,584</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share of operations and extraordinary item</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Investors' share of operations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(495)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(673)</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Income before extraordinary item</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14,255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10,911</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Extraordinary item</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(1,027)</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Net loss on early extinguishment of debt</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$14,255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$9,884</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30,368</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26,713</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$0.47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$0.41</w:t>
            </w: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Income before extraordinary item</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3"/>
        </w:trPr>
        <w:tc>
          <w:tcPr>
            <w:tcW w:w="6540" w:type="dxa"/>
            <w:vAlign w:val="bottom"/>
          </w:tcPr>
          <w:p>
            <w:pPr>
              <w:ind w:left="760"/>
              <w:spacing w:after="0"/>
              <w:rPr>
                <w:sz w:val="20"/>
                <w:szCs w:val="20"/>
                <w:color w:val="auto"/>
              </w:rPr>
            </w:pPr>
            <w:r>
              <w:rPr>
                <w:rFonts w:ascii="Courier New" w:cs="Courier New" w:eastAsia="Courier New" w:hAnsi="Courier New"/>
                <w:sz w:val="16"/>
                <w:szCs w:val="16"/>
                <w:color w:val="auto"/>
              </w:rPr>
              <w:t>Extraordinary item</w:t>
            </w: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$0.47</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$0.37</w:t>
            </w:r>
          </w:p>
        </w:tc>
      </w:tr>
      <w:tr>
        <w:trPr>
          <w:trHeight w:val="183"/>
        </w:trPr>
        <w:tc>
          <w:tcPr>
            <w:tcW w:w="6540" w:type="dxa"/>
            <w:vAlign w:val="bottom"/>
          </w:tcPr>
          <w:p>
            <w:pPr>
              <w:spacing w:after="0"/>
              <w:rPr>
                <w:sz w:val="15"/>
                <w:szCs w:val="15"/>
                <w:color w:val="auto"/>
              </w:rPr>
            </w:pPr>
          </w:p>
        </w:tc>
        <w:tc>
          <w:tcPr>
            <w:tcW w:w="2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540" w:type="dxa"/>
            <w:vAlign w:val="bottom"/>
          </w:tcPr>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tc>
        <w:tc>
          <w:tcPr>
            <w:tcW w:w="200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900" w:top="1440" w:right="779" w:bottom="1440" w:gutter="0" w:footer="0" w:header="0"/>
        </w:sectPr>
      </w:pPr>
    </w:p>
    <w:bookmarkStart w:id="7" w:name="page8"/>
    <w:bookmarkEnd w:id="7"/>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40" w:type="dxa"/>
            <w:vAlign w:val="bottom"/>
          </w:tcPr>
          <w:p>
            <w:pPr>
              <w:spacing w:after="0"/>
              <w:rPr>
                <w:sz w:val="20"/>
                <w:szCs w:val="20"/>
                <w:color w:val="auto"/>
              </w:rPr>
            </w:pPr>
            <w:r>
              <w:rPr>
                <w:rFonts w:ascii="Courier New" w:cs="Courier New" w:eastAsia="Courier New" w:hAnsi="Courier New"/>
                <w:sz w:val="16"/>
                <w:szCs w:val="16"/>
                <w:color w:val="auto"/>
              </w:rPr>
              <w:t>Federal Realty Investment Trust</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CONSOLIDATED STATEMENTS OF OPERATIONS</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(see accountants' review report)</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(unaudited)</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340" w:type="dxa"/>
            <w:vAlign w:val="bottom"/>
          </w:tcPr>
          <w:p>
            <w:pPr>
              <w:spacing w:after="0"/>
              <w:rPr>
                <w:sz w:val="15"/>
                <w:szCs w:val="15"/>
                <w:color w:val="auto"/>
              </w:rPr>
            </w:pPr>
          </w:p>
        </w:tc>
        <w:tc>
          <w:tcPr>
            <w:tcW w:w="3880" w:type="dxa"/>
            <w:vAlign w:val="bottom"/>
            <w:gridSpan w:val="2"/>
          </w:tcPr>
          <w:p>
            <w:pPr>
              <w:jc w:val="right"/>
              <w:ind w:right="1161"/>
              <w:spacing w:after="0"/>
              <w:rPr>
                <w:sz w:val="20"/>
                <w:szCs w:val="20"/>
                <w:color w:val="auto"/>
              </w:rPr>
            </w:pPr>
            <w:r>
              <w:rPr>
                <w:rFonts w:ascii="Courier New" w:cs="Courier New" w:eastAsia="Courier New" w:hAnsi="Courier New"/>
                <w:sz w:val="16"/>
                <w:szCs w:val="16"/>
                <w:color w:val="auto"/>
              </w:rPr>
              <w:t>Three months ended</w:t>
            </w:r>
          </w:p>
        </w:tc>
      </w:tr>
      <w:tr>
        <w:trPr>
          <w:trHeight w:val="183"/>
        </w:trPr>
        <w:tc>
          <w:tcPr>
            <w:tcW w:w="634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6"/>
                <w:szCs w:val="16"/>
                <w:color w:val="auto"/>
              </w:rPr>
              <w:t>September 30,</w:t>
            </w:r>
          </w:p>
        </w:tc>
        <w:tc>
          <w:tcPr>
            <w:tcW w:w="1440" w:type="dxa"/>
            <w:vAlign w:val="bottom"/>
          </w:tcPr>
          <w:p>
            <w:pPr>
              <w:spacing w:after="0"/>
              <w:rPr>
                <w:sz w:val="15"/>
                <w:szCs w:val="15"/>
                <w:color w:val="auto"/>
              </w:rPr>
            </w:pPr>
          </w:p>
        </w:tc>
      </w:tr>
      <w:tr>
        <w:trPr>
          <w:trHeight w:val="183"/>
        </w:trPr>
        <w:tc>
          <w:tcPr>
            <w:tcW w:w="6340" w:type="dxa"/>
            <w:vAlign w:val="bottom"/>
          </w:tcPr>
          <w:p>
            <w:pPr>
              <w:spacing w:after="0"/>
              <w:rPr>
                <w:sz w:val="15"/>
                <w:szCs w:val="15"/>
                <w:color w:val="auto"/>
              </w:rPr>
            </w:pPr>
          </w:p>
        </w:tc>
        <w:tc>
          <w:tcPr>
            <w:tcW w:w="2440" w:type="dxa"/>
            <w:vAlign w:val="bottom"/>
          </w:tcPr>
          <w:p>
            <w:pPr>
              <w:jc w:val="right"/>
              <w:ind w:right="1741"/>
              <w:spacing w:after="0"/>
              <w:rPr>
                <w:sz w:val="20"/>
                <w:szCs w:val="20"/>
                <w:color w:val="auto"/>
              </w:rPr>
            </w:pPr>
            <w:r>
              <w:rPr>
                <w:rFonts w:ascii="Courier New" w:cs="Courier New" w:eastAsia="Courier New" w:hAnsi="Courier New"/>
                <w:sz w:val="16"/>
                <w:szCs w:val="16"/>
                <w:color w:val="auto"/>
              </w:rPr>
              <w:t>1994</w:t>
            </w:r>
          </w:p>
        </w:tc>
        <w:tc>
          <w:tcPr>
            <w:tcW w:w="1440" w:type="dxa"/>
            <w:vAlign w:val="bottom"/>
          </w:tcPr>
          <w:p>
            <w:pPr>
              <w:jc w:val="right"/>
              <w:ind w:right="981"/>
              <w:spacing w:after="0"/>
              <w:rPr>
                <w:sz w:val="20"/>
                <w:szCs w:val="20"/>
                <w:color w:val="auto"/>
              </w:rPr>
            </w:pPr>
            <w:r>
              <w:rPr>
                <w:rFonts w:ascii="Courier New" w:cs="Courier New" w:eastAsia="Courier New" w:hAnsi="Courier New"/>
                <w:sz w:val="16"/>
                <w:szCs w:val="16"/>
                <w:color w:val="auto"/>
                <w:w w:val="93"/>
              </w:rPr>
              <w:t>1993</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w:t>
            </w:r>
          </w:p>
        </w:tc>
      </w:tr>
      <w:tr>
        <w:trPr>
          <w:trHeight w:val="367"/>
        </w:trPr>
        <w:tc>
          <w:tcPr>
            <w:tcW w:w="634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data)</w:t>
            </w: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Rental income</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$32,238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$26,460</w:t>
            </w: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Interest</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1,009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802</w:t>
            </w: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Other income</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1,549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1,636</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34,796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28,898</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Rental</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9,247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6,655</w:t>
            </w: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Real estate taxes</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3,254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2,758</w:t>
            </w: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Interest</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7,718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7,268</w:t>
            </w: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Administrative</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1,264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964</w:t>
            </w: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Other charges</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758</w:t>
            </w:r>
          </w:p>
        </w:tc>
        <w:tc>
          <w:tcPr>
            <w:tcW w:w="1440" w:type="dxa"/>
            <w:vAlign w:val="bottom"/>
          </w:tcPr>
          <w:p>
            <w:pPr>
              <w:spacing w:after="0"/>
              <w:rPr>
                <w:sz w:val="15"/>
                <w:szCs w:val="15"/>
                <w:color w:val="auto"/>
              </w:rPr>
            </w:pP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Depreciation and amortization</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7,570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6,522</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29,811</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24,167</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Operating income before investors'</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4,985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4,731</w:t>
            </w: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share of operations and extraordinary item</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340" w:type="dxa"/>
            <w:vAlign w:val="bottom"/>
          </w:tcPr>
          <w:p>
            <w:pPr>
              <w:ind w:left="760"/>
              <w:spacing w:after="0"/>
              <w:rPr>
                <w:sz w:val="20"/>
                <w:szCs w:val="20"/>
                <w:color w:val="auto"/>
              </w:rPr>
            </w:pPr>
            <w:r>
              <w:rPr>
                <w:rFonts w:ascii="Courier New" w:cs="Courier New" w:eastAsia="Courier New" w:hAnsi="Courier New"/>
                <w:sz w:val="16"/>
                <w:szCs w:val="16"/>
                <w:color w:val="auto"/>
              </w:rPr>
              <w:t>Investors' share of operations</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$4,966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$4,538</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31,563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27,852</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$0.16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$0.16</w:t>
            </w:r>
          </w:p>
        </w:tc>
      </w:tr>
      <w:tr>
        <w:trPr>
          <w:trHeight w:val="183"/>
        </w:trPr>
        <w:tc>
          <w:tcPr>
            <w:tcW w:w="6340" w:type="dxa"/>
            <w:vAlign w:val="bottom"/>
          </w:tcPr>
          <w:p>
            <w:pPr>
              <w:spacing w:after="0"/>
              <w:rPr>
                <w:sz w:val="15"/>
                <w:szCs w:val="15"/>
                <w:color w:val="auto"/>
              </w:rPr>
            </w:pPr>
          </w:p>
        </w:tc>
        <w:tc>
          <w:tcPr>
            <w:tcW w:w="24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340" w:type="dxa"/>
            <w:vAlign w:val="bottom"/>
          </w:tcPr>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tc>
        <w:tc>
          <w:tcPr>
            <w:tcW w:w="244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900" w:top="1440" w:right="779" w:bottom="1440" w:gutter="0" w:footer="0" w:header="0"/>
        </w:sectPr>
      </w:pPr>
    </w:p>
    <w:bookmarkStart w:id="8" w:name="page9"/>
    <w:bookmarkEnd w:id="8"/>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accountants' review report)</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4440" w:type="dxa"/>
            <w:vAlign w:val="bottom"/>
          </w:tcPr>
          <w:p>
            <w:pPr>
              <w:ind w:left="2300"/>
              <w:spacing w:after="0"/>
              <w:rPr>
                <w:sz w:val="20"/>
                <w:szCs w:val="20"/>
                <w:color w:val="auto"/>
              </w:rPr>
            </w:pPr>
            <w:r>
              <w:rPr>
                <w:rFonts w:ascii="Courier New" w:cs="Courier New" w:eastAsia="Courier New" w:hAnsi="Courier New"/>
                <w:sz w:val="16"/>
                <w:szCs w:val="16"/>
                <w:color w:val="auto"/>
              </w:rPr>
              <w:t>(unaudited)</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50"/>
        </w:trPr>
        <w:tc>
          <w:tcPr>
            <w:tcW w:w="4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Nine months ended September 30</w:t>
            </w:r>
          </w:p>
        </w:tc>
        <w:tc>
          <w:tcPr>
            <w:tcW w:w="1460" w:type="dxa"/>
            <w:vAlign w:val="bottom"/>
          </w:tcPr>
          <w:p>
            <w:pPr>
              <w:spacing w:after="0"/>
              <w:rPr>
                <w:sz w:val="24"/>
                <w:szCs w:val="24"/>
                <w:color w:val="auto"/>
              </w:rPr>
            </w:pPr>
          </w:p>
        </w:tc>
      </w:tr>
      <w:tr>
        <w:trPr>
          <w:trHeight w:val="183"/>
        </w:trPr>
        <w:tc>
          <w:tcPr>
            <w:tcW w:w="4440" w:type="dxa"/>
            <w:vAlign w:val="bottom"/>
          </w:tcPr>
          <w:p>
            <w:pPr>
              <w:spacing w:after="0"/>
              <w:rPr>
                <w:sz w:val="15"/>
                <w:szCs w:val="15"/>
                <w:color w:val="auto"/>
              </w:rPr>
            </w:pPr>
          </w:p>
        </w:tc>
        <w:tc>
          <w:tcPr>
            <w:tcW w:w="1720" w:type="dxa"/>
            <w:vAlign w:val="bottom"/>
          </w:tcPr>
          <w:p>
            <w:pPr>
              <w:ind w:left="620"/>
              <w:spacing w:after="0"/>
              <w:rPr>
                <w:sz w:val="20"/>
                <w:szCs w:val="20"/>
                <w:color w:val="auto"/>
              </w:rPr>
            </w:pPr>
            <w:r>
              <w:rPr>
                <w:rFonts w:ascii="Courier New" w:cs="Courier New" w:eastAsia="Courier New" w:hAnsi="Courier New"/>
                <w:sz w:val="16"/>
                <w:szCs w:val="16"/>
                <w:color w:val="auto"/>
              </w:rPr>
              <w:t>1994</w:t>
            </w:r>
          </w:p>
        </w:tc>
        <w:tc>
          <w:tcPr>
            <w:tcW w:w="1620" w:type="dxa"/>
            <w:vAlign w:val="bottom"/>
          </w:tcPr>
          <w:p>
            <w:pPr>
              <w:spacing w:after="0"/>
              <w:rPr>
                <w:sz w:val="15"/>
                <w:szCs w:val="15"/>
                <w:color w:val="auto"/>
              </w:rPr>
            </w:pPr>
          </w:p>
        </w:tc>
        <w:tc>
          <w:tcPr>
            <w:tcW w:w="1620" w:type="dxa"/>
            <w:vAlign w:val="bottom"/>
          </w:tcPr>
          <w:p>
            <w:pPr>
              <w:ind w:left="520"/>
              <w:spacing w:after="0"/>
              <w:rPr>
                <w:sz w:val="20"/>
                <w:szCs w:val="20"/>
                <w:color w:val="auto"/>
              </w:rPr>
            </w:pPr>
            <w:r>
              <w:rPr>
                <w:rFonts w:ascii="Courier New" w:cs="Courier New" w:eastAsia="Courier New" w:hAnsi="Courier New"/>
                <w:sz w:val="16"/>
                <w:szCs w:val="16"/>
                <w:color w:val="auto"/>
              </w:rPr>
              <w:t>1993</w:t>
            </w:r>
          </w:p>
        </w:tc>
        <w:tc>
          <w:tcPr>
            <w:tcW w:w="1460" w:type="dxa"/>
            <w:vAlign w:val="bottom"/>
          </w:tcPr>
          <w:p>
            <w:pPr>
              <w:spacing w:after="0"/>
              <w:rPr>
                <w:sz w:val="15"/>
                <w:szCs w:val="15"/>
                <w:color w:val="auto"/>
              </w:rPr>
            </w:pPr>
          </w:p>
        </w:tc>
      </w:tr>
      <w:tr>
        <w:trPr>
          <w:trHeight w:val="183"/>
        </w:trPr>
        <w:tc>
          <w:tcPr>
            <w:tcW w:w="4440" w:type="dxa"/>
            <w:vAlign w:val="bottom"/>
          </w:tcPr>
          <w:p>
            <w:pPr>
              <w:spacing w:after="0"/>
              <w:rPr>
                <w:sz w:val="15"/>
                <w:szCs w:val="15"/>
                <w:color w:val="auto"/>
              </w:rPr>
            </w:pP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1720" w:type="dxa"/>
            <w:vAlign w:val="bottom"/>
          </w:tcPr>
          <w:p>
            <w:pPr>
              <w:ind w:left="620"/>
              <w:spacing w:after="0"/>
              <w:rPr>
                <w:sz w:val="20"/>
                <w:szCs w:val="20"/>
                <w:color w:val="auto"/>
              </w:rPr>
            </w:pPr>
            <w:r>
              <w:rPr>
                <w:rFonts w:ascii="Courier New" w:cs="Courier New" w:eastAsia="Courier New" w:hAnsi="Courier New"/>
                <w:sz w:val="16"/>
                <w:szCs w:val="16"/>
                <w:color w:val="auto"/>
              </w:rPr>
              <w:t>Shares</w:t>
            </w:r>
          </w:p>
        </w:tc>
        <w:tc>
          <w:tcPr>
            <w:tcW w:w="16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Amount</w:t>
            </w:r>
          </w:p>
        </w:tc>
        <w:tc>
          <w:tcPr>
            <w:tcW w:w="1620" w:type="dxa"/>
            <w:vAlign w:val="bottom"/>
          </w:tcPr>
          <w:p>
            <w:pPr>
              <w:ind w:left="520"/>
              <w:spacing w:after="0"/>
              <w:rPr>
                <w:sz w:val="20"/>
                <w:szCs w:val="20"/>
                <w:color w:val="auto"/>
              </w:rPr>
            </w:pPr>
            <w:r>
              <w:rPr>
                <w:rFonts w:ascii="Courier New" w:cs="Courier New" w:eastAsia="Courier New" w:hAnsi="Courier New"/>
                <w:sz w:val="16"/>
                <w:szCs w:val="16"/>
                <w:color w:val="auto"/>
              </w:rPr>
              <w:t>Shares</w:t>
            </w:r>
          </w:p>
        </w:tc>
        <w:tc>
          <w:tcPr>
            <w:tcW w:w="14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Amount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Balance, beginning of period</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28,077,999</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$408,005</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24,777,831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$322,903</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Exercise of stock options</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45,740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1,009</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53,384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1,053</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Shares issued under dividend reinvestment</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113,143</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2,873</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100,841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2,709</w:t>
            </w:r>
          </w:p>
        </w:tc>
      </w:tr>
      <w:tr>
        <w:trPr>
          <w:trHeight w:val="183"/>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plan</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Conversion of 8 3/4% subordinated</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137,364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2,209</w:t>
            </w: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debentures, net of costs of $50,000</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Conversion of 5 1/4% subordinated</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1,729</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debentures, net</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Shares purchased under share purchase plan</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Net proceeds of public offering and private</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3,340,000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82,963</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2,757,800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72,807</w:t>
            </w:r>
          </w:p>
        </w:tc>
      </w:tr>
      <w:tr>
        <w:trPr>
          <w:trHeight w:val="183"/>
        </w:trPr>
        <w:tc>
          <w:tcPr>
            <w:tcW w:w="4440" w:type="dxa"/>
            <w:vAlign w:val="bottom"/>
          </w:tcPr>
          <w:p>
            <w:pPr>
              <w:ind w:left="300"/>
              <w:spacing w:after="0"/>
              <w:rPr>
                <w:sz w:val="20"/>
                <w:szCs w:val="20"/>
                <w:color w:val="auto"/>
              </w:rPr>
            </w:pPr>
            <w:r>
              <w:rPr>
                <w:rFonts w:ascii="Courier New" w:cs="Courier New" w:eastAsia="Courier New" w:hAnsi="Courier New"/>
                <w:sz w:val="16"/>
                <w:szCs w:val="16"/>
                <w:color w:val="auto"/>
              </w:rPr>
              <w:t>placement</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Balance, end of period</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31,618,611</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$495,914</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27,827,220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$401,681</w:t>
            </w:r>
          </w:p>
        </w:tc>
      </w:tr>
      <w:tr>
        <w:trPr>
          <w:trHeight w:val="183"/>
        </w:trPr>
        <w:tc>
          <w:tcPr>
            <w:tcW w:w="4440" w:type="dxa"/>
            <w:vAlign w:val="bottom"/>
          </w:tcPr>
          <w:p>
            <w:pPr>
              <w:spacing w:after="0"/>
              <w:rPr>
                <w:sz w:val="15"/>
                <w:szCs w:val="15"/>
                <w:color w:val="auto"/>
              </w:rPr>
            </w:pP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Common Shares of Beneficial Interest in</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Treasury, Deferred Compensation and</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Subscriptions Receivable</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Balance, beginning of period</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(422,575)</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($6,619)</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(426,575)</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($6,708)</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 deferred compensation</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27,875</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422</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Subscription of shares under share purchase</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plan</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Balance, end of period</w:t>
            </w: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(434,700)</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($7,197)</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(423,575)</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($6,641)</w:t>
            </w:r>
          </w:p>
        </w:tc>
      </w:tr>
      <w:tr>
        <w:trPr>
          <w:trHeight w:val="183"/>
        </w:trPr>
        <w:tc>
          <w:tcPr>
            <w:tcW w:w="4440" w:type="dxa"/>
            <w:vAlign w:val="bottom"/>
          </w:tcPr>
          <w:p>
            <w:pPr>
              <w:spacing w:after="0"/>
              <w:rPr>
                <w:sz w:val="15"/>
                <w:szCs w:val="15"/>
                <w:color w:val="auto"/>
              </w:rPr>
            </w:pPr>
          </w:p>
        </w:tc>
        <w:tc>
          <w:tcPr>
            <w:tcW w:w="1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Allowance for Unrealized Loss on Marketable</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Securities</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Balance, beginning of period</w:t>
            </w: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($364)</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($385)</w:t>
            </w: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Unrealized (loss) recovery</w:t>
            </w: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3"/>
        </w:trPr>
        <w:tc>
          <w:tcPr>
            <w:tcW w:w="4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($462)</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($292)</w:t>
            </w:r>
          </w:p>
        </w:tc>
      </w:tr>
      <w:tr>
        <w:trPr>
          <w:trHeight w:val="183"/>
        </w:trPr>
        <w:tc>
          <w:tcPr>
            <w:tcW w:w="4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Accumulated Dividends in Excess of Trust</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Balance, beginning of period</w:t>
            </w: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($116,823)</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($92,932)</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Net income</w:t>
            </w: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14,255</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9,884</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Dividends declared to shareholders</w:t>
            </w: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(35,710)</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(31,094)</w:t>
            </w:r>
          </w:p>
        </w:tc>
      </w:tr>
      <w:tr>
        <w:trPr>
          <w:trHeight w:val="183"/>
        </w:trPr>
        <w:tc>
          <w:tcPr>
            <w:tcW w:w="4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440" w:type="dxa"/>
            <w:vAlign w:val="bottom"/>
          </w:tcPr>
          <w:p>
            <w:pPr>
              <w:ind w:left="100"/>
              <w:spacing w:after="0"/>
              <w:rPr>
                <w:sz w:val="20"/>
                <w:szCs w:val="20"/>
                <w:color w:val="auto"/>
              </w:rPr>
            </w:pPr>
            <w:r>
              <w:rPr>
                <w:rFonts w:ascii="Courier New" w:cs="Courier New" w:eastAsia="Courier New" w:hAnsi="Courier New"/>
                <w:sz w:val="16"/>
                <w:szCs w:val="16"/>
                <w:color w:val="auto"/>
              </w:rPr>
              <w:t>Balance, end of period</w:t>
            </w: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($138,278)</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($114,142)</w:t>
            </w:r>
          </w:p>
        </w:tc>
      </w:tr>
      <w:tr>
        <w:trPr>
          <w:trHeight w:val="183"/>
        </w:trPr>
        <w:tc>
          <w:tcPr>
            <w:tcW w:w="4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369"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040"/>
          </w:cols>
          <w:pgMar w:left="720" w:top="1440" w:right="1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880" w:type="dxa"/>
            <w:vAlign w:val="bottom"/>
          </w:tcPr>
          <w:p>
            <w:pPr>
              <w:spacing w:after="0"/>
              <w:rPr>
                <w:sz w:val="20"/>
                <w:szCs w:val="20"/>
                <w:color w:val="auto"/>
              </w:rPr>
            </w:pPr>
            <w:r>
              <w:rPr>
                <w:rFonts w:ascii="Courier New" w:cs="Courier New" w:eastAsia="Courier New" w:hAnsi="Courier New"/>
                <w:sz w:val="16"/>
                <w:szCs w:val="16"/>
                <w:color w:val="auto"/>
              </w:rPr>
              <w:t>Federal Realty Investment Trust</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spacing w:after="0"/>
              <w:rPr>
                <w:sz w:val="20"/>
                <w:szCs w:val="20"/>
                <w:color w:val="auto"/>
              </w:rPr>
            </w:pPr>
            <w:r>
              <w:rPr>
                <w:rFonts w:ascii="Courier New" w:cs="Courier New" w:eastAsia="Courier New" w:hAnsi="Courier New"/>
                <w:sz w:val="16"/>
                <w:szCs w:val="16"/>
                <w:color w:val="auto"/>
              </w:rPr>
              <w:t>(see accountants' review report)</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ind w:left="960"/>
              <w:spacing w:after="0"/>
              <w:rPr>
                <w:sz w:val="20"/>
                <w:szCs w:val="20"/>
                <w:color w:val="auto"/>
              </w:rPr>
            </w:pPr>
            <w:r>
              <w:rPr>
                <w:rFonts w:ascii="Courier New" w:cs="Courier New" w:eastAsia="Courier New" w:hAnsi="Courier New"/>
                <w:sz w:val="16"/>
                <w:szCs w:val="16"/>
                <w:color w:val="auto"/>
              </w:rPr>
              <w:t>(unaudited)</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Nine months ended September 30,</w:t>
            </w:r>
          </w:p>
        </w:tc>
      </w:tr>
      <w:tr>
        <w:trPr>
          <w:trHeight w:val="183"/>
        </w:trPr>
        <w:tc>
          <w:tcPr>
            <w:tcW w:w="6880" w:type="dxa"/>
            <w:vAlign w:val="bottom"/>
          </w:tcPr>
          <w:p>
            <w:pPr>
              <w:spacing w:after="0"/>
              <w:rPr>
                <w:sz w:val="15"/>
                <w:szCs w:val="15"/>
                <w:color w:val="auto"/>
              </w:rPr>
            </w:pPr>
          </w:p>
        </w:tc>
        <w:tc>
          <w:tcPr>
            <w:tcW w:w="19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1994</w:t>
            </w:r>
          </w:p>
        </w:tc>
        <w:tc>
          <w:tcPr>
            <w:tcW w:w="144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1993</w:t>
            </w:r>
          </w:p>
        </w:tc>
      </w:tr>
      <w:tr>
        <w:trPr>
          <w:trHeight w:val="550"/>
        </w:trPr>
        <w:tc>
          <w:tcPr>
            <w:tcW w:w="68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$14,255</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$9,884</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Adjustments to reconcile net income to net cash provided by</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ind w:left="380"/>
              <w:spacing w:after="0"/>
              <w:rPr>
                <w:sz w:val="20"/>
                <w:szCs w:val="20"/>
                <w:color w:val="auto"/>
              </w:rPr>
            </w:pPr>
            <w:r>
              <w:rPr>
                <w:rFonts w:ascii="Courier New" w:cs="Courier New" w:eastAsia="Courier New" w:hAnsi="Courier New"/>
                <w:sz w:val="16"/>
                <w:szCs w:val="16"/>
                <w:color w:val="auto"/>
              </w:rPr>
              <w:t>operations</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21,736</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18,643</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Rent abatements in lieu of leasehold improvements, net of tenant</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(866)</w:t>
            </w:r>
          </w:p>
        </w:tc>
      </w:tr>
      <w:tr>
        <w:trPr>
          <w:trHeight w:val="183"/>
        </w:trPr>
        <w:tc>
          <w:tcPr>
            <w:tcW w:w="6880" w:type="dxa"/>
            <w:vAlign w:val="bottom"/>
          </w:tcPr>
          <w:p>
            <w:pPr>
              <w:ind w:left="380"/>
              <w:spacing w:after="0"/>
              <w:rPr>
                <w:sz w:val="20"/>
                <w:szCs w:val="20"/>
                <w:color w:val="auto"/>
              </w:rPr>
            </w:pPr>
            <w:r>
              <w:rPr>
                <w:rFonts w:ascii="Courier New" w:cs="Courier New" w:eastAsia="Courier New" w:hAnsi="Courier New"/>
                <w:sz w:val="16"/>
                <w:szCs w:val="16"/>
                <w:color w:val="auto"/>
              </w:rPr>
              <w:t>improvements retired</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Imputed interest and amortization of debt cost</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r>
      <w:tr>
        <w:trPr>
          <w:trHeight w:val="367"/>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 deferred compensation and forgiveness of officers'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443</w:t>
            </w:r>
          </w:p>
        </w:tc>
      </w:tr>
      <w:tr>
        <w:trPr>
          <w:trHeight w:val="183"/>
        </w:trPr>
        <w:tc>
          <w:tcPr>
            <w:tcW w:w="6880" w:type="dxa"/>
            <w:vAlign w:val="bottom"/>
          </w:tcPr>
          <w:p>
            <w:pPr>
              <w:ind w:left="300"/>
              <w:spacing w:after="0"/>
              <w:rPr>
                <w:sz w:val="20"/>
                <w:szCs w:val="20"/>
                <w:color w:val="auto"/>
              </w:rPr>
            </w:pPr>
            <w:r>
              <w:rPr>
                <w:rFonts w:ascii="Courier New" w:cs="Courier New" w:eastAsia="Courier New" w:hAnsi="Courier New"/>
                <w:sz w:val="16"/>
                <w:szCs w:val="16"/>
                <w:color w:val="auto"/>
              </w:rPr>
              <w:t>notes</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Payment of trustees' fees in shares of beneficial interest</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185</w:t>
            </w:r>
          </w:p>
        </w:tc>
      </w:tr>
      <w:tr>
        <w:trPr>
          <w:trHeight w:val="367"/>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Write off of mortgage note receivable and accrued interest</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758</w:t>
            </w:r>
          </w:p>
        </w:tc>
        <w:tc>
          <w:tcPr>
            <w:tcW w:w="1440" w:type="dxa"/>
            <w:vAlign w:val="bottom"/>
          </w:tcPr>
          <w:p>
            <w:pPr>
              <w:spacing w:after="0"/>
              <w:rPr>
                <w:sz w:val="24"/>
                <w:szCs w:val="24"/>
                <w:color w:val="auto"/>
              </w:rPr>
            </w:pP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Net loss on early extinguishment of debt</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1,027</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Changes in assets and liabilities</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(Increase) decrease in accounts receivable</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(3,445)</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Increase in prepaid expenses and other assets before depreciation</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(4,668)</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(3,960)</w:t>
            </w:r>
          </w:p>
        </w:tc>
      </w:tr>
      <w:tr>
        <w:trPr>
          <w:trHeight w:val="183"/>
        </w:trPr>
        <w:tc>
          <w:tcPr>
            <w:tcW w:w="6880" w:type="dxa"/>
            <w:vAlign w:val="bottom"/>
          </w:tcPr>
          <w:p>
            <w:pPr>
              <w:ind w:left="380"/>
              <w:spacing w:after="0"/>
              <w:rPr>
                <w:sz w:val="20"/>
                <w:szCs w:val="20"/>
                <w:color w:val="auto"/>
              </w:rPr>
            </w:pPr>
            <w:r>
              <w:rPr>
                <w:rFonts w:ascii="Courier New" w:cs="Courier New" w:eastAsia="Courier New" w:hAnsi="Courier New"/>
                <w:sz w:val="16"/>
                <w:szCs w:val="16"/>
                <w:color w:val="auto"/>
              </w:rPr>
              <w:t>and amortization</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(Decrease) increase in operating accounts payable, security deposits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(1,963)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1,556</w:t>
            </w:r>
          </w:p>
        </w:tc>
      </w:tr>
      <w:tr>
        <w:trPr>
          <w:trHeight w:val="183"/>
        </w:trPr>
        <w:tc>
          <w:tcPr>
            <w:tcW w:w="6880" w:type="dxa"/>
            <w:vAlign w:val="bottom"/>
          </w:tcPr>
          <w:p>
            <w:pPr>
              <w:ind w:left="380"/>
              <w:spacing w:after="0"/>
              <w:rPr>
                <w:sz w:val="20"/>
                <w:szCs w:val="20"/>
                <w:color w:val="auto"/>
              </w:rPr>
            </w:pPr>
            <w:r>
              <w:rPr>
                <w:rFonts w:ascii="Courier New" w:cs="Courier New" w:eastAsia="Courier New" w:hAnsi="Courier New"/>
                <w:sz w:val="16"/>
                <w:szCs w:val="16"/>
                <w:color w:val="auto"/>
              </w:rPr>
              <w:t>and prepaid rent</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7"/>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Decrease in accrued expenses, net of the premium put on the 5 1/4%</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(884)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r>
      <w:tr>
        <w:trPr>
          <w:trHeight w:val="183"/>
        </w:trPr>
        <w:tc>
          <w:tcPr>
            <w:tcW w:w="6880" w:type="dxa"/>
            <w:vAlign w:val="bottom"/>
          </w:tcPr>
          <w:p>
            <w:pPr>
              <w:ind w:left="300"/>
              <w:spacing w:after="0"/>
              <w:rPr>
                <w:sz w:val="20"/>
                <w:szCs w:val="20"/>
                <w:color w:val="auto"/>
              </w:rPr>
            </w:pPr>
            <w:r>
              <w:rPr>
                <w:rFonts w:ascii="Courier New" w:cs="Courier New" w:eastAsia="Courier New" w:hAnsi="Courier New"/>
                <w:sz w:val="16"/>
                <w:szCs w:val="16"/>
                <w:color w:val="auto"/>
              </w:rPr>
              <w:t>convertible subordinated debentures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30,563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23,469</w:t>
            </w:r>
          </w:p>
        </w:tc>
      </w:tr>
      <w:tr>
        <w:trPr>
          <w:trHeight w:val="367"/>
        </w:trPr>
        <w:tc>
          <w:tcPr>
            <w:tcW w:w="68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Acquisition of real estate</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(33,840)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(76,723)</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(27,504)</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(19,945)</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Net payment on (issuance of) notes receivable</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(122)</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67"/>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Net decrease in temporary investments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237</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31,512</w:t>
            </w:r>
          </w:p>
        </w:tc>
      </w:tr>
      <w:tr>
        <w:trPr>
          <w:trHeight w:val="183"/>
        </w:trPr>
        <w:tc>
          <w:tcPr>
            <w:tcW w:w="6880" w:type="dxa"/>
            <w:vAlign w:val="bottom"/>
          </w:tcPr>
          <w:p>
            <w:pPr>
              <w:spacing w:after="0"/>
              <w:rPr>
                <w:sz w:val="15"/>
                <w:szCs w:val="15"/>
                <w:color w:val="auto"/>
              </w:rPr>
            </w:pP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Net cash used in investing activities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(61,229)</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(65,145)</w:t>
            </w:r>
          </w:p>
        </w:tc>
      </w:tr>
      <w:tr>
        <w:trPr>
          <w:trHeight w:val="183"/>
        </w:trPr>
        <w:tc>
          <w:tcPr>
            <w:tcW w:w="68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9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Regular payments on mortgages, capital leases, and notes payable</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(1,543)</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(1,649)</w:t>
            </w:r>
          </w:p>
        </w:tc>
      </w:tr>
      <w:tr>
        <w:trPr>
          <w:trHeight w:val="367"/>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Balloon payments on mortgages, including prepayment fees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(10,046)</w:t>
            </w:r>
          </w:p>
        </w:tc>
      </w:tr>
      <w:tr>
        <w:trPr>
          <w:trHeight w:val="183"/>
        </w:trPr>
        <w:tc>
          <w:tcPr>
            <w:tcW w:w="6880" w:type="dxa"/>
            <w:vAlign w:val="bottom"/>
          </w:tcPr>
          <w:p>
            <w:pPr>
              <w:ind w:left="200"/>
              <w:spacing w:after="0"/>
              <w:rPr>
                <w:sz w:val="20"/>
                <w:szCs w:val="20"/>
                <w:color w:val="auto"/>
              </w:rPr>
            </w:pPr>
            <w:r>
              <w:rPr>
                <w:rFonts w:ascii="Courier New" w:cs="Courier New" w:eastAsia="Courier New" w:hAnsi="Courier New"/>
                <w:sz w:val="16"/>
                <w:szCs w:val="16"/>
                <w:color w:val="auto"/>
              </w:rPr>
              <w:t>Proceeds of mortgage financings, net of costs</w:t>
            </w:r>
          </w:p>
        </w:tc>
        <w:tc>
          <w:tcPr>
            <w:tcW w:w="1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22,500</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0"/>
        </w:trPr>
        <w:tc>
          <w:tcPr>
            <w:tcW w:w="6880" w:type="dxa"/>
            <w:vAlign w:val="bottom"/>
          </w:tcPr>
          <w:p>
            <w:pPr>
              <w:ind w:left="6020"/>
              <w:spacing w:after="0"/>
              <w:rPr>
                <w:sz w:val="20"/>
                <w:szCs w:val="20"/>
                <w:color w:val="auto"/>
              </w:rPr>
            </w:pPr>
            <w:r>
              <w:rPr>
                <w:rFonts w:ascii="Courier New" w:cs="Courier New" w:eastAsia="Courier New" w:hAnsi="Courier New"/>
                <w:sz w:val="16"/>
                <w:szCs w:val="16"/>
                <w:color w:val="auto"/>
              </w:rPr>
              <w:t>10</w:t>
            </w:r>
          </w:p>
        </w:tc>
        <w:tc>
          <w:tcPr>
            <w:tcW w:w="19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220"/>
          </w:cols>
          <w:pgMar w:left="900" w:top="1440" w:right="779" w:bottom="1440" w:gutter="0" w:footer="0" w:header="0"/>
        </w:sectPr>
      </w:pPr>
    </w:p>
    <w:bookmarkStart w:id="10" w:name="page11"/>
    <w:bookmarkEnd w:id="10"/>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Borrowings of short term debt, net</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3,587</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32,100</w:t>
            </w:r>
          </w:p>
        </w:tc>
      </w:tr>
      <w:tr>
        <w:trPr>
          <w:trHeight w:val="183"/>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Redemption of 8 3/4% convertible debentures</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r>
      <w:tr>
        <w:trPr>
          <w:trHeight w:val="367"/>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Redemption of senior notes</w:t>
            </w:r>
          </w:p>
        </w:tc>
        <w:tc>
          <w:tcPr>
            <w:tcW w:w="18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(50,505)</w:t>
            </w:r>
          </w:p>
        </w:tc>
      </w:tr>
      <w:tr>
        <w:trPr>
          <w:trHeight w:val="183"/>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Redemption of 5 1/4% convertible subordinated debentures including</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(47,790)</w:t>
            </w:r>
          </w:p>
        </w:tc>
        <w:tc>
          <w:tcPr>
            <w:tcW w:w="1340" w:type="dxa"/>
            <w:vAlign w:val="bottom"/>
          </w:tcPr>
          <w:p>
            <w:pPr>
              <w:spacing w:after="0"/>
              <w:rPr>
                <w:sz w:val="15"/>
                <w:szCs w:val="15"/>
                <w:color w:val="auto"/>
              </w:rPr>
            </w:pPr>
          </w:p>
        </w:tc>
      </w:tr>
      <w:tr>
        <w:trPr>
          <w:trHeight w:val="183"/>
        </w:trPr>
        <w:tc>
          <w:tcPr>
            <w:tcW w:w="7020" w:type="dxa"/>
            <w:vAlign w:val="bottom"/>
          </w:tcPr>
          <w:p>
            <w:pPr>
              <w:ind w:left="380"/>
              <w:spacing w:after="0"/>
              <w:rPr>
                <w:sz w:val="20"/>
                <w:szCs w:val="20"/>
                <w:color w:val="auto"/>
              </w:rPr>
            </w:pPr>
            <w:r>
              <w:rPr>
                <w:rFonts w:ascii="Courier New" w:cs="Courier New" w:eastAsia="Courier New" w:hAnsi="Courier New"/>
                <w:sz w:val="16"/>
                <w:szCs w:val="16"/>
                <w:color w:val="auto"/>
              </w:rPr>
              <w:t>premium put</w:t>
            </w: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Dividends paid</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(32,185)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(27,912)</w:t>
            </w:r>
          </w:p>
        </w:tc>
      </w:tr>
      <w:tr>
        <w:trPr>
          <w:trHeight w:val="367"/>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Issuance of shares of beneficial interest</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83,881</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73,819</w:t>
            </w:r>
          </w:p>
        </w:tc>
      </w:tr>
      <w:tr>
        <w:trPr>
          <w:trHeight w:val="183"/>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(Decrease) increase in minority interest</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3"/>
        </w:trPr>
        <w:tc>
          <w:tcPr>
            <w:tcW w:w="7020" w:type="dxa"/>
            <w:vAlign w:val="bottom"/>
          </w:tcPr>
          <w:p>
            <w:pPr>
              <w:spacing w:after="0"/>
              <w:rPr>
                <w:sz w:val="15"/>
                <w:szCs w:val="15"/>
                <w:color w:val="auto"/>
              </w:rPr>
            </w:pP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020" w:type="dxa"/>
            <w:vAlign w:val="bottom"/>
          </w:tcPr>
          <w:p>
            <w:pPr>
              <w:ind w:left="20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28,345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15,655</w:t>
            </w:r>
          </w:p>
        </w:tc>
      </w:tr>
      <w:tr>
        <w:trPr>
          <w:trHeight w:val="183"/>
        </w:trPr>
        <w:tc>
          <w:tcPr>
            <w:tcW w:w="7020" w:type="dxa"/>
            <w:vAlign w:val="bottom"/>
          </w:tcPr>
          <w:p>
            <w:pPr>
              <w:spacing w:after="0"/>
              <w:rPr>
                <w:sz w:val="15"/>
                <w:szCs w:val="15"/>
                <w:color w:val="auto"/>
              </w:rPr>
            </w:pP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020" w:type="dxa"/>
            <w:vAlign w:val="bottom"/>
          </w:tcPr>
          <w:p>
            <w:pPr>
              <w:spacing w:after="0"/>
              <w:rPr>
                <w:sz w:val="20"/>
                <w:szCs w:val="20"/>
                <w:color w:val="auto"/>
              </w:rPr>
            </w:pPr>
            <w:r>
              <w:rPr>
                <w:rFonts w:ascii="Courier New" w:cs="Courier New" w:eastAsia="Courier New" w:hAnsi="Courier New"/>
                <w:sz w:val="16"/>
                <w:szCs w:val="16"/>
                <w:color w:val="auto"/>
              </w:rPr>
              <w:t>Decrease in cash</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(2,321)</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(26,021)</w:t>
            </w:r>
          </w:p>
        </w:tc>
      </w:tr>
      <w:tr>
        <w:trPr>
          <w:trHeight w:val="183"/>
        </w:trPr>
        <w:tc>
          <w:tcPr>
            <w:tcW w:w="7020" w:type="dxa"/>
            <w:vAlign w:val="bottom"/>
          </w:tcPr>
          <w:p>
            <w:pPr>
              <w:spacing w:after="0"/>
              <w:rPr>
                <w:sz w:val="20"/>
                <w:szCs w:val="20"/>
                <w:color w:val="auto"/>
              </w:rPr>
            </w:pPr>
            <w:r>
              <w:rPr>
                <w:rFonts w:ascii="Courier New" w:cs="Courier New" w:eastAsia="Courier New" w:hAnsi="Courier New"/>
                <w:sz w:val="16"/>
                <w:szCs w:val="16"/>
                <w:color w:val="auto"/>
              </w:rPr>
              <w:t>Cash at beginning of period</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9,635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36,316</w:t>
            </w:r>
          </w:p>
        </w:tc>
      </w:tr>
      <w:tr>
        <w:trPr>
          <w:trHeight w:val="183"/>
        </w:trPr>
        <w:tc>
          <w:tcPr>
            <w:tcW w:w="7020" w:type="dxa"/>
            <w:vAlign w:val="bottom"/>
          </w:tcPr>
          <w:p>
            <w:pPr>
              <w:spacing w:after="0"/>
              <w:rPr>
                <w:sz w:val="15"/>
                <w:szCs w:val="15"/>
                <w:color w:val="auto"/>
              </w:rPr>
            </w:pP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020" w:type="dxa"/>
            <w:vAlign w:val="bottom"/>
          </w:tcPr>
          <w:p>
            <w:pPr>
              <w:spacing w:after="0"/>
              <w:rPr>
                <w:sz w:val="20"/>
                <w:szCs w:val="20"/>
                <w:color w:val="auto"/>
              </w:rPr>
            </w:pPr>
            <w:r>
              <w:rPr>
                <w:rFonts w:ascii="Courier New" w:cs="Courier New" w:eastAsia="Courier New" w:hAnsi="Courier New"/>
                <w:sz w:val="16"/>
                <w:szCs w:val="16"/>
                <w:color w:val="auto"/>
              </w:rPr>
              <w:t>Cash at end of period</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$7,314</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$10,295</w:t>
            </w:r>
          </w:p>
        </w:tc>
      </w:tr>
      <w:tr>
        <w:trPr>
          <w:trHeight w:val="183"/>
        </w:trPr>
        <w:tc>
          <w:tcPr>
            <w:tcW w:w="7020" w:type="dxa"/>
            <w:vAlign w:val="bottom"/>
          </w:tcPr>
          <w:p>
            <w:pPr>
              <w:spacing w:after="0"/>
              <w:rPr>
                <w:sz w:val="15"/>
                <w:szCs w:val="15"/>
                <w:color w:val="auto"/>
              </w:rPr>
            </w:pP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020" w:type="dxa"/>
            <w:vAlign w:val="bottom"/>
          </w:tcPr>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tc>
        <w:tc>
          <w:tcPr>
            <w:tcW w:w="186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900" w:top="1440" w:right="77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September 30, 1994</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(see accountants' review report)</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(unaudited)</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ACCOUNTING POLICIES AND OTHER DATA</w:t>
      </w:r>
    </w:p>
    <w:p>
      <w:pPr>
        <w:spacing w:after="0" w:line="188" w:lineRule="exact"/>
        <w:rPr>
          <w:sz w:val="20"/>
          <w:szCs w:val="20"/>
          <w:color w:val="auto"/>
        </w:rPr>
      </w:pPr>
    </w:p>
    <w:p>
      <w:pPr>
        <w:ind w:right="2779" w:firstLine="858"/>
        <w:spacing w:after="0" w:line="26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1993 which contain the Trust's accounting policies and other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DIVIDENDS PAYABLE</w:t>
      </w:r>
    </w:p>
    <w:p>
      <w:pPr>
        <w:spacing w:after="0" w:line="188" w:lineRule="exact"/>
        <w:rPr>
          <w:sz w:val="20"/>
          <w:szCs w:val="20"/>
          <w:color w:val="auto"/>
        </w:rPr>
      </w:pPr>
    </w:p>
    <w:p>
      <w:pPr>
        <w:ind w:right="2979" w:firstLine="858"/>
        <w:spacing w:after="0"/>
        <w:rPr>
          <w:sz w:val="20"/>
          <w:szCs w:val="20"/>
          <w:color w:val="auto"/>
        </w:rPr>
      </w:pPr>
      <w:r>
        <w:rPr>
          <w:rFonts w:ascii="Courier New" w:cs="Courier New" w:eastAsia="Courier New" w:hAnsi="Courier New"/>
          <w:sz w:val="16"/>
          <w:szCs w:val="16"/>
          <w:color w:val="auto"/>
        </w:rPr>
        <w:t>On September 14, 1994 the Trustees declared a cash dividend of $.395 per share, payable October 14, 1994 to shareholders of record September 26, 1994.</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REAL ESTATE</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On April 15, 1994 the Trust purchased Idylwood Plaza in Fairfax, Virginia for a cash price of $14.3 million. On April 29, 1994 the Trust purchased North Lake Commons Shopping Center in Lake Zurich, Illinois for a cash price of $10.8 million. A parcel of land with a grocery store adjoining the Trust's Bala Cynwyd Shopping Center was also purchased on April 29, for a cash price of $990,000.</w:t>
      </w:r>
    </w:p>
    <w:p>
      <w:pPr>
        <w:spacing w:after="0" w:line="187"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On July 28, 1994 the Trust acquired Garden Market Shopping Center which is located in the Village of Western Springs, Illinois, a suburb of Chicago for a cash price of $7.3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MORTGAGE NOTES RECEIVABLE</w:t>
      </w:r>
    </w:p>
    <w:p>
      <w:pPr>
        <w:spacing w:after="0" w:line="18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On March 1, 1994 the Trust loaned $4.4 million to the lessor of Bethesda Row. The note, which bore interest at 10.625%, was due and repaid in September, 1994 and was secured by a portion of Bethesda Row, the leasehold interest in which was acquired by the Trust in December 1993.</w:t>
      </w:r>
    </w:p>
    <w:p>
      <w:pPr>
        <w:spacing w:after="0" w:line="190"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At September 1994, the Trust has written off a $700,000 second mortgage note plus accrued interest on a shopping center in Delaware. The note was issued in connection with the sale of the shopping center by the Trust in 1982.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39"/>
          </w:cols>
          <w:pgMar w:left="720" w:top="1440" w:right="1440" w:bottom="1440" w:gutter="0" w:footer="0" w:header="0"/>
        </w:sectPr>
      </w:pPr>
    </w:p>
    <w:bookmarkStart w:id="12" w:name="page13"/>
    <w:bookmarkEnd w:id="12"/>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MORTGAGES PAYABLE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On January 31, 1994 the Trust placed with a bank a $22.5 million</w:t>
      </w:r>
    </w:p>
    <w:p>
      <w:pPr>
        <w:spacing w:after="0" w:line="2" w:lineRule="exact"/>
        <w:rPr>
          <w:sz w:val="20"/>
          <w:szCs w:val="20"/>
          <w:color w:val="auto"/>
        </w:rPr>
      </w:pPr>
    </w:p>
    <w:p>
      <w:pPr>
        <w:spacing w:after="0"/>
        <w:tabs>
          <w:tab w:leader="none" w:pos="4740" w:val="left"/>
        </w:tabs>
        <w:rPr>
          <w:sz w:val="20"/>
          <w:szCs w:val="20"/>
          <w:color w:val="auto"/>
        </w:rPr>
      </w:pPr>
      <w:r>
        <w:rPr>
          <w:rFonts w:ascii="Courier New" w:cs="Courier New" w:eastAsia="Courier New" w:hAnsi="Courier New"/>
          <w:sz w:val="16"/>
          <w:szCs w:val="16"/>
          <w:color w:val="auto"/>
        </w:rPr>
        <w:t>mortgage on Northeast Plaza in Atlanta, Georgia.</w:t>
      </w:r>
      <w:r>
        <w:rPr>
          <w:sz w:val="20"/>
          <w:szCs w:val="20"/>
          <w:color w:val="auto"/>
        </w:rPr>
        <w:tab/>
      </w:r>
      <w:r>
        <w:rPr>
          <w:rFonts w:ascii="Courier New" w:cs="Courier New" w:eastAsia="Courier New" w:hAnsi="Courier New"/>
          <w:sz w:val="15"/>
          <w:szCs w:val="15"/>
          <w:color w:val="auto"/>
        </w:rPr>
        <w:t>The mortgage,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matures on January 31, 1995, originally bore interest at 150 basis points</w:t>
      </w:r>
    </w:p>
    <w:p>
      <w:pPr>
        <w:spacing w:after="0" w:line="2"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6"/>
          <w:szCs w:val="16"/>
          <w:color w:val="auto"/>
        </w:rPr>
        <w:t>over LIBOR (London Interbank Offered Rate).</w:t>
      </w:r>
      <w:r>
        <w:rPr>
          <w:sz w:val="20"/>
          <w:szCs w:val="20"/>
          <w:color w:val="auto"/>
        </w:rPr>
        <w:tab/>
      </w:r>
      <w:r>
        <w:rPr>
          <w:rFonts w:ascii="Courier New" w:cs="Courier New" w:eastAsia="Courier New" w:hAnsi="Courier New"/>
          <w:sz w:val="15"/>
          <w:szCs w:val="15"/>
          <w:color w:val="auto"/>
        </w:rPr>
        <w:t>The interest rate was reduced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100 basis points over LIBOR as of April 7, 1994 provided that the Trust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does not draw over $15.0 million on its $20.0 million line of credit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NOTES PAYABLE</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In February 1994 the Trust obtained a $15.0 million revolving credit facility with a bank, bringing the Trust's total availability of revolving credit facilities to $85.0 million. All four facilities require fees and have covenants requiring a minimum shareholders' equity and a maximum ratio of debt to net worth. At September 30, 1994 there was $28.0 million outstanding on these facilities. The average weighted interest rate on borrowings as of September 30, 1994 was 5.1%. The maximum amount borrowed under these facilities during the first nine months of 1994 was $33.5 million.</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In October 1994 the Trust either restated or amended its four separate bank agreements, increasing the total availability of revolving credit facilities to $130.0 million. All four agreements have original maturities of three years and bear interest at LIBOR plus 85-100 basis points. All four agreements require fees and have covenants requiring, among other things, a minimum shareholders' equity and a maximum ratio of debt to net worth.</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- 5 1/4% CONVERTIBLE SUBORDINATED DEBENTURES DUE 2002</w:t>
      </w:r>
    </w:p>
    <w:p>
      <w:pPr>
        <w:spacing w:after="0" w:line="188" w:lineRule="exact"/>
        <w:rPr>
          <w:sz w:val="20"/>
          <w:szCs w:val="20"/>
          <w:color w:val="auto"/>
        </w:rPr>
      </w:pPr>
    </w:p>
    <w:p>
      <w:pPr>
        <w:jc w:val="both"/>
        <w:ind w:right="2679" w:firstLine="858"/>
        <w:spacing w:after="0" w:line="263" w:lineRule="auto"/>
        <w:rPr>
          <w:sz w:val="20"/>
          <w:szCs w:val="20"/>
          <w:color w:val="auto"/>
        </w:rPr>
      </w:pPr>
      <w:r>
        <w:rPr>
          <w:rFonts w:ascii="Courier New" w:cs="Courier New" w:eastAsia="Courier New" w:hAnsi="Courier New"/>
          <w:sz w:val="15"/>
          <w:szCs w:val="15"/>
          <w:color w:val="auto"/>
        </w:rPr>
        <w:t>On April 30, 1994 $39.8 million of the Trust's 5 1/4% convertible subordinated debentures due 2002 were redeemed at a redemption price equal to 120% of their principal amount or $47.8 million. A principal amount of $53,000 of these debentures were converted into 1,729 shares.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SHAREHOLDERS' EQUITY</w:t>
      </w:r>
    </w:p>
    <w:p>
      <w:pPr>
        <w:spacing w:after="0" w:line="18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On April 5, 1994 the Trust sold 840,000 shares at $25.875 to an institutional investor, raising net proceeds of $21.7 million. In a concurrent public offering, on April 6, 1994 the Trust sold 2.5 million shares at $26 per share, raising net proceeds of $61.3 million.</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On January 1, 1994 under the terms of the 1993 Long-Term Incentive Plan, an officer of the Trust purchased 40,000 common shares at $25 per share with the assistance of a $1.0 million loan from the Trust. The loan, which has a term of 12 years, bears interest at 6.24%. One-sixteenth of the loan will be forgiven on January 31, 1995. Forgiveness of the remainder of the loan is subject to the future performance of the Trust.</w:t>
      </w:r>
    </w:p>
    <w:p>
      <w:pPr>
        <w:spacing w:after="0" w:line="18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39"/>
          </w:cols>
          <w:pgMar w:left="720" w:top="1440" w:right="1440" w:bottom="1440" w:gutter="0" w:footer="0" w:header="0"/>
        </w:sectPr>
      </w:pPr>
    </w:p>
    <w:bookmarkStart w:id="13" w:name="page14"/>
    <w:bookmarkEnd w:id="13"/>
    <w:p>
      <w:pPr>
        <w:spacing w:after="0" w:line="145"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During the first nine months of 1994, 45,740 shares were issued at prices ranging from $20.50 a share to $22.63 a share as the result of the exercise of stock options. The Trust accepted notes from its officers and employees of $846,000 in connection with the issuance of certain of these shares.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 - INTEREST EXPENSE</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The Trust incurred interest expense totaling $23.7 million during the first nine months of 1994 and $23.7 million during the first nine months of 1993, of which $190,000 and $200,000, respectively, were capitalized. Interest paid was $31.3 million in the first nine months of 1994 and $24.0 million in the first nine months of 1993.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J - COMMITMENTS AND CONTINGENCIES</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recently ruled that the dividends paid deduction was allowable.</w:t>
      </w:r>
    </w:p>
    <w:p>
      <w:pPr>
        <w:spacing w:after="0" w:line="178" w:lineRule="exact"/>
        <w:rPr>
          <w:sz w:val="20"/>
          <w:szCs w:val="20"/>
          <w:color w:val="auto"/>
        </w:rPr>
      </w:pPr>
    </w:p>
    <w:p>
      <w:pPr>
        <w:ind w:right="2879" w:firstLine="858"/>
        <w:spacing w:after="0" w:line="241" w:lineRule="auto"/>
        <w:rPr>
          <w:sz w:val="20"/>
          <w:szCs w:val="20"/>
          <w:color w:val="auto"/>
        </w:rPr>
      </w:pPr>
      <w:r>
        <w:rPr>
          <w:rFonts w:ascii="Courier New" w:cs="Courier New" w:eastAsia="Courier New" w:hAnsi="Courier New"/>
          <w:sz w:val="16"/>
          <w:szCs w:val="16"/>
          <w:color w:val="auto"/>
        </w:rPr>
        <w:t>The Trust's non real estate investments consist principally of $426,000 of marketable equity securities, at market, and $3.2 million of Olympia and York Senior First Mortgage Notes. The Olympia &amp; York notes were written down in 1992 to management's best estimate of their net realizable value.</w:t>
      </w:r>
    </w:p>
    <w:p>
      <w:pPr>
        <w:spacing w:after="0" w:line="190"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North Carolina Department of the Environment, Health and Natural Resources ("DEHNR") issued a Notice of Violation ("NOV") against a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As previously reported,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Virginia properties. In each case, the contamination appears to be linked to the current and/or previous dry cleaner. The Trust intends to look to the responsible parties for any remediation effort. Evaluation of these situations is</w:t>
      </w:r>
    </w:p>
    <w:p>
      <w:pPr>
        <w:spacing w:after="0" w:line="18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39"/>
          </w:cols>
          <w:pgMar w:left="720" w:top="1440" w:right="1440" w:bottom="1440" w:gutter="0" w:footer="0" w:header="0"/>
        </w:sectPr>
      </w:pPr>
    </w:p>
    <w:bookmarkStart w:id="14" w:name="page15"/>
    <w:bookmarkEnd w:id="14"/>
    <w:p>
      <w:pPr>
        <w:spacing w:after="0" w:line="145"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preliminary and it is impossible to estimate the range of remediation costs, if any.</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88"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At September 30, 1994 in connection with certain redevelopment projects, the Trust is contractually obligated on contracts of approximately $5.9 million. At September 30, 1994 the Trust is also contractually obligated under leases with tenants to provide approximately $4.4 million for improvements.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K - COMPONENTS OF RENTAL INCOME</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components of rental income for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1994</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83"/>
        </w:trPr>
        <w:tc>
          <w:tcPr>
            <w:tcW w:w="2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(in thousands)</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Shopping Centers</w:t>
            </w:r>
          </w:p>
        </w:tc>
        <w:tc>
          <w:tcPr>
            <w:tcW w:w="15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3"/>
        </w:trPr>
        <w:tc>
          <w:tcPr>
            <w:tcW w:w="2520" w:type="dxa"/>
            <w:vAlign w:val="bottom"/>
          </w:tcPr>
          <w:p>
            <w:pPr>
              <w:ind w:left="280"/>
              <w:spacing w:after="0"/>
              <w:rPr>
                <w:sz w:val="20"/>
                <w:szCs w:val="20"/>
                <w:color w:val="auto"/>
              </w:rPr>
            </w:pPr>
            <w:r>
              <w:rPr>
                <w:rFonts w:ascii="Courier New" w:cs="Courier New" w:eastAsia="Courier New" w:hAnsi="Courier New"/>
                <w:sz w:val="16"/>
                <w:szCs w:val="16"/>
                <w:color w:val="auto"/>
              </w:rPr>
              <w:t>Minimum rents</w:t>
            </w:r>
          </w:p>
        </w:tc>
        <w:tc>
          <w:tcPr>
            <w:tcW w:w="1520" w:type="dxa"/>
            <w:vAlign w:val="bottom"/>
          </w:tcPr>
          <w:p>
            <w:pPr>
              <w:jc w:val="center"/>
              <w:ind w:left="701"/>
              <w:spacing w:after="0"/>
              <w:rPr>
                <w:sz w:val="20"/>
                <w:szCs w:val="20"/>
                <w:color w:val="auto"/>
              </w:rPr>
            </w:pPr>
            <w:r>
              <w:rPr>
                <w:rFonts w:ascii="Courier New" w:cs="Courier New" w:eastAsia="Courier New" w:hAnsi="Courier New"/>
                <w:sz w:val="16"/>
                <w:szCs w:val="16"/>
                <w:color w:val="auto"/>
                <w:w w:val="98"/>
              </w:rPr>
              <w:t>$72,043</w:t>
            </w:r>
          </w:p>
        </w:tc>
        <w:tc>
          <w:tcPr>
            <w:tcW w:w="2060" w:type="dxa"/>
            <w:vAlign w:val="bottom"/>
          </w:tcPr>
          <w:p>
            <w:pPr>
              <w:jc w:val="center"/>
              <w:ind w:left="921"/>
              <w:spacing w:after="0"/>
              <w:rPr>
                <w:sz w:val="20"/>
                <w:szCs w:val="20"/>
                <w:color w:val="auto"/>
              </w:rPr>
            </w:pPr>
            <w:r>
              <w:rPr>
                <w:rFonts w:ascii="Courier New" w:cs="Courier New" w:eastAsia="Courier New" w:hAnsi="Courier New"/>
                <w:sz w:val="16"/>
                <w:szCs w:val="16"/>
                <w:color w:val="auto"/>
                <w:w w:val="98"/>
              </w:rPr>
              <w:t>$59,796</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Cost reimbursements</w:t>
            </w: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17,025</w:t>
            </w:r>
          </w:p>
        </w:tc>
        <w:tc>
          <w:tcPr>
            <w:tcW w:w="2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12,677</w:t>
            </w:r>
          </w:p>
        </w:tc>
      </w:tr>
      <w:tr>
        <w:trPr>
          <w:trHeight w:val="183"/>
        </w:trPr>
        <w:tc>
          <w:tcPr>
            <w:tcW w:w="2520" w:type="dxa"/>
            <w:vAlign w:val="bottom"/>
          </w:tcPr>
          <w:p>
            <w:pPr>
              <w:ind w:left="280"/>
              <w:spacing w:after="0"/>
              <w:rPr>
                <w:sz w:val="20"/>
                <w:szCs w:val="20"/>
                <w:color w:val="auto"/>
              </w:rPr>
            </w:pPr>
            <w:r>
              <w:rPr>
                <w:rFonts w:ascii="Courier New" w:cs="Courier New" w:eastAsia="Courier New" w:hAnsi="Courier New"/>
                <w:sz w:val="16"/>
                <w:szCs w:val="16"/>
                <w:color w:val="auto"/>
              </w:rPr>
              <w:t>Percentage rents</w:t>
            </w:r>
          </w:p>
        </w:tc>
        <w:tc>
          <w:tcPr>
            <w:tcW w:w="152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9"/>
              </w:rPr>
              <w:t>3,328</w:t>
            </w:r>
          </w:p>
        </w:tc>
        <w:tc>
          <w:tcPr>
            <w:tcW w:w="2060" w:type="dxa"/>
            <w:vAlign w:val="bottom"/>
          </w:tcPr>
          <w:p>
            <w:pPr>
              <w:jc w:val="center"/>
              <w:ind w:left="941"/>
              <w:spacing w:after="0"/>
              <w:rPr>
                <w:sz w:val="20"/>
                <w:szCs w:val="20"/>
                <w:color w:val="auto"/>
              </w:rPr>
            </w:pPr>
            <w:r>
              <w:rPr>
                <w:rFonts w:ascii="Courier New" w:cs="Courier New" w:eastAsia="Courier New" w:hAnsi="Courier New"/>
                <w:sz w:val="16"/>
                <w:szCs w:val="16"/>
                <w:color w:val="auto"/>
                <w:w w:val="99"/>
              </w:rPr>
              <w:t>2,953</w:t>
            </w: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Apartments</w:t>
            </w:r>
          </w:p>
        </w:tc>
        <w:tc>
          <w:tcPr>
            <w:tcW w:w="1520" w:type="dxa"/>
            <w:vAlign w:val="bottom"/>
          </w:tcPr>
          <w:p>
            <w:pPr>
              <w:jc w:val="center"/>
              <w:ind w:left="681"/>
              <w:spacing w:after="0"/>
              <w:rPr>
                <w:sz w:val="20"/>
                <w:szCs w:val="20"/>
                <w:color w:val="auto"/>
              </w:rPr>
            </w:pPr>
            <w:r>
              <w:rPr>
                <w:rFonts w:ascii="Courier New" w:cs="Courier New" w:eastAsia="Courier New" w:hAnsi="Courier New"/>
                <w:sz w:val="16"/>
                <w:szCs w:val="16"/>
                <w:color w:val="auto"/>
                <w:w w:val="99"/>
              </w:rPr>
              <w:t>1,772</w:t>
            </w:r>
          </w:p>
        </w:tc>
        <w:tc>
          <w:tcPr>
            <w:tcW w:w="2060" w:type="dxa"/>
            <w:vAlign w:val="bottom"/>
          </w:tcPr>
          <w:p>
            <w:pPr>
              <w:jc w:val="center"/>
              <w:ind w:left="941"/>
              <w:spacing w:after="0"/>
              <w:rPr>
                <w:sz w:val="20"/>
                <w:szCs w:val="20"/>
                <w:color w:val="auto"/>
              </w:rPr>
            </w:pPr>
            <w:r>
              <w:rPr>
                <w:rFonts w:ascii="Courier New" w:cs="Courier New" w:eastAsia="Courier New" w:hAnsi="Courier New"/>
                <w:sz w:val="16"/>
                <w:szCs w:val="16"/>
                <w:color w:val="auto"/>
                <w:w w:val="99"/>
              </w:rPr>
              <w:t>1,759</w:t>
            </w:r>
          </w:p>
        </w:tc>
      </w:tr>
      <w:tr>
        <w:trPr>
          <w:trHeight w:val="183"/>
        </w:trPr>
        <w:tc>
          <w:tcPr>
            <w:tcW w:w="2520" w:type="dxa"/>
            <w:vAlign w:val="bottom"/>
          </w:tcPr>
          <w:p>
            <w:pPr>
              <w:spacing w:after="0"/>
              <w:rPr>
                <w:sz w:val="15"/>
                <w:szCs w:val="15"/>
                <w:color w:val="auto"/>
              </w:rPr>
            </w:pPr>
          </w:p>
        </w:tc>
        <w:tc>
          <w:tcPr>
            <w:tcW w:w="1520" w:type="dxa"/>
            <w:vAlign w:val="bottom"/>
          </w:tcPr>
          <w:p>
            <w:pPr>
              <w:jc w:val="center"/>
              <w:ind w:left="701"/>
              <w:spacing w:after="0"/>
              <w:rPr>
                <w:sz w:val="20"/>
                <w:szCs w:val="20"/>
                <w:color w:val="auto"/>
              </w:rPr>
            </w:pPr>
            <w:r>
              <w:rPr>
                <w:rFonts w:ascii="Courier New" w:cs="Courier New" w:eastAsia="Courier New" w:hAnsi="Courier New"/>
                <w:sz w:val="16"/>
                <w:szCs w:val="16"/>
                <w:color w:val="auto"/>
                <w:w w:val="98"/>
              </w:rPr>
              <w:t>-------</w:t>
            </w:r>
          </w:p>
        </w:tc>
        <w:tc>
          <w:tcPr>
            <w:tcW w:w="2060" w:type="dxa"/>
            <w:vAlign w:val="bottom"/>
          </w:tcPr>
          <w:p>
            <w:pPr>
              <w:jc w:val="center"/>
              <w:ind w:left="921"/>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2520" w:type="dxa"/>
            <w:vAlign w:val="bottom"/>
          </w:tcPr>
          <w:p>
            <w:pPr>
              <w:spacing w:after="0"/>
              <w:rPr>
                <w:sz w:val="15"/>
                <w:szCs w:val="15"/>
                <w:color w:val="auto"/>
              </w:rPr>
            </w:pPr>
          </w:p>
        </w:tc>
        <w:tc>
          <w:tcPr>
            <w:tcW w:w="15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$94,168</w:t>
            </w:r>
          </w:p>
        </w:tc>
        <w:tc>
          <w:tcPr>
            <w:tcW w:w="20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$77,185</w:t>
            </w:r>
          </w:p>
        </w:tc>
      </w:tr>
      <w:tr>
        <w:trPr>
          <w:trHeight w:val="183"/>
        </w:trPr>
        <w:tc>
          <w:tcPr>
            <w:tcW w:w="2520" w:type="dxa"/>
            <w:vAlign w:val="bottom"/>
          </w:tcPr>
          <w:p>
            <w:pPr>
              <w:spacing w:after="0"/>
              <w:rPr>
                <w:sz w:val="15"/>
                <w:szCs w:val="15"/>
                <w:color w:val="auto"/>
              </w:rPr>
            </w:pPr>
          </w:p>
        </w:tc>
        <w:tc>
          <w:tcPr>
            <w:tcW w:w="1520" w:type="dxa"/>
            <w:vAlign w:val="bottom"/>
          </w:tcPr>
          <w:p>
            <w:pPr>
              <w:jc w:val="center"/>
              <w:ind w:left="701"/>
              <w:spacing w:after="0"/>
              <w:rPr>
                <w:sz w:val="20"/>
                <w:szCs w:val="20"/>
                <w:color w:val="auto"/>
              </w:rPr>
            </w:pPr>
            <w:r>
              <w:rPr>
                <w:rFonts w:ascii="Courier New" w:cs="Courier New" w:eastAsia="Courier New" w:hAnsi="Courier New"/>
                <w:sz w:val="16"/>
                <w:szCs w:val="16"/>
                <w:color w:val="auto"/>
                <w:w w:val="98"/>
              </w:rPr>
              <w:t>=======</w:t>
            </w:r>
          </w:p>
        </w:tc>
        <w:tc>
          <w:tcPr>
            <w:tcW w:w="2060" w:type="dxa"/>
            <w:vAlign w:val="bottom"/>
          </w:tcPr>
          <w:p>
            <w:pPr>
              <w:jc w:val="center"/>
              <w:ind w:left="921"/>
              <w:spacing w:after="0"/>
              <w:rPr>
                <w:sz w:val="20"/>
                <w:szCs w:val="20"/>
                <w:color w:val="auto"/>
              </w:rPr>
            </w:pPr>
            <w:r>
              <w:rPr>
                <w:rFonts w:ascii="Courier New" w:cs="Courier New" w:eastAsia="Courier New" w:hAnsi="Courier New"/>
                <w:sz w:val="16"/>
                <w:szCs w:val="16"/>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739"/>
          </w:cols>
          <w:pgMar w:left="720" w:top="1440" w:right="1440" w:bottom="1440" w:gutter="0" w:footer="0" w:header="0"/>
        </w:sectPr>
      </w:pPr>
    </w:p>
    <w:bookmarkStart w:id="15" w:name="page16"/>
    <w:bookmarkEnd w:id="15"/>
    <w:p>
      <w:pPr>
        <w:spacing w:after="0" w:line="200" w:lineRule="exact"/>
        <w:rPr>
          <w:sz w:val="20"/>
          <w:szCs w:val="20"/>
          <w:color w:val="auto"/>
        </w:rPr>
      </w:pPr>
    </w:p>
    <w:p>
      <w:pPr>
        <w:spacing w:after="0" w:line="309"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FEDERAL REALTY INVESTMENT TRUST</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FORM 10-Q</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SEPTEMBER 30, 1994</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89"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During the first nine months of 1994, the Trust spent $33.8 million in cash to acquire properties: the 73,405 square foot Idylwood Shopping Center in Fairfax, Virginia; the 121,000 square foot North Lake Commons Shopping Center and the 125,747 square foot Garden Market Shopping Center in suburban Chicago, Illinois; and a parcel of land adjacent to the Trust's Bala Cynwyd Shopping Center containing a 36,370 square foot grocery store. During this period the Trust also spent $27.5 million in improvements to its properties; included in these improvements were $9.7 million, $3.8 million and $1.7 million towards the redevelopment and retenanting of Congressional Shopping Center, Ellisburg Circle Shopping Center and Gaithersburg Square Shopping Center, respectively.</w:t>
      </w:r>
    </w:p>
    <w:p>
      <w:pPr>
        <w:spacing w:after="0" w:line="176"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In April 1994 $39.8 million of the Trust's 5 1/4% convertible subordinated debentures due 2002 were redeemed at a price equal to 120% of their principal amount or $47.8 million.</w:t>
      </w:r>
    </w:p>
    <w:p>
      <w:pPr>
        <w:spacing w:after="0" w:line="190"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These expenditures were funded by sales of equity and additional borrowings. In April the Trust raised net proceeds of $61.3 million from a public offering of 2.5 million shares. In a concurrent offering of 840,000 shares to an institutional investor, the Trust raised net proceeds of $21.7 million; since there was no underwriter in this offering, the Trust saved approximately $1.2 million in underwriting fees, based on the schedule of fees in the concurrent public offering. In January 1994 the Trust placed a $22.5 million one year mortgage on Northeast Plaza in Atlanta, Georgia.</w:t>
      </w:r>
    </w:p>
    <w:p>
      <w:pPr>
        <w:spacing w:after="0" w:line="189" w:lineRule="exact"/>
        <w:rPr>
          <w:sz w:val="20"/>
          <w:szCs w:val="20"/>
          <w:color w:val="auto"/>
        </w:rPr>
      </w:pPr>
    </w:p>
    <w:p>
      <w:pPr>
        <w:ind w:right="2979" w:firstLine="858"/>
        <w:spacing w:after="0" w:line="261" w:lineRule="auto"/>
        <w:rPr>
          <w:sz w:val="20"/>
          <w:szCs w:val="20"/>
          <w:color w:val="auto"/>
        </w:rPr>
      </w:pPr>
      <w:r>
        <w:rPr>
          <w:rFonts w:ascii="Courier New" w:cs="Courier New" w:eastAsia="Courier New" w:hAnsi="Courier New"/>
          <w:sz w:val="15"/>
          <w:szCs w:val="15"/>
          <w:color w:val="auto"/>
        </w:rPr>
        <w:t>At September 30, 1994 the Trust had available $85.0 million of unsecured medium-term revolving credit facilities with four banks. In October 1994 the Trust either amended or restated these agreements, increasing the total availability to $130.0 million. The facilities, which require fees and have covenants requiring a minimum shareholders' equity and a maximum ratio of debt to net worth, are used to fund</w:t>
      </w:r>
    </w:p>
    <w:p>
      <w:pPr>
        <w:spacing w:after="0" w:line="17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739"/>
          </w:cols>
          <w:pgMar w:left="720" w:top="1440" w:right="1440" w:bottom="1440" w:gutter="0" w:footer="0" w:header="0"/>
        </w:sectPr>
      </w:pPr>
    </w:p>
    <w:bookmarkStart w:id="16" w:name="page17"/>
    <w:bookmarkEnd w:id="16"/>
    <w:p>
      <w:pPr>
        <w:spacing w:after="0" w:line="14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acquisitions and other cash requirements until conditions are favorable for issuing equity or long-term debt. At September 30, 1994 there was $28.0 million outstanding on these facilities. The facilities bear interest at LIBOR plus 85-100 basis points. The average weighted interest rate on borrowings through September 30, 1994 was 5.1%. The maximum amount borrowed under these facilities during the first nine months of 1994 was $33.5 million.</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Trust is committed under leases for approximately $4.4 million in tenant work. In addition in connection with certain redevelopment projects,the Trust is contractually obligated on contracts of approximately $5.9 million. The Trust is actively seeking to acquire both existing shopping centers and sites for development of new shopping centers. Accordingly since the Trust has identified certain opportunities for development of new shopping centers, the Trustees have amended the Bylaws to allow the Trust to acquire raw land for the purpose of new development of shopping centers. Management believes that carefully planned development can offer yields that exceed the yields obtainable on the purchase of existing properties, thereby compensating for the additional risk to the Trust. These expenditures will be funded with the revolving credit facilities pending their permanent financing with either equity or debt. The Trust believes that the unencumbered value of its properties and its access to the capital markets, as demonstrated by its past success in raising capital, give it the ability to raise the capital, both debt and equity, needed to fund these activities as well as its longer term growth and debt refinancing needs.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88"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recently ruled that the dividends paid deduction was allowable.</w:t>
      </w:r>
    </w:p>
    <w:p>
      <w:pPr>
        <w:spacing w:after="0" w:line="17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Included in the Trust's non real estate investments of $3.7 million is $3.2 million of Olympia and York Senior First Mortgage Notes. The Olympia and York notes were written down during 1992 to management's best estimate of their net realizable value. Interest income on these notes is not being recorded as revenue, but is being treated as a reduction of principal.</w:t>
      </w:r>
    </w:p>
    <w:p>
      <w:pPr>
        <w:spacing w:after="0" w:line="187" w:lineRule="exact"/>
        <w:rPr>
          <w:sz w:val="20"/>
          <w:szCs w:val="20"/>
          <w:color w:val="auto"/>
        </w:rPr>
      </w:pPr>
    </w:p>
    <w:p>
      <w:pPr>
        <w:ind w:right="2779" w:firstLine="858"/>
        <w:spacing w:after="0" w:line="261" w:lineRule="auto"/>
        <w:rPr>
          <w:sz w:val="20"/>
          <w:szCs w:val="20"/>
          <w:color w:val="auto"/>
        </w:rPr>
      </w:pPr>
      <w:r>
        <w:rPr>
          <w:rFonts w:ascii="Courier New" w:cs="Courier New" w:eastAsia="Courier New" w:hAnsi="Courier New"/>
          <w:sz w:val="15"/>
          <w:szCs w:val="15"/>
          <w:color w:val="auto"/>
        </w:rPr>
        <w:t>As previously reported, certain of the Trust's shopping centers have been contaminated. The North Carolina Department of the Environment, Health and Natural Resources ("DEHNR") issued a Notice of Violation ("NOV") against a drycleaner tenant at Eastgate Shopping Center in Chapel Hill, North Carolina concerning a spill at the shopping center. As owner of the shopping center, the Trust was named in and received a copy of the NOV. Estimates to remediate the spill range from $300,000 to $500,000.</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39"/>
          </w:cols>
          <w:pgMar w:left="720" w:top="1440" w:right="1440" w:bottom="1440" w:gutter="0" w:footer="0" w:header="0"/>
        </w:sectPr>
      </w:pPr>
    </w:p>
    <w:bookmarkStart w:id="17" w:name="page18"/>
    <w:bookmarkEnd w:id="17"/>
    <w:p>
      <w:pPr>
        <w:spacing w:after="0" w:line="14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The Trust has entered into an agreement with two previous owners of the shopping center to share the costs to assess and remediate. In 1993 the Trust recorded a liability of $120,000 as its estimated share of the clean up costs.</w:t>
      </w:r>
    </w:p>
    <w:p>
      <w:pPr>
        <w:spacing w:after="0" w:line="189"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Virginia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176"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of certain third party claims and government requirements related to contamination at adjacent properties.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 OF OPERATIONS - NINE MONTHS ENDED SEPTEMBER 30, 1994 AND 1993</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 other factors in setting 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194"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Funds from operations increased 22% to $36.0 million in the first nine months of 1994 from $29.6 million in the first nine months of 1993. If funds from operations are adjusted to remove the effect of a nonrecurring write off of a mortgage note receivable, funds from operations increased 24% to $36.7 million from $29.6 million.</w:t>
      </w:r>
    </w:p>
    <w:p>
      <w:pPr>
        <w:spacing w:after="0" w:line="190" w:lineRule="exact"/>
        <w:rPr>
          <w:sz w:val="20"/>
          <w:szCs w:val="20"/>
          <w:color w:val="auto"/>
        </w:rPr>
      </w:pPr>
    </w:p>
    <w:p>
      <w:pPr>
        <w:ind w:right="2879" w:firstLine="858"/>
        <w:spacing w:after="0" w:line="271" w:lineRule="auto"/>
        <w:rPr>
          <w:sz w:val="20"/>
          <w:szCs w:val="20"/>
          <w:color w:val="auto"/>
        </w:rPr>
      </w:pPr>
      <w:r>
        <w:rPr>
          <w:rFonts w:ascii="Courier New" w:cs="Courier New" w:eastAsia="Courier New" w:hAnsi="Courier New"/>
          <w:sz w:val="15"/>
          <w:szCs w:val="15"/>
          <w:color w:val="auto"/>
        </w:rPr>
        <w:t>During the first nine months of 1994, rental income, which consists of minimum rent, percentage rent and cost recoveries, increased</w:t>
      </w:r>
    </w:p>
    <w:p>
      <w:pPr>
        <w:spacing w:after="0" w:line="16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39"/>
          </w:cols>
          <w:pgMar w:left="720" w:top="1440" w:right="1440" w:bottom="1440" w:gutter="0" w:footer="0" w:header="0"/>
        </w:sectPr>
      </w:pPr>
    </w:p>
    <w:bookmarkStart w:id="18" w:name="page19"/>
    <w:bookmarkEnd w:id="18"/>
    <w:p>
      <w:pPr>
        <w:spacing w:after="0" w:line="14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22% to $94.2 million from 1993's $77.2 million. If rental income is adjusted to remove the effect of properties purchased in 1993 and 1994, rental income increased 7.0%, despite a $700,000 reduction in rental income at Congressional Plaza, whose occupancy was reduced during its redevelopment. The components of rental income with the greatest change are minimum rent and common area maintenance recovery (CAM recovery). Minimum rent increased 20% from the first nine months of 1993 to the comparable period of 1994; removing the effect of properties purchased in 1993 and 1994, the increase was 4%. CAM recovery on the portfolio, adjusted to remove the effect of properties purchased in 1993 and 1994, increased $2.8 million due to the corresponding increase in CAM expenses such as snow removal, landscaping and security costs.</w:t>
      </w:r>
    </w:p>
    <w:p>
      <w:pPr>
        <w:spacing w:after="0" w:line="191"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Other income, which includes items which tend to fluctuate from period to period, such as utility reimbursements, telephone income, merchant association dues, lease termination fees, late fees and temporary tenant income, has increased from $3.9 million in 1993 to $4.1 million in 1994.</w:t>
      </w:r>
    </w:p>
    <w:p>
      <w:pPr>
        <w:spacing w:after="0" w:line="190" w:lineRule="exact"/>
        <w:rPr>
          <w:sz w:val="20"/>
          <w:szCs w:val="20"/>
          <w:color w:val="auto"/>
        </w:rPr>
      </w:pPr>
    </w:p>
    <w:p>
      <w:pPr>
        <w:ind w:right="2679" w:firstLine="858"/>
        <w:spacing w:after="0" w:line="260" w:lineRule="auto"/>
        <w:rPr>
          <w:sz w:val="20"/>
          <w:szCs w:val="20"/>
          <w:color w:val="auto"/>
        </w:rPr>
      </w:pPr>
      <w:r>
        <w:rPr>
          <w:rFonts w:ascii="Courier New" w:cs="Courier New" w:eastAsia="Courier New" w:hAnsi="Courier New"/>
          <w:sz w:val="15"/>
          <w:szCs w:val="15"/>
          <w:color w:val="auto"/>
        </w:rPr>
        <w:t>Rental expenses have increased from $19.4 million for the first nine months of 1993 to $27.2 million for the first nine months of 1994. If rental expenses are adjusted to remove the effect of properties purchased in 1993 and 1994, rental expenses increased 14% or $2.5 million, primarily because of an increase in snow removal due to the heavy snows of 1994 and because of increased security costs. Real estate taxes have increased primarily because of the 1993 and 1994 acquisitions. Depreciation and amortization charges increased because of the new acquisitions, but also because of depreciation on recent tenant work and property improvements.</w:t>
      </w:r>
    </w:p>
    <w:p>
      <w:pPr>
        <w:spacing w:after="0" w:line="177"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While interest expense has stayed relatively constant at $23.5 million in both periods, the components have changed. Decreases in interest expense resulting from the repayment of several mortgages and the senior notes in 1993 and the redemption on April 30, 1994 of the 5 1/4% convertible debentures due 2002 were offset by increases in interest expense because of the issuance of the 5 1/4% convertible subordinated debentures due 2003, because of the interest portion of the capital lease payment on Bethesda Row, and because of interest on increased usage of the revolving credit facilities.</w:t>
      </w:r>
    </w:p>
    <w:p>
      <w:pPr>
        <w:spacing w:after="0" w:line="189"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Administrative expenses are increasing as the Trust grows and as it seeks new acquisition and development opportunities. A major component of the increase in 1994 over 1993 is an increase in costs connected with the review and analysis of properties which were not acquired. During the third quarter of 1994 the Trust has written down a mortgage note receivable and accrued interest on the note, totalling $758,000. The note was issued in 1982 in connection with the sale by the Trust of a shopping center in Delaware. Although the Trust will continue to pursue payment of the note, due to the current cash flow of the collateral property, collectibility is not certain.</w:t>
      </w:r>
    </w:p>
    <w:p>
      <w:pPr>
        <w:spacing w:after="0" w:line="190" w:lineRule="exact"/>
        <w:rPr>
          <w:sz w:val="20"/>
          <w:szCs w:val="20"/>
          <w:color w:val="auto"/>
        </w:rPr>
      </w:pPr>
    </w:p>
    <w:p>
      <w:pPr>
        <w:ind w:right="3059" w:firstLine="858"/>
        <w:spacing w:after="0" w:line="271" w:lineRule="auto"/>
        <w:rPr>
          <w:sz w:val="20"/>
          <w:szCs w:val="20"/>
          <w:color w:val="auto"/>
        </w:rPr>
      </w:pPr>
      <w:r>
        <w:rPr>
          <w:rFonts w:ascii="Courier New" w:cs="Courier New" w:eastAsia="Courier New" w:hAnsi="Courier New"/>
          <w:sz w:val="15"/>
          <w:szCs w:val="15"/>
          <w:color w:val="auto"/>
        </w:rPr>
        <w:t>Income before extraordinary item increased from $10.9 million during the first nine months of 1993 to $14.3 million during the</w:t>
      </w:r>
    </w:p>
    <w:p>
      <w:pPr>
        <w:spacing w:after="0" w:line="16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739"/>
          </w:cols>
          <w:pgMar w:left="720" w:top="1440" w:right="1440" w:bottom="1440" w:gutter="0" w:footer="0" w:header="0"/>
        </w:sectPr>
      </w:pPr>
    </w:p>
    <w:bookmarkStart w:id="19" w:name="page20"/>
    <w:bookmarkEnd w:id="19"/>
    <w:p>
      <w:pPr>
        <w:spacing w:after="0" w:line="145"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comparable period of 1994 because of the contribution of 1993 and 1994 acquisitions and because of growth in the core portfolio.</w:t>
      </w:r>
    </w:p>
    <w:p>
      <w:pPr>
        <w:spacing w:after="0" w:line="189" w:lineRule="exact"/>
        <w:rPr>
          <w:sz w:val="20"/>
          <w:szCs w:val="20"/>
          <w:color w:val="auto"/>
        </w:rPr>
      </w:pPr>
    </w:p>
    <w:p>
      <w:pPr>
        <w:ind w:right="2679" w:firstLine="858"/>
        <w:spacing w:after="0" w:line="241" w:lineRule="auto"/>
        <w:rPr>
          <w:sz w:val="20"/>
          <w:szCs w:val="20"/>
          <w:color w:val="auto"/>
        </w:rPr>
      </w:pPr>
      <w:r>
        <w:rPr>
          <w:rFonts w:ascii="Courier New" w:cs="Courier New" w:eastAsia="Courier New" w:hAnsi="Courier New"/>
          <w:sz w:val="16"/>
          <w:szCs w:val="16"/>
          <w:color w:val="auto"/>
        </w:rPr>
        <w:t>During the first nine months of 1993 the Trust incurred losses on the early extinguishment of debt of $1.0 million due to the prepayment of two mortgages and the redemption of its 8 3/4% convertible subordinated debentures and senior notes.</w:t>
      </w:r>
    </w:p>
    <w:p>
      <w:pPr>
        <w:spacing w:after="0" w:line="189" w:lineRule="exact"/>
        <w:rPr>
          <w:sz w:val="20"/>
          <w:szCs w:val="20"/>
          <w:color w:val="auto"/>
        </w:rPr>
      </w:pPr>
    </w:p>
    <w:p>
      <w:pPr>
        <w:ind w:right="2979" w:firstLine="858"/>
        <w:spacing w:after="0"/>
        <w:rPr>
          <w:sz w:val="20"/>
          <w:szCs w:val="20"/>
          <w:color w:val="auto"/>
        </w:rPr>
      </w:pPr>
      <w:r>
        <w:rPr>
          <w:rFonts w:ascii="Courier New" w:cs="Courier New" w:eastAsia="Courier New" w:hAnsi="Courier New"/>
          <w:sz w:val="16"/>
          <w:szCs w:val="16"/>
          <w:color w:val="auto"/>
        </w:rPr>
        <w:t>As a result of the foregoing items, primarily the increases in property income, net income rose from $9.9 million in the first nine months of 1993 to $14.3 million in the first nine months of 1994.</w:t>
      </w:r>
    </w:p>
    <w:p>
      <w:pPr>
        <w:spacing w:after="0" w:line="190" w:lineRule="exact"/>
        <w:rPr>
          <w:sz w:val="20"/>
          <w:szCs w:val="20"/>
          <w:color w:val="auto"/>
        </w:rPr>
      </w:pPr>
    </w:p>
    <w:p>
      <w:pPr>
        <w:ind w:right="4119"/>
        <w:spacing w:after="0" w:line="239" w:lineRule="auto"/>
        <w:rPr>
          <w:sz w:val="20"/>
          <w:szCs w:val="20"/>
          <w:color w:val="auto"/>
        </w:rPr>
      </w:pPr>
      <w:r>
        <w:rPr>
          <w:rFonts w:ascii="Courier New" w:cs="Courier New" w:eastAsia="Courier New" w:hAnsi="Courier New"/>
          <w:sz w:val="16"/>
          <w:szCs w:val="16"/>
          <w:color w:val="auto"/>
        </w:rPr>
        <w:t>RESULTS OF OPERATIONS-THREE MONTHS ENDED SEPTEMBER 30, 1994 AND 1993</w:t>
      </w:r>
    </w:p>
    <w:p>
      <w:pPr>
        <w:spacing w:after="0" w:line="189"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Funds from operations increased 13% from $11.1 million in the third quarter of 1993 to $12.5 million in the third quarter of 1994. If funds from operations are adjusted to remove the nonrecurring charge of $758,000 for a write down of a mortgage note, funds from operations increased 20% from $11.1 million in the third quarter of 1993 to $13.3 million in the third quarter of 1994. Rental income increased 22% from $26.5 million in the third quarter of 1993 to $32.2 million in the comparable period of 1994. If the contribution of the new acquisitions is excluded, rental income increased 7.6% or $1.9 million; the increase is related primarily to increases in minimum rent and CAM recovery.</w:t>
      </w:r>
    </w:p>
    <w:p>
      <w:pPr>
        <w:spacing w:after="0" w:line="190" w:lineRule="exact"/>
        <w:rPr>
          <w:sz w:val="20"/>
          <w:szCs w:val="20"/>
          <w:color w:val="auto"/>
        </w:rPr>
      </w:pPr>
    </w:p>
    <w:p>
      <w:pPr>
        <w:ind w:right="2779" w:firstLine="858"/>
        <w:spacing w:after="0" w:line="260" w:lineRule="auto"/>
        <w:rPr>
          <w:sz w:val="20"/>
          <w:szCs w:val="20"/>
          <w:color w:val="auto"/>
        </w:rPr>
      </w:pPr>
      <w:r>
        <w:rPr>
          <w:rFonts w:ascii="Courier New" w:cs="Courier New" w:eastAsia="Courier New" w:hAnsi="Courier New"/>
          <w:sz w:val="15"/>
          <w:szCs w:val="15"/>
          <w:color w:val="auto"/>
        </w:rPr>
        <w:t>Rental expenses increased from $6.7 million during the third quarter of 1993 to $9.2 million during the same period of 1994, primarily because of the 1993 and 1994 acquisitions. Real estate taxes also rose from 1993 to 1994 because of the recent acquisitions. If the properties acquired in 1993 and 1994 are excluded, rental expenses increased approximately $500,000. The 1993 and 1994 acquisitions were the primary cause of the increase in depreciation and amortization expense, followed by increased depreciation on recent tenant work and renovations.</w:t>
      </w:r>
    </w:p>
    <w:p>
      <w:pPr>
        <w:spacing w:after="0" w:line="178" w:lineRule="exact"/>
        <w:rPr>
          <w:sz w:val="20"/>
          <w:szCs w:val="20"/>
          <w:color w:val="auto"/>
        </w:rPr>
      </w:pPr>
    </w:p>
    <w:p>
      <w:pPr>
        <w:ind w:right="2879" w:firstLine="858"/>
        <w:spacing w:after="0" w:line="242" w:lineRule="auto"/>
        <w:rPr>
          <w:sz w:val="20"/>
          <w:szCs w:val="20"/>
          <w:color w:val="auto"/>
        </w:rPr>
      </w:pPr>
      <w:r>
        <w:rPr>
          <w:rFonts w:ascii="Courier New" w:cs="Courier New" w:eastAsia="Courier New" w:hAnsi="Courier New"/>
          <w:sz w:val="16"/>
          <w:szCs w:val="16"/>
          <w:color w:val="auto"/>
        </w:rPr>
        <w:t>Interest expense has increased from $7.3 million in the third quarter of 1993 to $7.7 million in the third quarter of 1994. Decreases in interest expense resulting from the repayment of several mortgages in 1993 and the redemption on April 30, 1994 of the 5 1/4% convertible debentures due 2002 are offset by increases in interest because of the issuance of the 5 1/4% convertible subordinated debentures due 2003, because of the interest portion of the capital lease payment on Bethesda Row, and because of interest on increased usage of the revolving credit facilities.</w:t>
      </w:r>
    </w:p>
    <w:p>
      <w:pPr>
        <w:spacing w:after="0" w:line="189" w:lineRule="exact"/>
        <w:rPr>
          <w:sz w:val="20"/>
          <w:szCs w:val="20"/>
          <w:color w:val="auto"/>
        </w:rPr>
      </w:pPr>
    </w:p>
    <w:p>
      <w:pPr>
        <w:ind w:right="2779" w:firstLine="858"/>
        <w:spacing w:after="0" w:line="262" w:lineRule="auto"/>
        <w:rPr>
          <w:sz w:val="20"/>
          <w:szCs w:val="20"/>
          <w:color w:val="auto"/>
        </w:rPr>
      </w:pPr>
      <w:r>
        <w:rPr>
          <w:rFonts w:ascii="Courier New" w:cs="Courier New" w:eastAsia="Courier New" w:hAnsi="Courier New"/>
          <w:sz w:val="15"/>
          <w:szCs w:val="15"/>
          <w:color w:val="auto"/>
        </w:rPr>
        <w:t>Administrative expenses are increasing as the Trust grows and as it seeks new development and acquisition opportunities. During the third quarter of 1994, a major component of the increase in 1994 administrative expense over 1993 expenses is the increase of costs connected with the review and analysis of properties which were not acquired.</w:t>
      </w:r>
    </w:p>
    <w:p>
      <w:pPr>
        <w:spacing w:after="0" w:line="200" w:lineRule="exact"/>
        <w:rPr>
          <w:sz w:val="20"/>
          <w:szCs w:val="20"/>
          <w:color w:val="auto"/>
        </w:rPr>
      </w:pPr>
    </w:p>
    <w:p>
      <w:pPr>
        <w:spacing w:after="0" w:line="33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739"/>
          </w:cols>
          <w:pgMar w:left="720" w:top="1440" w:right="1440" w:bottom="1440" w:gutter="0" w:footer="0" w:header="0"/>
        </w:sectPr>
      </w:pPr>
    </w:p>
    <w:bookmarkStart w:id="20" w:name="page21"/>
    <w:bookmarkEnd w:id="20"/>
    <w:p>
      <w:pPr>
        <w:spacing w:after="0" w:line="14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During the third quarter of 1994 the Trust has written down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mortgage note receivable and accrued interest on the note, totalling</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$758,000.</w:t>
      </w:r>
      <w:r>
        <w:rPr>
          <w:sz w:val="20"/>
          <w:szCs w:val="20"/>
          <w:color w:val="auto"/>
        </w:rPr>
        <w:tab/>
      </w:r>
      <w:r>
        <w:rPr>
          <w:rFonts w:ascii="Courier New" w:cs="Courier New" w:eastAsia="Courier New" w:hAnsi="Courier New"/>
          <w:sz w:val="15"/>
          <w:szCs w:val="15"/>
          <w:color w:val="auto"/>
        </w:rPr>
        <w:t>The note was issued in 1982 in connection with the sale by the</w:t>
      </w:r>
    </w:p>
    <w:p>
      <w:pPr>
        <w:spacing w:after="0" w:line="2"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6"/>
          <w:szCs w:val="16"/>
          <w:color w:val="auto"/>
        </w:rPr>
        <w:t>Trust of a shopping center in Delaware.</w:t>
      </w:r>
      <w:r>
        <w:rPr>
          <w:sz w:val="20"/>
          <w:szCs w:val="20"/>
          <w:color w:val="auto"/>
        </w:rPr>
        <w:tab/>
      </w:r>
      <w:r>
        <w:rPr>
          <w:rFonts w:ascii="Courier New" w:cs="Courier New" w:eastAsia="Courier New" w:hAnsi="Courier New"/>
          <w:sz w:val="15"/>
          <w:szCs w:val="15"/>
          <w:color w:val="auto"/>
        </w:rPr>
        <w:t>Although the Trust will continue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pursue payment of the note, due to the current cash flow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 property, collectibility is not certain.</w:t>
      </w:r>
    </w:p>
    <w:p>
      <w:pPr>
        <w:spacing w:after="0" w:line="188" w:lineRule="exact"/>
        <w:rPr>
          <w:sz w:val="20"/>
          <w:szCs w:val="20"/>
          <w:color w:val="auto"/>
        </w:rPr>
      </w:pPr>
    </w:p>
    <w:p>
      <w:pPr>
        <w:ind w:right="3059" w:firstLine="858"/>
        <w:spacing w:after="0"/>
        <w:rPr>
          <w:sz w:val="20"/>
          <w:szCs w:val="20"/>
          <w:color w:val="auto"/>
        </w:rPr>
      </w:pPr>
      <w:r>
        <w:rPr>
          <w:rFonts w:ascii="Courier New" w:cs="Courier New" w:eastAsia="Courier New" w:hAnsi="Courier New"/>
          <w:sz w:val="16"/>
          <w:szCs w:val="16"/>
          <w:color w:val="auto"/>
        </w:rPr>
        <w:t>As a result of the foregoing items, net income rose from $4.5 million for the third quarter of 1993 to $5.0 million for the third quarter of 1994.</w:t>
      </w:r>
    </w:p>
    <w:p>
      <w:pPr>
        <w:spacing w:after="0" w:line="190" w:lineRule="exact"/>
        <w:rPr>
          <w:sz w:val="20"/>
          <w:szCs w:val="20"/>
          <w:color w:val="auto"/>
        </w:rPr>
      </w:pPr>
    </w:p>
    <w:p>
      <w:pPr>
        <w:ind w:right="2979" w:firstLine="858"/>
        <w:spacing w:after="0"/>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FEDERAL REALTY INVESTMENT TRUST</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9739"/>
          </w:cols>
          <w:pgMar w:left="7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560" w:right="1200" w:hanging="559"/>
        <w:spacing w:after="0" w:line="271" w:lineRule="auto"/>
        <w:tabs>
          <w:tab w:leader="none" w:pos="540" w:val="left"/>
        </w:tabs>
        <w:rPr>
          <w:sz w:val="20"/>
          <w:szCs w:val="20"/>
          <w:color w:val="auto"/>
        </w:rPr>
      </w:pPr>
      <w:r>
        <w:rPr>
          <w:rFonts w:ascii="Courier New" w:cs="Courier New" w:eastAsia="Courier New" w:hAnsi="Courier New"/>
          <w:sz w:val="15"/>
          <w:szCs w:val="15"/>
          <w:color w:val="auto"/>
        </w:rPr>
        <w:t>Date:</w:t>
        <w:tab/>
        <w:t>November 10, 1994 -----------------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ectPr>
          <w:pgSz w:w="11900" w:h="16838" w:orient="portrait"/>
          <w:cols w:equalWidth="0" w:num="2">
            <w:col w:w="3380" w:space="720"/>
            <w:col w:w="5639"/>
          </w:cols>
          <w:pgMar w:left="720" w:top="1440" w:right="1440"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both"/>
        <w:ind w:left="560" w:right="1200" w:hanging="559"/>
        <w:spacing w:after="0" w:line="271" w:lineRule="auto"/>
        <w:tabs>
          <w:tab w:leader="none" w:pos="540" w:val="left"/>
        </w:tabs>
        <w:rPr>
          <w:sz w:val="20"/>
          <w:szCs w:val="20"/>
          <w:color w:val="auto"/>
        </w:rPr>
      </w:pPr>
      <w:r>
        <w:rPr>
          <w:rFonts w:ascii="Courier New" w:cs="Courier New" w:eastAsia="Courier New" w:hAnsi="Courier New"/>
          <w:sz w:val="15"/>
          <w:szCs w:val="15"/>
          <w:color w:val="auto"/>
        </w:rPr>
        <w:t>Date:</w:t>
        <w:tab/>
        <w:t>November 10, 1994 -----------------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Cecily A. Ward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3380" w:space="720"/>
            <w:col w:w="5639"/>
          </w:cols>
          <w:pgMar w:left="7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739"/>
          </w:cols>
          <w:pgMar w:left="720" w:top="1440" w:right="1440" w:bottom="1440" w:gutter="0" w:footer="0" w:header="0"/>
          <w:type w:val="continuous"/>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left="20" w:right="2559"/>
        <w:spacing w:after="0" w:line="241"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 of Federal Realty Investment Trust as of September 30, 1994 and the related consolidated statement of operations for the nine months ended September 30, 1994 and is qualified in its entirety by reference to such financial statements.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9-MOS</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DEC-31-1994</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SEP-30-1994</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$7,314</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3,673</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14,910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822,549</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(153,476)</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734,401</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273,661</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495,914</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(145,937)</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734,401</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98,236</w:t>
      </w:r>
    </w:p>
    <w:p>
      <w:pPr>
        <w:spacing w:after="0" w:line="2"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36,057</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23,533</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14,255</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14,255</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0</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Current assets and current liabilities are not listed since Federal Realty does not prepare a classified balance sheet.</w:t>
      </w:r>
    </w:p>
    <w:sectPr>
      <w:pgSz w:w="11900" w:h="16838" w:orient="portrait"/>
      <w:cols w:equalWidth="0" w:num="1">
        <w:col w:w="10219"/>
      </w:cols>
      <w:pgMar w:left="240" w:top="5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0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2019-12-13T00:58:26Z</dcterms:created>
  <dcterms:modified xsi:type="dcterms:W3CDTF">2019-12-13T00:58:26Z</dcterms:modified>
</cp:coreProperties>
</file>