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Federal Realty Investment Trust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313747206</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2007</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3380" w:right="5059" w:hanging="1"/>
        <w:spacing w:after="0" w:line="547" w:lineRule="auto"/>
        <w:tabs>
          <w:tab w:leader="none" w:pos="38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Deutsche Bank AG*</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536"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Federal Republic of Germany</w:t>
      </w:r>
    </w:p>
    <w:tbl>
      <w:tblPr>
        <w:tblLayout w:type="fixed"/>
        <w:tblInd w:w="0" w:type="dxa"/>
        <w:tblCellMar>
          <w:top w:w="0" w:type="dxa"/>
          <w:left w:w="0" w:type="dxa"/>
          <w:bottom w:w="0" w:type="dxa"/>
          <w:right w:w="0" w:type="dxa"/>
        </w:tblCellMar>
      </w:tblPr>
      <w:tr>
        <w:trPr>
          <w:trHeight w:val="199"/>
        </w:trPr>
        <w:tc>
          <w:tcPr>
            <w:tcW w:w="1580" w:type="dxa"/>
            <w:vAlign w:val="bottom"/>
          </w:tcPr>
          <w:p>
            <w:pPr>
              <w:spacing w:after="0" w:line="199" w:lineRule="exact"/>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line="199" w:lineRule="exact"/>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line="199"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2,495,222</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3,786,952</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420" w:right="347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3,786,952</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6.45%</w:t>
      </w:r>
    </w:p>
    <w:p>
      <w:pPr>
        <w:sectPr>
          <w:pgSz w:w="11900" w:h="17023" w:orient="portrait"/>
          <w:cols w:equalWidth="0" w:num="1">
            <w:col w:w="10219"/>
          </w:cols>
          <w:pgMar w:left="240" w:top="447" w:right="1440" w:bottom="0" w:gutter="0" w:footer="0" w:header="0"/>
        </w:sectPr>
      </w:pPr>
    </w:p>
    <w:bookmarkStart w:id="1" w:name="page2"/>
    <w:bookmarkEnd w:id="1"/>
    <w:p>
      <w:pPr>
        <w:ind w:left="412" w:right="7259" w:hanging="412"/>
        <w:spacing w:after="0" w:line="470" w:lineRule="auto"/>
        <w:tabs>
          <w:tab w:leader="none" w:pos="41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 BK</w:t>
      </w:r>
    </w:p>
    <w:p>
      <w:pPr>
        <w:spacing w:after="0" w:line="11" w:lineRule="exact"/>
        <w:rPr>
          <w:rFonts w:ascii="Courier New" w:cs="Courier New" w:eastAsia="Courier New" w:hAnsi="Courier New"/>
          <w:sz w:val="18"/>
          <w:szCs w:val="18"/>
          <w:color w:val="auto"/>
        </w:rPr>
      </w:pPr>
    </w:p>
    <w:p>
      <w:pPr>
        <w:ind w:left="412"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Securities Exchange Act Release No. 39538 (January 12, 1998), this filing reflects the securities beneficially owned by the Corporate and Investment Banking business group and the Corporate Investments business group (collectively, "CIB") of Deutsche Bank AG and its subsidiaries and affiliates (collectively, "DBAG"). This filing does not reflect securities, if any, beneficially owned by any other business group of DBAG. Consistent with Rule 13d-4 under the Securities Exchange Act of 1934 ("Act"), this filing shall not be construed as an admission that CIB is, for purposes of Section 13(d) under the Act, the beneficial owner of any securities covered by the filing. Furthermore, CIB disclaims beneficial ownership of the securities beneficially owned by (i) any client accounts with respect to which CIB or its employees have voting or investment discretion, or both, and (ii) certain investment entities, of which CIB is the general partner, managing general partner, or other manager, to the extent interests in such entities are held by persons other than CIB.</w:t>
      </w:r>
    </w:p>
    <w:p>
      <w:pPr>
        <w:sectPr>
          <w:pgSz w:w="11900" w:h="16838" w:orient="portrait"/>
          <w:cols w:equalWidth="0" w:num="1">
            <w:col w:w="10211"/>
          </w:cols>
          <w:pgMar w:left="248" w:top="344" w:right="1440" w:bottom="1440" w:gutter="0" w:footer="0" w:header="0"/>
        </w:sectPr>
      </w:pPr>
    </w:p>
    <w:bookmarkStart w:id="2" w:name="page3"/>
    <w:bookmarkEnd w:id="2"/>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RREEF America, L.L.C.</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431"/>
        <w:spacing w:after="0" w:line="238"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2,340,022</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3,612,352</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3,612,352</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6.16%</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ectPr>
          <w:pgSz w:w="11900" w:h="16838" w:orient="portrait"/>
          <w:cols w:equalWidth="0" w:num="1">
            <w:col w:w="10219"/>
          </w:cols>
          <w:pgMar w:left="240" w:top="919" w:right="1440" w:bottom="1440" w:gutter="0" w:footer="0" w:header="0"/>
        </w:sectPr>
      </w:pPr>
    </w:p>
    <w:bookmarkStart w:id="3" w:name="page4"/>
    <w:bookmarkEnd w:id="3"/>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Deutsche Bank Trust Corp. Americas</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431"/>
        <w:spacing w:after="0" w:line="238" w:lineRule="auto"/>
        <w:tabs>
          <w:tab w:leader="none" w:pos="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19,000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19,000</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0.03%</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 CO</w:t>
      </w:r>
    </w:p>
    <w:p>
      <w:pPr>
        <w:sectPr>
          <w:pgSz w:w="11900" w:h="16838" w:orient="portrait"/>
          <w:cols w:equalWidth="0" w:num="1">
            <w:col w:w="10219"/>
          </w:cols>
          <w:pgMar w:left="240" w:top="919" w:right="1440" w:bottom="1440" w:gutter="0" w:footer="0" w:header="0"/>
        </w:sectPr>
      </w:pPr>
    </w:p>
    <w:bookmarkStart w:id="4" w:name="page5"/>
    <w:bookmarkEnd w:id="4"/>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Deutsche Investment Management Americas</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431"/>
        <w:spacing w:after="0" w:line="238" w:lineRule="auto"/>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155,050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155,050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155,050</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0.26%</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ectPr>
          <w:pgSz w:w="11900" w:h="16838" w:orient="portrait"/>
          <w:cols w:equalWidth="0" w:num="1">
            <w:col w:w="10219"/>
          </w:cols>
          <w:pgMar w:left="240" w:top="919" w:right="1440" w:bottom="1440" w:gutter="0" w:footer="0" w:header="0"/>
        </w:sectPr>
      </w:pPr>
    </w:p>
    <w:bookmarkStart w:id="5" w:name="page6"/>
    <w:bookmarkEnd w:id="5"/>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Deutsche Asset Management Japan Limited</w:t>
      </w:r>
    </w:p>
    <w:p>
      <w:pPr>
        <w:spacing w:after="0" w:line="201"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431"/>
        <w:spacing w:after="0" w:line="238" w:lineRule="auto"/>
        <w:tabs>
          <w:tab w:leader="none" w:pos="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Japan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2940" w:type="dxa"/>
            <w:vAlign w:val="bottom"/>
          </w:tcPr>
          <w:p>
            <w:pPr>
              <w:ind w:left="4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60" w:type="dxa"/>
            <w:vAlign w:val="bottom"/>
          </w:tcPr>
          <w:p>
            <w:pPr>
              <w:spacing w:after="0"/>
              <w:rPr>
                <w:sz w:val="17"/>
                <w:szCs w:val="17"/>
                <w:color w:val="auto"/>
              </w:rPr>
            </w:pPr>
          </w:p>
        </w:tc>
        <w:tc>
          <w:tcPr>
            <w:tcW w:w="2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2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860" w:type="dxa"/>
            <w:vAlign w:val="bottom"/>
          </w:tcPr>
          <w:p>
            <w:pPr>
              <w:spacing w:after="0"/>
              <w:rPr>
                <w:sz w:val="17"/>
                <w:szCs w:val="17"/>
                <w:color w:val="auto"/>
              </w:rPr>
            </w:pPr>
          </w:p>
        </w:tc>
        <w:tc>
          <w:tcPr>
            <w:tcW w:w="2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2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60" w:type="dxa"/>
            <w:vAlign w:val="bottom"/>
          </w:tcPr>
          <w:p>
            <w:pPr>
              <w:spacing w:after="0"/>
              <w:rPr>
                <w:sz w:val="17"/>
                <w:szCs w:val="17"/>
                <w:color w:val="auto"/>
              </w:rPr>
            </w:pPr>
          </w:p>
        </w:tc>
        <w:tc>
          <w:tcPr>
            <w:tcW w:w="2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2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w:t>
      </w:r>
    </w:p>
    <w:p>
      <w:pPr>
        <w:spacing w:after="0" w:line="11" w:lineRule="exact"/>
        <w:rPr>
          <w:rFonts w:ascii="Courier New" w:cs="Courier New" w:eastAsia="Courier New" w:hAnsi="Courier New"/>
          <w:sz w:val="18"/>
          <w:szCs w:val="18"/>
          <w:color w:val="auto"/>
        </w:rPr>
      </w:pPr>
    </w:p>
    <w:p>
      <w:pPr>
        <w:ind w:left="420" w:right="2839" w:hanging="412"/>
        <w:spacing w:after="0" w:line="470"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0.00%</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ectPr>
          <w:pgSz w:w="11900" w:h="16838" w:orient="portrait"/>
          <w:cols w:equalWidth="0" w:num="1">
            <w:col w:w="10219"/>
          </w:cols>
          <w:pgMar w:left="240" w:top="9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54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Federal</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Realty Investment Trust (the "Issuer")</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1(b).</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w w:val="97"/>
              </w:rPr>
              <w:t>of Issuer's Principal Executive Offices:</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1626 East Jefferson Street</w:t>
      </w:r>
    </w:p>
    <w:p>
      <w:pPr>
        <w:ind w:left="1900"/>
        <w:spacing w:after="0" w:line="238" w:lineRule="auto"/>
        <w:rPr>
          <w:sz w:val="20"/>
          <w:szCs w:val="20"/>
          <w:color w:val="auto"/>
        </w:rPr>
      </w:pPr>
      <w:r>
        <w:rPr>
          <w:rFonts w:ascii="Courier New" w:cs="Courier New" w:eastAsia="Courier New" w:hAnsi="Courier New"/>
          <w:sz w:val="18"/>
          <w:szCs w:val="18"/>
          <w:color w:val="auto"/>
        </w:rPr>
        <w:t>Rockville, MD 20852</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left="1900" w:right="2739"/>
        <w:spacing w:after="0" w:line="235" w:lineRule="auto"/>
        <w:rPr>
          <w:sz w:val="20"/>
          <w:szCs w:val="20"/>
          <w:color w:val="auto"/>
        </w:rPr>
      </w:pPr>
      <w:r>
        <w:rPr>
          <w:rFonts w:ascii="Courier New" w:cs="Courier New" w:eastAsia="Courier New" w:hAnsi="Courier New"/>
          <w:sz w:val="18"/>
          <w:szCs w:val="18"/>
          <w:color w:val="auto"/>
        </w:rPr>
        <w:t>This statement is filed on behalf of Deutsche Bank AG ("Reporting Person").</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Theodor-Heuss-Allee 70</w:t>
      </w:r>
    </w:p>
    <w:p>
      <w:pPr>
        <w:ind w:left="1900"/>
        <w:spacing w:after="0" w:line="238" w:lineRule="auto"/>
        <w:rPr>
          <w:sz w:val="20"/>
          <w:szCs w:val="20"/>
          <w:color w:val="auto"/>
        </w:rPr>
      </w:pPr>
      <w:r>
        <w:rPr>
          <w:rFonts w:ascii="Courier New" w:cs="Courier New" w:eastAsia="Courier New" w:hAnsi="Courier New"/>
          <w:sz w:val="18"/>
          <w:szCs w:val="18"/>
          <w:color w:val="auto"/>
        </w:rPr>
        <w:t>60468 Frankfurt am Main</w:t>
      </w:r>
    </w:p>
    <w:p>
      <w:pPr>
        <w:ind w:left="1900"/>
        <w:spacing w:after="0"/>
        <w:rPr>
          <w:sz w:val="20"/>
          <w:szCs w:val="20"/>
          <w:color w:val="auto"/>
        </w:rPr>
      </w:pPr>
      <w:r>
        <w:rPr>
          <w:rFonts w:ascii="Courier New" w:cs="Courier New" w:eastAsia="Courier New" w:hAnsi="Courier New"/>
          <w:sz w:val="18"/>
          <w:szCs w:val="18"/>
          <w:color w:val="auto"/>
        </w:rPr>
        <w:t>Federal Republic of Germany</w:t>
      </w:r>
    </w:p>
    <w:p>
      <w:pPr>
        <w:spacing w:after="0" w:line="20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1900" w:right="2099"/>
        <w:spacing w:after="0" w:line="235" w:lineRule="auto"/>
        <w:rPr>
          <w:sz w:val="20"/>
          <w:szCs w:val="20"/>
          <w:color w:val="auto"/>
        </w:rPr>
      </w:pPr>
      <w:r>
        <w:rPr>
          <w:rFonts w:ascii="Courier New" w:cs="Courier New" w:eastAsia="Courier New" w:hAnsi="Courier New"/>
          <w:sz w:val="18"/>
          <w:szCs w:val="18"/>
          <w:color w:val="auto"/>
        </w:rPr>
        <w:t>The citizenship of the Reporting Person is set forth on the cover page.</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7" w:lineRule="exact"/>
        <w:rPr>
          <w:sz w:val="20"/>
          <w:szCs w:val="20"/>
          <w:color w:val="auto"/>
        </w:rPr>
      </w:pPr>
    </w:p>
    <w:p>
      <w:pPr>
        <w:ind w:left="1900" w:right="1999"/>
        <w:spacing w:after="0" w:line="235" w:lineRule="auto"/>
        <w:rPr>
          <w:sz w:val="20"/>
          <w:szCs w:val="20"/>
          <w:color w:val="auto"/>
        </w:rPr>
      </w:pPr>
      <w:r>
        <w:rPr>
          <w:rFonts w:ascii="Courier New" w:cs="Courier New" w:eastAsia="Courier New" w:hAnsi="Courier New"/>
          <w:sz w:val="18"/>
          <w:szCs w:val="18"/>
          <w:color w:val="auto"/>
        </w:rPr>
        <w:t>The title of the securities is common stock, $0.01 par value ("Common Stock").</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7" w:lineRule="exact"/>
        <w:rPr>
          <w:sz w:val="20"/>
          <w:szCs w:val="20"/>
          <w:color w:val="auto"/>
        </w:rPr>
      </w:pPr>
    </w:p>
    <w:p>
      <w:pPr>
        <w:ind w:left="1900" w:right="1779"/>
        <w:spacing w:after="0" w:line="235" w:lineRule="auto"/>
        <w:rPr>
          <w:sz w:val="20"/>
          <w:szCs w:val="20"/>
          <w:color w:val="auto"/>
        </w:rPr>
      </w:pPr>
      <w:r>
        <w:rPr>
          <w:rFonts w:ascii="Courier New" w:cs="Courier New" w:eastAsia="Courier New" w:hAnsi="Courier New"/>
          <w:sz w:val="18"/>
          <w:szCs w:val="18"/>
          <w:color w:val="auto"/>
        </w:rPr>
        <w:t>The CUSIP number of the Common Stock is set forth on the cover page.</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ind w:left="190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2740" w:right="2099" w:hanging="836"/>
        <w:spacing w:after="0" w:line="235" w:lineRule="auto"/>
        <w:tabs>
          <w:tab w:leader="none" w:pos="231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8" w:lineRule="exact"/>
        <w:rPr>
          <w:rFonts w:ascii="Courier New" w:cs="Courier New" w:eastAsia="Courier New" w:hAnsi="Courier New"/>
          <w:sz w:val="18"/>
          <w:szCs w:val="18"/>
          <w:color w:val="auto"/>
        </w:rPr>
      </w:pPr>
    </w:p>
    <w:p>
      <w:pPr>
        <w:ind w:left="2740" w:right="2619" w:hanging="836"/>
        <w:spacing w:after="0" w:line="470" w:lineRule="auto"/>
        <w:tabs>
          <w:tab w:leader="none" w:pos="231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Deutsche Bank Trust Corp. Americas</w:t>
      </w:r>
    </w:p>
    <w:p>
      <w:pPr>
        <w:spacing w:after="0" w:line="6"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w:t>
      </w:r>
    </w:p>
    <w:p>
      <w:pPr>
        <w:ind w:left="2740"/>
        <w:spacing w:after="0" w:line="238" w:lineRule="auto"/>
        <w:rPr>
          <w:sz w:val="20"/>
          <w:szCs w:val="20"/>
          <w:color w:val="auto"/>
        </w:rPr>
      </w:pPr>
      <w:r>
        <w:rPr>
          <w:rFonts w:ascii="Courier New" w:cs="Courier New" w:eastAsia="Courier New" w:hAnsi="Courier New"/>
          <w:sz w:val="18"/>
          <w:szCs w:val="18"/>
          <w:color w:val="auto"/>
        </w:rPr>
        <w:t>of the Act;</w:t>
      </w:r>
    </w:p>
    <w:p>
      <w:pPr>
        <w:spacing w:after="0" w:line="207" w:lineRule="exact"/>
        <w:rPr>
          <w:sz w:val="20"/>
          <w:szCs w:val="20"/>
          <w:color w:val="auto"/>
        </w:rPr>
      </w:pPr>
    </w:p>
    <w:p>
      <w:pPr>
        <w:ind w:left="2740" w:right="2739" w:hanging="836"/>
        <w:spacing w:after="0" w:line="235" w:lineRule="auto"/>
        <w:tabs>
          <w:tab w:leader="none" w:pos="231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2740" w:right="2739" w:hanging="836"/>
        <w:spacing w:after="0" w:line="235" w:lineRule="auto"/>
        <w:tabs>
          <w:tab w:leader="none" w:pos="231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13d- 1(b)(1)(ii)(E);</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RREEF America, L.L.C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Deutsche Investment Management Americas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Deutsche Asset Management Japan Limited</w:t>
      </w:r>
    </w:p>
    <w:p>
      <w:pPr>
        <w:spacing w:after="0" w:line="207" w:lineRule="exact"/>
        <w:rPr>
          <w:sz w:val="20"/>
          <w:szCs w:val="20"/>
          <w:color w:val="auto"/>
        </w:rPr>
      </w:pPr>
    </w:p>
    <w:p>
      <w:pPr>
        <w:ind w:left="2740" w:right="2619" w:hanging="836"/>
        <w:spacing w:after="0" w:line="235" w:lineRule="auto"/>
        <w:tabs>
          <w:tab w:leader="none" w:pos="23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 (b)(1)(ii)(F);</w:t>
      </w:r>
    </w:p>
    <w:p>
      <w:pPr>
        <w:spacing w:after="0" w:line="208" w:lineRule="exact"/>
        <w:rPr>
          <w:rFonts w:ascii="Courier New" w:cs="Courier New" w:eastAsia="Courier New" w:hAnsi="Courier New"/>
          <w:sz w:val="18"/>
          <w:szCs w:val="18"/>
          <w:color w:val="auto"/>
        </w:rPr>
      </w:pPr>
    </w:p>
    <w:p>
      <w:pPr>
        <w:ind w:left="2740" w:right="2939" w:hanging="836"/>
        <w:spacing w:after="0" w:line="290" w:lineRule="auto"/>
        <w:tabs>
          <w:tab w:leader="none" w:pos="231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Parent holding company or control person in accordance with Rule 13d-1 (b)(1)(ii)(G);</w:t>
      </w:r>
    </w:p>
    <w:p>
      <w:pPr>
        <w:spacing w:after="0" w:line="16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Deutsche Bank AG</w:t>
      </w:r>
    </w:p>
    <w:p>
      <w:pPr>
        <w:spacing w:after="0" w:line="207" w:lineRule="exact"/>
        <w:rPr>
          <w:sz w:val="20"/>
          <w:szCs w:val="20"/>
          <w:color w:val="auto"/>
        </w:rPr>
      </w:pPr>
    </w:p>
    <w:p>
      <w:pPr>
        <w:ind w:left="2740" w:right="2099" w:hanging="836"/>
        <w:spacing w:after="0" w:line="235" w:lineRule="auto"/>
        <w:tabs>
          <w:tab w:leader="none" w:pos="231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740" w:right="1879" w:hanging="836"/>
        <w:spacing w:after="0" w:line="236" w:lineRule="auto"/>
        <w:tabs>
          <w:tab w:leader="none" w:pos="231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 (b)(1)(ii)(J).</w:t>
      </w:r>
    </w:p>
    <w:p>
      <w:pPr>
        <w:sectPr>
          <w:pgSz w:w="11900" w:h="16838" w:orient="portrait"/>
          <w:cols w:equalWidth="0" w:num="1">
            <w:col w:w="10219"/>
          </w:cols>
          <w:pgMar w:left="240" w:top="919" w:right="1440" w:bottom="0" w:gutter="0" w:footer="0" w:header="0"/>
        </w:sectPr>
      </w:pPr>
    </w:p>
    <w:bookmarkStart w:id="7" w:name="page8"/>
    <w:bookmarkEnd w:id="7"/>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320" w:hanging="416"/>
        <w:spacing w:after="0"/>
        <w:tabs>
          <w:tab w:leader="none" w:pos="2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ind w:left="232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owns the amount of the Common Stock as set forth on the cover page.</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232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owns the percentage of the Common Stock as set forth on the cover page.</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960" w:hanging="634"/>
        <w:spacing w:after="0"/>
        <w:tabs>
          <w:tab w:leader="none" w:pos="2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6" w:lineRule="exact"/>
        <w:rPr>
          <w:rFonts w:ascii="Courier New" w:cs="Courier New" w:eastAsia="Courier New" w:hAnsi="Courier New"/>
          <w:sz w:val="18"/>
          <w:szCs w:val="18"/>
          <w:color w:val="auto"/>
        </w:rPr>
      </w:pPr>
    </w:p>
    <w:p>
      <w:pPr>
        <w:ind w:left="296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sole power to vote or direct the vote of the Common Stock as set forth on the cover page.</w:t>
      </w:r>
    </w:p>
    <w:p>
      <w:pPr>
        <w:spacing w:after="0" w:line="203" w:lineRule="exact"/>
        <w:rPr>
          <w:rFonts w:ascii="Courier New" w:cs="Courier New" w:eastAsia="Courier New" w:hAnsi="Courier New"/>
          <w:sz w:val="18"/>
          <w:szCs w:val="18"/>
          <w:color w:val="auto"/>
        </w:rPr>
      </w:pPr>
    </w:p>
    <w:p>
      <w:pPr>
        <w:ind w:left="2960" w:hanging="634"/>
        <w:spacing w:after="0"/>
        <w:tabs>
          <w:tab w:leader="none" w:pos="2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6" w:lineRule="exact"/>
        <w:rPr>
          <w:rFonts w:ascii="Courier New" w:cs="Courier New" w:eastAsia="Courier New" w:hAnsi="Courier New"/>
          <w:sz w:val="18"/>
          <w:szCs w:val="18"/>
          <w:color w:val="auto"/>
        </w:rPr>
      </w:pPr>
    </w:p>
    <w:p>
      <w:pPr>
        <w:ind w:left="29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shared power to vote or direct the vote of the Common Stock as set forth on the cover page.</w:t>
      </w:r>
    </w:p>
    <w:p>
      <w:pPr>
        <w:spacing w:after="0" w:line="208" w:lineRule="exact"/>
        <w:rPr>
          <w:rFonts w:ascii="Courier New" w:cs="Courier New" w:eastAsia="Courier New" w:hAnsi="Courier New"/>
          <w:sz w:val="18"/>
          <w:szCs w:val="18"/>
          <w:color w:val="auto"/>
        </w:rPr>
      </w:pPr>
    </w:p>
    <w:p>
      <w:pPr>
        <w:ind w:left="2960" w:right="1999" w:hanging="634"/>
        <w:spacing w:after="0" w:line="235" w:lineRule="auto"/>
        <w:tabs>
          <w:tab w:leader="none" w:pos="2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8" w:lineRule="exact"/>
        <w:rPr>
          <w:rFonts w:ascii="Courier New" w:cs="Courier New" w:eastAsia="Courier New" w:hAnsi="Courier New"/>
          <w:sz w:val="18"/>
          <w:szCs w:val="18"/>
          <w:color w:val="auto"/>
        </w:rPr>
      </w:pPr>
    </w:p>
    <w:p>
      <w:pPr>
        <w:ind w:left="29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sole power to dispose or direct the disposition of the Common Stock as set forth on the cover page.</w:t>
      </w:r>
    </w:p>
    <w:p>
      <w:pPr>
        <w:spacing w:after="0" w:line="208" w:lineRule="exact"/>
        <w:rPr>
          <w:rFonts w:ascii="Courier New" w:cs="Courier New" w:eastAsia="Courier New" w:hAnsi="Courier New"/>
          <w:sz w:val="18"/>
          <w:szCs w:val="18"/>
          <w:color w:val="auto"/>
        </w:rPr>
      </w:pPr>
    </w:p>
    <w:p>
      <w:pPr>
        <w:ind w:left="2960" w:right="1779" w:hanging="634"/>
        <w:spacing w:after="0" w:line="235" w:lineRule="auto"/>
        <w:tabs>
          <w:tab w:leader="none" w:pos="2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7060" w:type="dxa"/>
            <w:vAlign w:val="bottom"/>
            <w:gridSpan w:val="3"/>
          </w:tcPr>
          <w:p>
            <w:pPr>
              <w:ind w:left="1580"/>
              <w:spacing w:after="0"/>
              <w:rPr>
                <w:sz w:val="20"/>
                <w:szCs w:val="20"/>
                <w:color w:val="auto"/>
              </w:rPr>
            </w:pPr>
            <w:r>
              <w:rPr>
                <w:rFonts w:ascii="Courier New" w:cs="Courier New" w:eastAsia="Courier New" w:hAnsi="Courier New"/>
                <w:sz w:val="18"/>
                <w:szCs w:val="18"/>
                <w:color w:val="auto"/>
                <w:w w:val="97"/>
              </w:rPr>
              <w:t>The Reporting Person has the shared power to dispose</w:t>
            </w:r>
          </w:p>
        </w:tc>
      </w:tr>
      <w:tr>
        <w:trPr>
          <w:trHeight w:val="203"/>
        </w:trPr>
        <w:tc>
          <w:tcPr>
            <w:tcW w:w="1380" w:type="dxa"/>
            <w:vAlign w:val="bottom"/>
          </w:tcPr>
          <w:p>
            <w:pPr>
              <w:spacing w:after="0"/>
              <w:rPr>
                <w:sz w:val="17"/>
                <w:szCs w:val="17"/>
                <w:color w:val="auto"/>
              </w:rPr>
            </w:pPr>
          </w:p>
        </w:tc>
        <w:tc>
          <w:tcPr>
            <w:tcW w:w="706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w w:val="97"/>
              </w:rPr>
              <w:t>or direct the disposition of the Common Stock as set</w:t>
            </w:r>
          </w:p>
        </w:tc>
      </w:tr>
      <w:tr>
        <w:trPr>
          <w:trHeight w:val="203"/>
        </w:trPr>
        <w:tc>
          <w:tcPr>
            <w:tcW w:w="1380" w:type="dxa"/>
            <w:vAlign w:val="bottom"/>
          </w:tcPr>
          <w:p>
            <w:pPr>
              <w:spacing w:after="0"/>
              <w:rPr>
                <w:sz w:val="17"/>
                <w:szCs w:val="17"/>
                <w:color w:val="auto"/>
              </w:rPr>
            </w:pPr>
          </w:p>
        </w:tc>
        <w:tc>
          <w:tcPr>
            <w:tcW w:w="42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forth on the cover page.</w:t>
            </w:r>
          </w:p>
        </w:tc>
        <w:tc>
          <w:tcPr>
            <w:tcW w:w="5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0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Ownership of Five Percent or Less of a Class.</w:t>
            </w:r>
          </w:p>
        </w:tc>
      </w:tr>
      <w:tr>
        <w:trPr>
          <w:trHeight w:val="405"/>
        </w:trPr>
        <w:tc>
          <w:tcPr>
            <w:tcW w:w="1380" w:type="dxa"/>
            <w:vAlign w:val="bottom"/>
          </w:tcPr>
          <w:p>
            <w:pPr>
              <w:spacing w:after="0"/>
              <w:rPr>
                <w:sz w:val="24"/>
                <w:szCs w:val="24"/>
                <w:color w:val="auto"/>
              </w:rPr>
            </w:pPr>
          </w:p>
        </w:tc>
        <w:tc>
          <w:tcPr>
            <w:tcW w:w="4220" w:type="dxa"/>
            <w:vAlign w:val="bottom"/>
          </w:tcPr>
          <w:p>
            <w:pPr>
              <w:ind w:left="520"/>
              <w:spacing w:after="0"/>
              <w:rPr>
                <w:sz w:val="20"/>
                <w:szCs w:val="20"/>
                <w:color w:val="auto"/>
              </w:rPr>
            </w:pPr>
            <w:r>
              <w:rPr>
                <w:rFonts w:ascii="Courier New" w:cs="Courier New" w:eastAsia="Courier New" w:hAnsi="Courier New"/>
                <w:sz w:val="18"/>
                <w:szCs w:val="18"/>
                <w:color w:val="auto"/>
              </w:rPr>
              <w:t>Not applicable</w:t>
            </w: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0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Ownership of More than Five Percent on Behalf of Another</w:t>
            </w:r>
          </w:p>
        </w:tc>
      </w:tr>
      <w:tr>
        <w:trPr>
          <w:trHeight w:val="203"/>
        </w:trPr>
        <w:tc>
          <w:tcPr>
            <w:tcW w:w="1380" w:type="dxa"/>
            <w:vAlign w:val="bottom"/>
          </w:tcPr>
          <w:p>
            <w:pPr>
              <w:spacing w:after="0"/>
              <w:rPr>
                <w:sz w:val="17"/>
                <w:szCs w:val="17"/>
                <w:color w:val="auto"/>
              </w:rPr>
            </w:pPr>
          </w:p>
        </w:tc>
        <w:tc>
          <w:tcPr>
            <w:tcW w:w="4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4220" w:type="dxa"/>
            <w:vAlign w:val="bottom"/>
          </w:tcPr>
          <w:p>
            <w:pPr>
              <w:ind w:left="520"/>
              <w:spacing w:after="0"/>
              <w:rPr>
                <w:sz w:val="20"/>
                <w:szCs w:val="20"/>
                <w:color w:val="auto"/>
              </w:rPr>
            </w:pPr>
            <w:r>
              <w:rPr>
                <w:rFonts w:ascii="Courier New" w:cs="Courier New" w:eastAsia="Courier New" w:hAnsi="Courier New"/>
                <w:sz w:val="18"/>
                <w:szCs w:val="18"/>
                <w:color w:val="auto"/>
              </w:rPr>
              <w:t>Not applicable.</w:t>
            </w: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0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1380" w:type="dxa"/>
            <w:vAlign w:val="bottom"/>
          </w:tcPr>
          <w:p>
            <w:pPr>
              <w:spacing w:after="0"/>
              <w:rPr>
                <w:sz w:val="17"/>
                <w:szCs w:val="17"/>
                <w:color w:val="auto"/>
              </w:rPr>
            </w:pPr>
          </w:p>
        </w:tc>
        <w:tc>
          <w:tcPr>
            <w:tcW w:w="70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8"/>
              </w:rPr>
              <w:t>Acquired the Security Being Reported on by the Parent Holding</w:t>
            </w:r>
          </w:p>
        </w:tc>
      </w:tr>
      <w:tr>
        <w:trPr>
          <w:trHeight w:val="203"/>
        </w:trPr>
        <w:tc>
          <w:tcPr>
            <w:tcW w:w="1380" w:type="dxa"/>
            <w:vAlign w:val="bottom"/>
          </w:tcPr>
          <w:p>
            <w:pPr>
              <w:spacing w:after="0"/>
              <w:rPr>
                <w:sz w:val="17"/>
                <w:szCs w:val="17"/>
                <w:color w:val="auto"/>
              </w:rPr>
            </w:pPr>
          </w:p>
        </w:tc>
        <w:tc>
          <w:tcPr>
            <w:tcW w:w="4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Company.</w:t>
            </w:r>
          </w:p>
        </w:tc>
        <w:tc>
          <w:tcPr>
            <w:tcW w:w="5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4220" w:type="dxa"/>
            <w:vAlign w:val="bottom"/>
          </w:tcPr>
          <w:p>
            <w:pPr>
              <w:ind w:left="520"/>
              <w:spacing w:after="0"/>
              <w:rPr>
                <w:sz w:val="20"/>
                <w:szCs w:val="20"/>
                <w:color w:val="auto"/>
              </w:rPr>
            </w:pPr>
            <w:r>
              <w:rPr>
                <w:rFonts w:ascii="Courier New" w:cs="Courier New" w:eastAsia="Courier New" w:hAnsi="Courier New"/>
                <w:sz w:val="18"/>
                <w:szCs w:val="18"/>
                <w:color w:val="auto"/>
              </w:rPr>
              <w:t>Subsidiary</w:t>
            </w:r>
          </w:p>
        </w:tc>
        <w:tc>
          <w:tcPr>
            <w:tcW w:w="2840" w:type="dxa"/>
            <w:vAlign w:val="bottom"/>
            <w:gridSpan w:val="2"/>
          </w:tcPr>
          <w:p>
            <w:pPr>
              <w:spacing w:after="0"/>
              <w:rPr>
                <w:sz w:val="20"/>
                <w:szCs w:val="20"/>
                <w:color w:val="auto"/>
              </w:rPr>
            </w:pPr>
            <w:r>
              <w:rPr>
                <w:rFonts w:ascii="Courier New" w:cs="Courier New" w:eastAsia="Courier New" w:hAnsi="Courier New"/>
                <w:sz w:val="18"/>
                <w:szCs w:val="18"/>
                <w:color w:val="auto"/>
              </w:rPr>
              <w:t>Item 3 Classification</w:t>
            </w:r>
          </w:p>
        </w:tc>
      </w:tr>
      <w:tr>
        <w:trPr>
          <w:trHeight w:val="405"/>
        </w:trPr>
        <w:tc>
          <w:tcPr>
            <w:tcW w:w="1380" w:type="dxa"/>
            <w:vAlign w:val="bottom"/>
          </w:tcPr>
          <w:p>
            <w:pPr>
              <w:spacing w:after="0"/>
              <w:rPr>
                <w:sz w:val="24"/>
                <w:szCs w:val="24"/>
                <w:color w:val="auto"/>
              </w:rPr>
            </w:pPr>
          </w:p>
        </w:tc>
        <w:tc>
          <w:tcPr>
            <w:tcW w:w="4220" w:type="dxa"/>
            <w:vAlign w:val="bottom"/>
          </w:tcPr>
          <w:p>
            <w:pPr>
              <w:ind w:left="520"/>
              <w:spacing w:after="0"/>
              <w:rPr>
                <w:sz w:val="20"/>
                <w:szCs w:val="20"/>
                <w:color w:val="auto"/>
              </w:rPr>
            </w:pPr>
            <w:r>
              <w:rPr>
                <w:rFonts w:ascii="Courier New" w:cs="Courier New" w:eastAsia="Courier New" w:hAnsi="Courier New"/>
                <w:sz w:val="18"/>
                <w:szCs w:val="18"/>
                <w:color w:val="auto"/>
              </w:rPr>
              <w:t>RREEF America, L.L.C.</w:t>
            </w:r>
          </w:p>
        </w:tc>
        <w:tc>
          <w:tcPr>
            <w:tcW w:w="520" w:type="dxa"/>
            <w:vAlign w:val="bottom"/>
          </w:tcPr>
          <w:p>
            <w:pPr>
              <w:spacing w:after="0"/>
              <w:rPr>
                <w:sz w:val="24"/>
                <w:szCs w:val="24"/>
                <w:color w:val="auto"/>
              </w:rPr>
            </w:pPr>
          </w:p>
        </w:tc>
        <w:tc>
          <w:tcPr>
            <w:tcW w:w="2320" w:type="dxa"/>
            <w:vAlign w:val="bottom"/>
          </w:tcPr>
          <w:p>
            <w:pPr>
              <w:ind w:left="100"/>
              <w:spacing w:after="0"/>
              <w:rPr>
                <w:sz w:val="20"/>
                <w:szCs w:val="20"/>
                <w:color w:val="auto"/>
              </w:rPr>
            </w:pPr>
            <w:r>
              <w:rPr>
                <w:rFonts w:ascii="Courier New" w:cs="Courier New" w:eastAsia="Courier New" w:hAnsi="Courier New"/>
                <w:sz w:val="18"/>
                <w:szCs w:val="18"/>
                <w:color w:val="auto"/>
              </w:rPr>
              <w:t>Investment Advisor</w:t>
            </w:r>
          </w:p>
        </w:tc>
      </w:tr>
      <w:tr>
        <w:trPr>
          <w:trHeight w:val="405"/>
        </w:trPr>
        <w:tc>
          <w:tcPr>
            <w:tcW w:w="1380" w:type="dxa"/>
            <w:vAlign w:val="bottom"/>
          </w:tcPr>
          <w:p>
            <w:pPr>
              <w:spacing w:after="0"/>
              <w:rPr>
                <w:sz w:val="24"/>
                <w:szCs w:val="24"/>
                <w:color w:val="auto"/>
              </w:rPr>
            </w:pPr>
          </w:p>
        </w:tc>
        <w:tc>
          <w:tcPr>
            <w:tcW w:w="4220" w:type="dxa"/>
            <w:vAlign w:val="bottom"/>
          </w:tcPr>
          <w:p>
            <w:pPr>
              <w:ind w:left="520"/>
              <w:spacing w:after="0"/>
              <w:rPr>
                <w:sz w:val="20"/>
                <w:szCs w:val="20"/>
                <w:color w:val="auto"/>
              </w:rPr>
            </w:pPr>
            <w:r>
              <w:rPr>
                <w:rFonts w:ascii="Courier New" w:cs="Courier New" w:eastAsia="Courier New" w:hAnsi="Courier New"/>
                <w:sz w:val="18"/>
                <w:szCs w:val="18"/>
                <w:color w:val="auto"/>
                <w:w w:val="97"/>
              </w:rPr>
              <w:t>Deutsche Bank Trust Corp. Americas.</w:t>
            </w:r>
          </w:p>
        </w:tc>
        <w:tc>
          <w:tcPr>
            <w:tcW w:w="520" w:type="dxa"/>
            <w:vAlign w:val="bottom"/>
          </w:tcPr>
          <w:p>
            <w:pPr>
              <w:spacing w:after="0"/>
              <w:rPr>
                <w:sz w:val="24"/>
                <w:szCs w:val="24"/>
                <w:color w:val="auto"/>
              </w:rPr>
            </w:pPr>
          </w:p>
        </w:tc>
        <w:tc>
          <w:tcPr>
            <w:tcW w:w="2320" w:type="dxa"/>
            <w:vAlign w:val="bottom"/>
          </w:tcPr>
          <w:p>
            <w:pPr>
              <w:ind w:left="200"/>
              <w:spacing w:after="0"/>
              <w:rPr>
                <w:sz w:val="20"/>
                <w:szCs w:val="20"/>
                <w:color w:val="auto"/>
              </w:rPr>
            </w:pPr>
            <w:r>
              <w:rPr>
                <w:rFonts w:ascii="Courier New" w:cs="Courier New" w:eastAsia="Courier New" w:hAnsi="Courier New"/>
                <w:sz w:val="18"/>
                <w:szCs w:val="18"/>
                <w:color w:val="auto"/>
              </w:rPr>
              <w:t>Bank</w:t>
            </w:r>
          </w:p>
        </w:tc>
      </w:tr>
      <w:tr>
        <w:trPr>
          <w:trHeight w:val="405"/>
        </w:trPr>
        <w:tc>
          <w:tcPr>
            <w:tcW w:w="1380" w:type="dxa"/>
            <w:vAlign w:val="bottom"/>
          </w:tcPr>
          <w:p>
            <w:pPr>
              <w:spacing w:after="0"/>
              <w:rPr>
                <w:sz w:val="24"/>
                <w:szCs w:val="24"/>
                <w:color w:val="auto"/>
              </w:rPr>
            </w:pPr>
          </w:p>
        </w:tc>
        <w:tc>
          <w:tcPr>
            <w:tcW w:w="474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9"/>
              </w:rPr>
              <w:t>Deutsche Investment Management Americas</w:t>
            </w:r>
          </w:p>
        </w:tc>
        <w:tc>
          <w:tcPr>
            <w:tcW w:w="2320" w:type="dxa"/>
            <w:vAlign w:val="bottom"/>
          </w:tcPr>
          <w:p>
            <w:pPr>
              <w:ind w:left="200"/>
              <w:spacing w:after="0"/>
              <w:rPr>
                <w:sz w:val="20"/>
                <w:szCs w:val="20"/>
                <w:color w:val="auto"/>
              </w:rPr>
            </w:pPr>
            <w:r>
              <w:rPr>
                <w:rFonts w:ascii="Courier New" w:cs="Courier New" w:eastAsia="Courier New" w:hAnsi="Courier New"/>
                <w:sz w:val="18"/>
                <w:szCs w:val="18"/>
                <w:color w:val="auto"/>
              </w:rPr>
              <w:t>Investment Advisor</w:t>
            </w:r>
          </w:p>
        </w:tc>
      </w:tr>
      <w:tr>
        <w:trPr>
          <w:trHeight w:val="405"/>
        </w:trPr>
        <w:tc>
          <w:tcPr>
            <w:tcW w:w="1380" w:type="dxa"/>
            <w:vAlign w:val="bottom"/>
          </w:tcPr>
          <w:p>
            <w:pPr>
              <w:spacing w:after="0"/>
              <w:rPr>
                <w:sz w:val="24"/>
                <w:szCs w:val="24"/>
                <w:color w:val="auto"/>
              </w:rPr>
            </w:pPr>
          </w:p>
        </w:tc>
        <w:tc>
          <w:tcPr>
            <w:tcW w:w="474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9"/>
              </w:rPr>
              <w:t>Deutsche Asset Management Japan Limited</w:t>
            </w:r>
          </w:p>
        </w:tc>
        <w:tc>
          <w:tcPr>
            <w:tcW w:w="2320" w:type="dxa"/>
            <w:vAlign w:val="bottom"/>
          </w:tcPr>
          <w:p>
            <w:pPr>
              <w:ind w:left="200"/>
              <w:spacing w:after="0"/>
              <w:rPr>
                <w:sz w:val="20"/>
                <w:szCs w:val="20"/>
                <w:color w:val="auto"/>
              </w:rPr>
            </w:pPr>
            <w:r>
              <w:rPr>
                <w:rFonts w:ascii="Courier New" w:cs="Courier New" w:eastAsia="Courier New" w:hAnsi="Courier New"/>
                <w:sz w:val="18"/>
                <w:szCs w:val="18"/>
                <w:color w:val="auto"/>
              </w:rPr>
              <w:t>Investment Advisor</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0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1380" w:type="dxa"/>
            <w:vAlign w:val="bottom"/>
          </w:tcPr>
          <w:p>
            <w:pPr>
              <w:spacing w:after="0"/>
              <w:rPr>
                <w:sz w:val="24"/>
                <w:szCs w:val="24"/>
                <w:color w:val="auto"/>
              </w:rPr>
            </w:pPr>
          </w:p>
        </w:tc>
        <w:tc>
          <w:tcPr>
            <w:tcW w:w="4220" w:type="dxa"/>
            <w:vAlign w:val="bottom"/>
          </w:tcPr>
          <w:p>
            <w:pPr>
              <w:ind w:left="520"/>
              <w:spacing w:after="0"/>
              <w:rPr>
                <w:sz w:val="20"/>
                <w:szCs w:val="20"/>
                <w:color w:val="auto"/>
              </w:rPr>
            </w:pPr>
            <w:r>
              <w:rPr>
                <w:rFonts w:ascii="Courier New" w:cs="Courier New" w:eastAsia="Courier New" w:hAnsi="Courier New"/>
                <w:sz w:val="18"/>
                <w:szCs w:val="18"/>
                <w:color w:val="auto"/>
              </w:rPr>
              <w:t>Not applicable.</w:t>
            </w: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220" w:type="dxa"/>
            <w:vAlign w:val="bottom"/>
          </w:tcPr>
          <w:p>
            <w:pPr>
              <w:ind w:left="520"/>
              <w:spacing w:after="0"/>
              <w:rPr>
                <w:sz w:val="20"/>
                <w:szCs w:val="20"/>
                <w:color w:val="auto"/>
              </w:rPr>
            </w:pPr>
            <w:r>
              <w:rPr>
                <w:rFonts w:ascii="Courier New" w:cs="Courier New" w:eastAsia="Courier New" w:hAnsi="Courier New"/>
                <w:sz w:val="18"/>
                <w:szCs w:val="18"/>
                <w:color w:val="auto"/>
              </w:rPr>
              <w:t>Notice of Dissolution of Group.</w:t>
            </w: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4220" w:type="dxa"/>
            <w:vAlign w:val="bottom"/>
          </w:tcPr>
          <w:p>
            <w:pPr>
              <w:ind w:left="520"/>
              <w:spacing w:after="0"/>
              <w:rPr>
                <w:sz w:val="20"/>
                <w:szCs w:val="20"/>
                <w:color w:val="auto"/>
              </w:rPr>
            </w:pPr>
            <w:r>
              <w:rPr>
                <w:rFonts w:ascii="Courier New" w:cs="Courier New" w:eastAsia="Courier New" w:hAnsi="Courier New"/>
                <w:sz w:val="18"/>
                <w:szCs w:val="18"/>
                <w:color w:val="auto"/>
              </w:rPr>
              <w:t>Not applicable.</w:t>
            </w: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4220" w:type="dxa"/>
            <w:vAlign w:val="bottom"/>
          </w:tcPr>
          <w:p>
            <w:pPr>
              <w:ind w:left="520"/>
              <w:spacing w:after="0"/>
              <w:rPr>
                <w:sz w:val="20"/>
                <w:szCs w:val="20"/>
                <w:color w:val="auto"/>
              </w:rPr>
            </w:pPr>
            <w:r>
              <w:rPr>
                <w:rFonts w:ascii="Courier New" w:cs="Courier New" w:eastAsia="Courier New" w:hAnsi="Courier New"/>
                <w:sz w:val="18"/>
                <w:szCs w:val="18"/>
                <w:color w:val="auto"/>
              </w:rPr>
              <w:t>Certification.</w:t>
            </w: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36" w:right="1440" w:bottom="0" w:gutter="0" w:footer="0" w:header="0"/>
        </w:sectPr>
      </w:pPr>
    </w:p>
    <w:bookmarkStart w:id="8" w:name="page9"/>
    <w:bookmarkEnd w:id="8"/>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Deutsche Bank AG</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Jeffrey A. Ruiz</w:t>
      </w:r>
    </w:p>
    <w:p>
      <w:pPr>
        <w:ind w:left="4740"/>
        <w:spacing w:after="0" w:line="238" w:lineRule="auto"/>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Jeffrey A. Ruiz</w:t>
      </w: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Director</w:t>
      </w:r>
    </w:p>
    <w:p>
      <w:pPr>
        <w:spacing w:after="0" w:line="200"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Pasquale Antolino</w:t>
      </w:r>
    </w:p>
    <w:p>
      <w:pPr>
        <w:ind w:left="4740"/>
        <w:spacing w:after="0" w:line="238" w:lineRule="auto"/>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Pasquale Antolino</w:t>
      </w: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Assistant Vice President</w:t>
      </w:r>
    </w:p>
    <w:p>
      <w:pPr>
        <w:sectPr>
          <w:pgSz w:w="11900" w:h="16838" w:orient="portrait"/>
          <w:cols w:equalWidth="0" w:num="1">
            <w:col w:w="10219"/>
          </w:cols>
          <w:pgMar w:left="240" w:top="919" w:right="1440" w:bottom="1440" w:gutter="0" w:footer="0" w:header="0"/>
        </w:sectPr>
      </w:pPr>
    </w:p>
    <w:bookmarkStart w:id="10" w:name="page11"/>
    <w:bookmarkEnd w:id="10"/>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RREEF America L.L.C.</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Peter Pages</w:t>
      </w:r>
    </w:p>
    <w:p>
      <w:pPr>
        <w:ind w:left="4740"/>
        <w:spacing w:after="0" w:line="238" w:lineRule="auto"/>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Peter Pages</w:t>
      </w: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p>
      <w:pPr>
        <w:sectPr>
          <w:pgSz w:w="11900" w:h="16838" w:orient="portrait"/>
          <w:cols w:equalWidth="0" w:num="1">
            <w:col w:w="10219"/>
          </w:cols>
          <w:pgMar w:left="240" w:top="919" w:right="1440" w:bottom="1440" w:gutter="0" w:footer="0" w:header="0"/>
        </w:sectPr>
      </w:pPr>
    </w:p>
    <w:bookmarkStart w:id="11" w:name="page12"/>
    <w:bookmarkEnd w:id="11"/>
    <w:p>
      <w:pPr>
        <w:spacing w:after="0" w:line="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Deutsche Bank Trust Corp. Americas</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Jeffrey A. Ruiz</w:t>
      </w:r>
    </w:p>
    <w:p>
      <w:pPr>
        <w:ind w:left="4740"/>
        <w:spacing w:after="0" w:line="238" w:lineRule="auto"/>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Jeffrey A. Ruiz</w:t>
      </w: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Director</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8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Deutsche Investment Management Americas</w:t>
      </w:r>
    </w:p>
    <w:p>
      <w:pPr>
        <w:spacing w:after="0" w:line="201" w:lineRule="exact"/>
        <w:rPr>
          <w:sz w:val="20"/>
          <w:szCs w:val="20"/>
          <w:color w:val="auto"/>
        </w:rPr>
      </w:pPr>
    </w:p>
    <w:p>
      <w:pPr>
        <w:ind w:left="412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Jeffrey A. Ruiz</w:t>
      </w:r>
    </w:p>
    <w:p>
      <w:pPr>
        <w:ind w:left="4120"/>
        <w:spacing w:after="0" w:line="238" w:lineRule="auto"/>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Jeffrey A. Ruiz</w:t>
      </w:r>
    </w:p>
    <w:p>
      <w:pPr>
        <w:jc w:val="center"/>
        <w:ind w:left="1140"/>
        <w:spacing w:after="0"/>
        <w:tabs>
          <w:tab w:leader="none" w:pos="3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Director</w:t>
      </w:r>
    </w:p>
    <w:p>
      <w:pPr>
        <w:sectPr>
          <w:pgSz w:w="11900" w:h="16838" w:orient="portrait"/>
          <w:cols w:equalWidth="0" w:num="1">
            <w:col w:w="10219"/>
          </w:cols>
          <w:pgMar w:left="240" w:top="1440" w:right="1440" w:bottom="1440" w:gutter="0" w:footer="0" w:header="0"/>
        </w:sectPr>
      </w:pPr>
    </w:p>
    <w:bookmarkStart w:id="13" w:name="page14"/>
    <w:bookmarkEnd w:id="13"/>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Deutsche Asset Management Japan Limited</w:t>
      </w:r>
    </w:p>
    <w:p>
      <w:pPr>
        <w:spacing w:after="0" w:line="201"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Fumie Yamamoto</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Fumie Yamamoto</w:t>
      </w: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Title:</w:t>
        <w:tab/>
        <w:t>Vice President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Roman"/>
      <w:start w:val="10"/>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upperLetter"/>
      <w:start w:val="1"/>
    </w:lvl>
  </w:abstractNum>
  <w:abstractNum w:abstractNumId="3">
    <w:nsid w:val="3352255A"/>
    <w:multiLevelType w:val="hybridMultilevel"/>
    <w:lvl w:ilvl="0">
      <w:lvlJc w:val="left"/>
      <w:lvlText w:val="%1."/>
      <w:numFmt w:val="decimal"/>
      <w:start w:val="9"/>
    </w:lvl>
  </w:abstractNum>
  <w:abstractNum w:abstractNumId="4">
    <w:nsid w:val="109CF92E"/>
    <w:multiLevelType w:val="hybridMultilevel"/>
    <w:lvl w:ilvl="0">
      <w:lvlJc w:val="left"/>
      <w:lvlText w:val="%1."/>
      <w:numFmt w:val="decimal"/>
      <w:start w:val="12"/>
    </w:lvl>
    <w:lvl w:ilvl="1">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2"/>
    </w:lvl>
    <w:lvl w:ilvl="1">
      <w:lvlJc w:val="left"/>
      <w:lvlText w:val="(%2)"/>
      <w:numFmt w:val="upperLetter"/>
      <w:start w:val="1"/>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lvl w:ilvl="1">
      <w:lvlJc w:val="left"/>
      <w:lvlText w:val="(%2)"/>
      <w:numFmt w:val="upperLetter"/>
      <w:start w:val="1"/>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2"/>
    </w:lvl>
    <w:lvl w:ilvl="1">
      <w:lvlJc w:val="left"/>
      <w:lvlText w:val="(%2)"/>
      <w:numFmt w:val="upperLetter"/>
      <w:start w:val="1"/>
    </w:lvl>
  </w:abstractNum>
  <w:abstractNum w:abstractNumId="13">
    <w:nsid w:val="431BD7B7"/>
    <w:multiLevelType w:val="hybridMultilevel"/>
    <w:lvl w:ilvl="0">
      <w:lvlJc w:val="left"/>
      <w:lvlText w:val="%1."/>
      <w:numFmt w:val="decimal"/>
      <w:start w:val="9"/>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lvl w:ilvl="1">
      <w:lvlJc w:val="left"/>
      <w:lvlText w:val="(%2)"/>
      <w:numFmt w:val="upperLetter"/>
      <w:start w:val="1"/>
    </w:lvl>
  </w:abstractNum>
  <w:abstractNum w:abstractNumId="16">
    <w:nsid w:val="257130A3"/>
    <w:multiLevelType w:val="hybridMultilevel"/>
    <w:lvl w:ilvl="0">
      <w:lvlJc w:val="left"/>
      <w:lvlText w:val="%1."/>
      <w:numFmt w:val="decimal"/>
      <w:start w:val="9"/>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4"/>
    </w:lvl>
  </w:abstractNum>
  <w:abstractNum w:abstractNumId="19">
    <w:nsid w:val="628C895D"/>
    <w:multiLevelType w:val="hybridMultilevel"/>
    <w:lvl w:ilvl="0">
      <w:lvlJc w:val="left"/>
      <w:lvlText w:val="(%1)"/>
      <w:numFmt w:val="lowerLetter"/>
      <w:start w:val="6"/>
    </w:lvl>
  </w:abstractNum>
  <w:abstractNum w:abstractNumId="20">
    <w:nsid w:val="333AB105"/>
    <w:multiLevelType w:val="hybridMultilevel"/>
    <w:lvl w:ilvl="0">
      <w:lvlJc w:val="left"/>
      <w:lvlText w:val="(%1)"/>
      <w:numFmt w:val="lowerLetter"/>
      <w:start w:val="8"/>
    </w:lvl>
  </w:abstractNum>
  <w:abstractNum w:abstractNumId="21">
    <w:nsid w:val="721DA317"/>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2019-12-11T12:07:59Z</dcterms:created>
  <dcterms:modified xsi:type="dcterms:W3CDTF">2019-12-11T12:07:59Z</dcterms:modified>
</cp:coreProperties>
</file>