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February 11,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4560" w:type="dxa"/>
            <w:vAlign w:val="bottom"/>
            <w:gridSpan w:val="3"/>
          </w:tcPr>
          <w:p>
            <w:pPr>
              <w:jc w:val="center"/>
              <w:ind w:right="1164"/>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gridSpan w:val="2"/>
          </w:tcPr>
          <w:p>
            <w:pPr>
              <w:jc w:val="center"/>
              <w:ind w:left="19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tcPr>
          <w:p>
            <w:pPr>
              <w:jc w:val="center"/>
              <w:ind w:left="52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4560" w:type="dxa"/>
            <w:vAlign w:val="bottom"/>
            <w:gridSpan w:val="3"/>
          </w:tcPr>
          <w:p>
            <w:pPr>
              <w:jc w:val="center"/>
              <w:ind w:right="116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32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(Commission</w:t>
            </w: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tcPr>
          <w:p>
            <w:pPr>
              <w:jc w:val="center"/>
              <w:ind w:left="5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560" w:type="dxa"/>
            <w:vAlign w:val="bottom"/>
            <w:gridSpan w:val="3"/>
          </w:tcPr>
          <w:p>
            <w:pPr>
              <w:jc w:val="center"/>
              <w:ind w:right="1164"/>
              <w:spacing w:after="0"/>
              <w:rPr>
                <w:sz w:val="20"/>
                <w:szCs w:val="20"/>
                <w:color w:val="auto"/>
              </w:rPr>
            </w:pPr>
            <w:r>
              <w:rPr>
                <w:rFonts w:ascii="Arial" w:cs="Arial" w:eastAsia="Arial" w:hAnsi="Arial"/>
                <w:sz w:val="13"/>
                <w:szCs w:val="13"/>
                <w:b w:val="1"/>
                <w:bCs w:val="1"/>
                <w:color w:val="auto"/>
                <w:w w:val="88"/>
              </w:rPr>
              <w:t>of incorporation)</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54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909 Rose Avenue, Suite 200</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North Bethesda,</w:t>
            </w: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Maryland</w:t>
            </w:r>
          </w:p>
        </w:tc>
        <w:tc>
          <w:tcPr>
            <w:tcW w:w="2840" w:type="dxa"/>
            <w:vAlign w:val="bottom"/>
          </w:tcPr>
          <w:p>
            <w:pPr>
              <w:jc w:val="right"/>
              <w:ind w:right="158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0" w:type="dxa"/>
            <w:vAlign w:val="bottom"/>
            <w:gridSpan w:val="3"/>
          </w:tcPr>
          <w:p>
            <w:pPr>
              <w:ind w:left="880"/>
              <w:spacing w:after="0"/>
              <w:rPr>
                <w:sz w:val="20"/>
                <w:szCs w:val="20"/>
                <w:color w:val="auto"/>
              </w:rPr>
            </w:pPr>
            <w:r>
              <w:rPr>
                <w:rFonts w:ascii="Arial" w:cs="Arial" w:eastAsia="Arial" w:hAnsi="Arial"/>
                <w:sz w:val="13"/>
                <w:szCs w:val="13"/>
                <w:b w:val="1"/>
                <w:bCs w:val="1"/>
                <w:color w:val="auto"/>
                <w:w w:val="94"/>
              </w:rPr>
              <w:t>(Address of principal executive offices)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right="86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78"/>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60" w:type="dxa"/>
            <w:vAlign w:val="bottom"/>
          </w:tcPr>
          <w:p>
            <w:pPr>
              <w:spacing w:after="0"/>
              <w:rPr>
                <w:sz w:val="24"/>
                <w:szCs w:val="24"/>
                <w:color w:val="auto"/>
              </w:rPr>
            </w:pPr>
          </w:p>
        </w:tc>
        <w:tc>
          <w:tcPr>
            <w:tcW w:w="1440" w:type="dxa"/>
            <w:vAlign w:val="bottom"/>
            <w:gridSpan w:val="2"/>
          </w:tcPr>
          <w:p>
            <w:pPr>
              <w:jc w:val="center"/>
              <w:ind w:left="233"/>
              <w:spacing w:after="0"/>
              <w:rPr>
                <w:sz w:val="20"/>
                <w:szCs w:val="20"/>
                <w:color w:val="auto"/>
              </w:rPr>
            </w:pPr>
            <w:r>
              <w:rPr>
                <w:rFonts w:ascii="Arial" w:cs="Arial" w:eastAsia="Arial" w:hAnsi="Arial"/>
                <w:sz w:val="16"/>
                <w:szCs w:val="16"/>
                <w:b w:val="1"/>
                <w:bCs w:val="1"/>
                <w:color w:val="auto"/>
                <w:w w:val="92"/>
              </w:rPr>
              <w:t>Trading Symbol</w:t>
            </w:r>
          </w:p>
        </w:tc>
        <w:tc>
          <w:tcPr>
            <w:tcW w:w="112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50"/>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FRT</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4560" w:type="dxa"/>
            <w:vAlign w:val="bottom"/>
            <w:gridSpan w:val="3"/>
          </w:tcPr>
          <w:p>
            <w:pPr>
              <w:jc w:val="center"/>
              <w:ind w:right="18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060" w:type="dxa"/>
            <w:vAlign w:val="bottom"/>
            <w:gridSpan w:val="2"/>
          </w:tcPr>
          <w:p>
            <w:pPr>
              <w:jc w:val="center"/>
              <w:ind w:right="1684"/>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44"/>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0"/>
              </w:rPr>
              <w:t>Depositary Shares, each representing 1/1000 of a share</w:t>
            </w:r>
          </w:p>
        </w:tc>
        <w:tc>
          <w:tcPr>
            <w:tcW w:w="3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FRT-C</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46"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ind w:firstLine="180"/>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74" w:lineRule="exact"/>
        <w:rPr>
          <w:sz w:val="20"/>
          <w:szCs w:val="20"/>
          <w:color w:val="auto"/>
        </w:rPr>
      </w:pPr>
    </w:p>
    <w:p>
      <w:pPr>
        <w:ind w:right="60" w:firstLine="180"/>
        <w:spacing w:after="0" w:line="253" w:lineRule="auto"/>
        <w:rPr>
          <w:sz w:val="20"/>
          <w:szCs w:val="20"/>
          <w:color w:val="auto"/>
        </w:rPr>
      </w:pPr>
      <w:r>
        <w:rPr>
          <w:rFonts w:ascii="Arial" w:cs="Arial" w:eastAsia="Arial" w:hAnsi="Arial"/>
          <w:sz w:val="22"/>
          <w:szCs w:val="22"/>
          <w:color w:val="auto"/>
        </w:rPr>
        <w:t>On February 11, 2021, Federal Realty Investment Trust issued supplemental data pertaining to its operations, as well as a press release, to report its financial results for the quarter ended December 31, 2020. The supplemental data and press release are furnished as Exhibit 99.1 hereto.</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2020 (including press release dated 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ind w:right="140" w:firstLine="18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11, 2021</w:t>
      </w:r>
      <w:r>
        <w:rPr>
          <w:sz w:val="20"/>
          <w:szCs w:val="20"/>
          <w:color w:val="auto"/>
        </w:rPr>
        <w:tab/>
      </w:r>
      <w:r>
        <w:rPr>
          <w:rFonts w:ascii="Arial" w:cs="Arial" w:eastAsia="Arial" w:hAnsi="Arial"/>
          <w:sz w:val="19"/>
          <w:szCs w:val="19"/>
          <w:u w:val="single" w:color="auto"/>
          <w:color w:val="auto"/>
        </w:rPr>
        <w:t>/s/ Daniel Guglielmone</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Daniel Guglielmone</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80" w:type="dxa"/>
            <w:vAlign w:val="bottom"/>
          </w:tcPr>
          <w:p>
            <w:pPr>
              <w:ind w:left="2980"/>
              <w:spacing w:after="0"/>
              <w:rPr>
                <w:sz w:val="20"/>
                <w:szCs w:val="20"/>
                <w:color w:val="auto"/>
              </w:rPr>
            </w:pPr>
            <w:r>
              <w:rPr>
                <w:rFonts w:ascii="Arial" w:cs="Arial" w:eastAsia="Arial" w:hAnsi="Arial"/>
                <w:sz w:val="22"/>
                <w:szCs w:val="22"/>
                <w:color w:val="auto"/>
              </w:rPr>
              <w:t>EXHIBIT INDEX</w:t>
            </w:r>
          </w:p>
        </w:tc>
      </w:tr>
      <w:tr>
        <w:trPr>
          <w:trHeight w:val="557"/>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700" w:type="dxa"/>
            <w:vAlign w:val="bottom"/>
            <w:tcBorders>
              <w:top w:val="single" w:sz="8" w:color="auto"/>
            </w:tcBorders>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00" w:type="dxa"/>
            <w:vAlign w:val="bottom"/>
          </w:tcPr>
          <w:p>
            <w:pPr>
              <w:spacing w:after="0"/>
              <w:rPr>
                <w:sz w:val="19"/>
                <w:szCs w:val="19"/>
                <w:color w:val="auto"/>
              </w:rPr>
            </w:pPr>
          </w:p>
        </w:tc>
        <w:tc>
          <w:tcPr>
            <w:tcW w:w="9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Supplemental Information at December 31, 2020</w:t>
            </w:r>
          </w:p>
        </w:tc>
      </w:tr>
      <w:tr>
        <w:trPr>
          <w:trHeight w:val="283"/>
        </w:trPr>
        <w:tc>
          <w:tcPr>
            <w:tcW w:w="170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9"/>
              </w:rPr>
              <w:t>Cover Page Interactive Data File (the Cover Page Interactive Data File is embedded within the Inline XBRL document)</w:t>
            </w:r>
          </w:p>
        </w:tc>
      </w:tr>
    </w:tbl>
    <w:p>
      <w:pPr>
        <w:sectPr>
          <w:pgSz w:w="11900" w:h="16838" w:orient="portrait"/>
          <w:cols w:equalWidth="0" w:num="1">
            <w:col w:w="11180"/>
          </w:cols>
          <w:pgMar w:left="360" w:top="90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2020</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1</w:t>
            </w: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 and Full Year 2020 Earnings Press Release</w:t>
            </w:r>
          </w:p>
        </w:tc>
        <w:tc>
          <w:tcPr>
            <w:tcW w:w="224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16"/>
        </w:trPr>
        <w:tc>
          <w:tcPr>
            <w:tcW w:w="4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2</w:t>
            </w: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Highlights</w:t>
            </w:r>
          </w:p>
        </w:tc>
        <w:tc>
          <w:tcPr>
            <w:tcW w:w="2240" w:type="dxa"/>
            <w:vAlign w:val="bottom"/>
            <w:shd w:val="clear" w:color="auto" w:fill="CCEEFF"/>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6600" w:type="dxa"/>
            <w:vAlign w:val="bottom"/>
          </w:tcPr>
          <w:p>
            <w:pPr>
              <w:ind w:left="1140"/>
              <w:spacing w:after="0"/>
              <w:rPr>
                <w:sz w:val="20"/>
                <w:szCs w:val="20"/>
                <w:color w:val="auto"/>
              </w:rPr>
            </w:pPr>
            <w:r>
              <w:rPr>
                <w:rFonts w:ascii="Arial" w:cs="Arial" w:eastAsia="Arial" w:hAnsi="Arial"/>
                <w:sz w:val="18"/>
                <w:szCs w:val="18"/>
                <w:color w:val="auto"/>
              </w:rPr>
              <w:t>Consolidated Income Statements</w:t>
            </w:r>
          </w:p>
        </w:tc>
        <w:tc>
          <w:tcPr>
            <w:tcW w:w="224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8</w:t>
              </w:r>
            </w:hyperlink>
          </w:p>
        </w:tc>
      </w:tr>
      <w:tr>
        <w:trPr>
          <w:trHeight w:val="229"/>
        </w:trPr>
        <w:tc>
          <w:tcPr>
            <w:tcW w:w="460" w:type="dxa"/>
            <w:vAlign w:val="bottom"/>
            <w:shd w:val="clear" w:color="auto" w:fill="CCEEFF"/>
          </w:tcPr>
          <w:p>
            <w:pPr>
              <w:spacing w:after="0"/>
              <w:rPr>
                <w:sz w:val="19"/>
                <w:szCs w:val="19"/>
                <w:color w:val="auto"/>
              </w:rPr>
            </w:pPr>
          </w:p>
        </w:tc>
        <w:tc>
          <w:tcPr>
            <w:tcW w:w="66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Consolidated Balance Sheets</w:t>
            </w:r>
          </w:p>
        </w:tc>
        <w:tc>
          <w:tcPr>
            <w:tcW w:w="2240" w:type="dxa"/>
            <w:vAlign w:val="bottom"/>
            <w:shd w:val="clear" w:color="auto" w:fill="CCEEFF"/>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9</w:t>
              </w:r>
            </w:hyperlink>
          </w:p>
        </w:tc>
      </w:tr>
      <w:tr>
        <w:trPr>
          <w:trHeight w:val="229"/>
        </w:trPr>
        <w:tc>
          <w:tcPr>
            <w:tcW w:w="460" w:type="dxa"/>
            <w:vAlign w:val="bottom"/>
          </w:tcPr>
          <w:p>
            <w:pPr>
              <w:spacing w:after="0"/>
              <w:rPr>
                <w:sz w:val="19"/>
                <w:szCs w:val="19"/>
                <w:color w:val="auto"/>
              </w:rPr>
            </w:pPr>
          </w:p>
        </w:tc>
        <w:tc>
          <w:tcPr>
            <w:tcW w:w="6600" w:type="dxa"/>
            <w:vAlign w:val="bottom"/>
          </w:tcPr>
          <w:p>
            <w:pPr>
              <w:ind w:left="1140"/>
              <w:spacing w:after="0"/>
              <w:rPr>
                <w:sz w:val="20"/>
                <w:szCs w:val="20"/>
                <w:color w:val="auto"/>
              </w:rPr>
            </w:pPr>
            <w:r>
              <w:rPr>
                <w:rFonts w:ascii="Arial" w:cs="Arial" w:eastAsia="Arial" w:hAnsi="Arial"/>
                <w:sz w:val="18"/>
                <w:szCs w:val="18"/>
                <w:color w:val="auto"/>
              </w:rPr>
              <w:t>Funds From Operations / Dividend Information</w:t>
            </w:r>
          </w:p>
        </w:tc>
        <w:tc>
          <w:tcPr>
            <w:tcW w:w="224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10</w:t>
              </w:r>
            </w:hyperlink>
          </w:p>
        </w:tc>
      </w:tr>
      <w:tr>
        <w:trPr>
          <w:trHeight w:val="230"/>
        </w:trPr>
        <w:tc>
          <w:tcPr>
            <w:tcW w:w="460" w:type="dxa"/>
            <w:vAlign w:val="bottom"/>
            <w:shd w:val="clear" w:color="auto" w:fill="CCEEFF"/>
          </w:tcPr>
          <w:p>
            <w:pPr>
              <w:spacing w:after="0"/>
              <w:rPr>
                <w:sz w:val="19"/>
                <w:szCs w:val="19"/>
                <w:color w:val="auto"/>
              </w:rPr>
            </w:pPr>
          </w:p>
        </w:tc>
        <w:tc>
          <w:tcPr>
            <w:tcW w:w="66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Other Supplemental Information</w:t>
            </w:r>
          </w:p>
        </w:tc>
        <w:tc>
          <w:tcPr>
            <w:tcW w:w="2240" w:type="dxa"/>
            <w:vAlign w:val="bottom"/>
            <w:shd w:val="clear" w:color="auto" w:fill="CCEEFF"/>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11</w:t>
              </w:r>
            </w:hyperlink>
          </w:p>
        </w:tc>
      </w:tr>
      <w:tr>
        <w:trPr>
          <w:trHeight w:val="229"/>
        </w:trPr>
        <w:tc>
          <w:tcPr>
            <w:tcW w:w="460" w:type="dxa"/>
            <w:vAlign w:val="bottom"/>
          </w:tcPr>
          <w:p>
            <w:pPr>
              <w:spacing w:after="0"/>
              <w:rPr>
                <w:sz w:val="19"/>
                <w:szCs w:val="19"/>
                <w:color w:val="auto"/>
              </w:rPr>
            </w:pPr>
          </w:p>
        </w:tc>
        <w:tc>
          <w:tcPr>
            <w:tcW w:w="6600" w:type="dxa"/>
            <w:vAlign w:val="bottom"/>
          </w:tcPr>
          <w:p>
            <w:pPr>
              <w:ind w:left="1140"/>
              <w:spacing w:after="0"/>
              <w:rPr>
                <w:sz w:val="20"/>
                <w:szCs w:val="20"/>
                <w:color w:val="auto"/>
              </w:rPr>
            </w:pPr>
            <w:r>
              <w:rPr>
                <w:rFonts w:ascii="Arial" w:cs="Arial" w:eastAsia="Arial" w:hAnsi="Arial"/>
                <w:sz w:val="18"/>
                <w:szCs w:val="18"/>
                <w:color w:val="auto"/>
              </w:rPr>
              <w:t>COVID-19 Related Impacts</w:t>
            </w:r>
          </w:p>
        </w:tc>
        <w:tc>
          <w:tcPr>
            <w:tcW w:w="224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12</w:t>
              </w:r>
            </w:hyperlink>
          </w:p>
        </w:tc>
      </w:tr>
      <w:tr>
        <w:trPr>
          <w:trHeight w:val="230"/>
        </w:trPr>
        <w:tc>
          <w:tcPr>
            <w:tcW w:w="460" w:type="dxa"/>
            <w:vAlign w:val="bottom"/>
            <w:shd w:val="clear" w:color="auto" w:fill="CCEEFF"/>
          </w:tcPr>
          <w:p>
            <w:pPr>
              <w:spacing w:after="0"/>
              <w:rPr>
                <w:sz w:val="19"/>
                <w:szCs w:val="19"/>
                <w:color w:val="auto"/>
              </w:rPr>
            </w:pPr>
          </w:p>
        </w:tc>
        <w:tc>
          <w:tcPr>
            <w:tcW w:w="66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Components of Rental Income</w:t>
            </w:r>
          </w:p>
        </w:tc>
        <w:tc>
          <w:tcPr>
            <w:tcW w:w="2240" w:type="dxa"/>
            <w:vAlign w:val="bottom"/>
            <w:shd w:val="clear" w:color="auto" w:fill="CCEEFF"/>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13</w:t>
              </w:r>
            </w:hyperlink>
          </w:p>
        </w:tc>
      </w:tr>
      <w:tr>
        <w:trPr>
          <w:trHeight w:val="229"/>
        </w:trPr>
        <w:tc>
          <w:tcPr>
            <w:tcW w:w="460" w:type="dxa"/>
            <w:vAlign w:val="bottom"/>
          </w:tcPr>
          <w:p>
            <w:pPr>
              <w:spacing w:after="0"/>
              <w:rPr>
                <w:sz w:val="19"/>
                <w:szCs w:val="19"/>
                <w:color w:val="auto"/>
              </w:rPr>
            </w:pPr>
          </w:p>
        </w:tc>
        <w:tc>
          <w:tcPr>
            <w:tcW w:w="6600" w:type="dxa"/>
            <w:vAlign w:val="bottom"/>
          </w:tcPr>
          <w:p>
            <w:pPr>
              <w:ind w:left="1140"/>
              <w:spacing w:after="0"/>
              <w:rPr>
                <w:sz w:val="20"/>
                <w:szCs w:val="20"/>
                <w:color w:val="auto"/>
              </w:rPr>
            </w:pPr>
            <w:r>
              <w:rPr>
                <w:rFonts w:ascii="Arial" w:cs="Arial" w:eastAsia="Arial" w:hAnsi="Arial"/>
                <w:sz w:val="18"/>
                <w:szCs w:val="18"/>
                <w:color w:val="auto"/>
              </w:rPr>
              <w:t>Comparable Property Information</w:t>
            </w:r>
          </w:p>
        </w:tc>
        <w:tc>
          <w:tcPr>
            <w:tcW w:w="224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14</w:t>
              </w:r>
            </w:hyperlink>
          </w:p>
        </w:tc>
      </w:tr>
      <w:tr>
        <w:trPr>
          <w:trHeight w:val="229"/>
        </w:trPr>
        <w:tc>
          <w:tcPr>
            <w:tcW w:w="460" w:type="dxa"/>
            <w:vAlign w:val="bottom"/>
            <w:shd w:val="clear" w:color="auto" w:fill="CCEEFF"/>
          </w:tcPr>
          <w:p>
            <w:pPr>
              <w:spacing w:after="0"/>
              <w:rPr>
                <w:sz w:val="19"/>
                <w:szCs w:val="19"/>
                <w:color w:val="auto"/>
              </w:rPr>
            </w:pPr>
          </w:p>
        </w:tc>
        <w:tc>
          <w:tcPr>
            <w:tcW w:w="66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Market Data</w:t>
            </w:r>
          </w:p>
        </w:tc>
        <w:tc>
          <w:tcPr>
            <w:tcW w:w="2240" w:type="dxa"/>
            <w:vAlign w:val="bottom"/>
            <w:shd w:val="clear" w:color="auto" w:fill="CCEEFF"/>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15</w:t>
              </w:r>
            </w:hyperlink>
          </w:p>
        </w:tc>
      </w:tr>
    </w:tbl>
    <w:p>
      <w:pPr>
        <w:spacing w:after="0" w:line="215" w:lineRule="exact"/>
        <w:rPr>
          <w:sz w:val="20"/>
          <w:szCs w:val="20"/>
          <w:color w:val="auto"/>
        </w:rPr>
      </w:pPr>
    </w:p>
    <w:p>
      <w:pPr>
        <w:ind w:left="800" w:hanging="78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7040" w:type="dxa"/>
            <w:vAlign w:val="bottom"/>
          </w:tcPr>
          <w:p>
            <w:pPr>
              <w:ind w:left="1100"/>
              <w:spacing w:after="0"/>
              <w:rPr>
                <w:sz w:val="20"/>
                <w:szCs w:val="20"/>
                <w:color w:val="auto"/>
              </w:rPr>
            </w:pPr>
            <w:r>
              <w:rPr>
                <w:rFonts w:ascii="Arial" w:cs="Arial" w:eastAsia="Arial" w:hAnsi="Arial"/>
                <w:sz w:val="18"/>
                <w:szCs w:val="18"/>
                <w:color w:val="auto"/>
              </w:rPr>
              <w:t>Summary of Outstanding Debt</w:t>
            </w:r>
          </w:p>
        </w:tc>
        <w:tc>
          <w:tcPr>
            <w:tcW w:w="176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16</w:t>
              </w:r>
            </w:hyperlink>
          </w:p>
        </w:tc>
      </w:tr>
      <w:tr>
        <w:trPr>
          <w:trHeight w:val="230"/>
        </w:trPr>
        <w:tc>
          <w:tcPr>
            <w:tcW w:w="500" w:type="dxa"/>
            <w:vAlign w:val="bottom"/>
            <w:shd w:val="clear" w:color="auto" w:fill="CCEEFF"/>
          </w:tcPr>
          <w:p>
            <w:pPr>
              <w:spacing w:after="0"/>
              <w:rPr>
                <w:sz w:val="19"/>
                <w:szCs w:val="19"/>
                <w:color w:val="auto"/>
              </w:rPr>
            </w:pPr>
          </w:p>
        </w:tc>
        <w:tc>
          <w:tcPr>
            <w:tcW w:w="7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Debt Maturities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18</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Summary of Redevelopment Opportunities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tc>
      </w:tr>
      <w:tr>
        <w:trPr>
          <w:trHeight w:val="270"/>
        </w:trPr>
        <w:tc>
          <w:tcPr>
            <w:tcW w:w="50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Assembly Row, Pike &amp; Rose, and Santana Row</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tc>
      </w:tr>
      <w:tr>
        <w:trPr>
          <w:trHeight w:val="270"/>
        </w:trPr>
        <w:tc>
          <w:tcPr>
            <w:tcW w:w="50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Future Redevelopment Opportunities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Significant Property Acquisitions, Dispositions, and Other Transactions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70"/>
        </w:trPr>
        <w:tc>
          <w:tcPr>
            <w:tcW w:w="50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Real Estate Status Report</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Retail Leasing Summary</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Lease Expirations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Portfolio Leased Statistics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Summary of Top 25 Tenants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Tenant Diversification by Category</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Glossary of Terms</w:t>
            </w:r>
          </w:p>
        </w:tc>
        <w:tc>
          <w:tcPr>
            <w:tcW w:w="1760" w:type="dxa"/>
            <w:vAlign w:val="bottom"/>
            <w:shd w:val="clear" w:color="auto" w:fill="CCEEFF"/>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216"/>
        </w:trPr>
        <w:tc>
          <w:tcPr>
            <w:tcW w:w="5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Arial" w:cs="Arial" w:eastAsia="Arial" w:hAnsi="Arial"/>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North Bethesda, Maryland 20852-8688</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300"/>
          </w:cols>
          <w:pgMar w:left="1300" w:top="1026" w:right="1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include the following:</w:t>
      </w:r>
    </w:p>
    <w:p>
      <w:pPr>
        <w:spacing w:after="0" w:line="220" w:lineRule="exact"/>
        <w:rPr>
          <w:sz w:val="20"/>
          <w:szCs w:val="20"/>
          <w:color w:val="auto"/>
        </w:rPr>
      </w:pPr>
    </w:p>
    <w:p>
      <w:pPr>
        <w:ind w:left="980" w:right="14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80" w:hanging="324"/>
        <w:spacing w:after="0" w:line="26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right="340" w:hanging="324"/>
        <w:spacing w:after="0" w:line="28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jc w:val="both"/>
        <w:ind w:left="980" w:right="4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ind w:left="980" w:right="20" w:hanging="324"/>
        <w:spacing w:after="0" w:line="253"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my precipitate or materially exacerbate one or more the above-mentioned risks, and my significantly disrupt or prevent us from operating our business in the ordinary course for an extended period.</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91"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757555</wp:posOffset>
            </wp:positionV>
            <wp:extent cx="2571750" cy="103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8640" w:val="left"/>
        </w:tabs>
        <w:rPr>
          <w:sz w:val="20"/>
          <w:szCs w:val="20"/>
          <w:color w:val="auto"/>
        </w:rPr>
      </w:pPr>
      <w:r>
        <w:rPr>
          <w:rFonts w:ascii="Arial" w:cs="Arial" w:eastAsia="Arial" w:hAnsi="Arial"/>
          <w:sz w:val="18"/>
          <w:szCs w:val="18"/>
          <w:b w:val="1"/>
          <w:bCs w:val="1"/>
          <w:color w:val="auto"/>
        </w:rPr>
        <w:t>NEWS RELEASE</w:t>
      </w:r>
      <w:r>
        <w:rPr>
          <w:sz w:val="20"/>
          <w:szCs w:val="20"/>
          <w:color w:val="auto"/>
        </w:rPr>
        <w:tab/>
      </w:r>
      <w:r>
        <w:rPr>
          <w:rFonts w:ascii="Arial" w:cs="Arial" w:eastAsia="Arial" w:hAnsi="Arial"/>
          <w:sz w:val="17"/>
          <w:szCs w:val="17"/>
          <w:b w:val="1"/>
          <w:bCs w:val="1"/>
          <w:color w:val="auto"/>
        </w:rPr>
        <w:t>www.federalrealty.com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379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7985" cy="1714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IMMEDIATE RELEASE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Inquiries: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Leah Andress Brady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 Senior Manager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301.998.8265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lbrady@federalrealty.com</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w:t>
      </w:r>
    </w:p>
    <w:p>
      <w:pPr>
        <w:spacing w:after="0" w:line="6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December 31, 2020</w:t>
      </w:r>
    </w:p>
    <w:p>
      <w:pPr>
        <w:spacing w:after="0" w:line="220" w:lineRule="exact"/>
        <w:rPr>
          <w:sz w:val="20"/>
          <w:szCs w:val="20"/>
          <w:color w:val="auto"/>
        </w:rPr>
      </w:pPr>
    </w:p>
    <w:p>
      <w:pPr>
        <w:ind w:right="20"/>
        <w:spacing w:after="0" w:line="363" w:lineRule="auto"/>
        <w:rPr>
          <w:sz w:val="20"/>
          <w:szCs w:val="20"/>
          <w:color w:val="auto"/>
        </w:rPr>
      </w:pPr>
      <w:r>
        <w:rPr>
          <w:rFonts w:ascii="Arial" w:cs="Arial" w:eastAsia="Arial" w:hAnsi="Arial"/>
          <w:sz w:val="18"/>
          <w:szCs w:val="18"/>
          <w:color w:val="auto"/>
        </w:rPr>
        <w:t xml:space="preserve">NORTH BETHESDA, Md. (February 11, 2021) - Federal Realty Investment Trust (NYSE:FRT) today reported operating results for its year and quarter ended December 31, 2020. </w:t>
      </w:r>
      <w:r>
        <w:rPr>
          <w:rFonts w:ascii="Arial" w:cs="Arial" w:eastAsia="Arial" w:hAnsi="Arial"/>
          <w:sz w:val="18"/>
          <w:szCs w:val="18"/>
          <w:color w:val="262626"/>
        </w:rPr>
        <w:t>For the year ended December 31, 2020 and 2019, net income available for common shareholders</w:t>
      </w:r>
      <w:r>
        <w:rPr>
          <w:rFonts w:ascii="Arial" w:cs="Arial" w:eastAsia="Arial" w:hAnsi="Arial"/>
          <w:sz w:val="18"/>
          <w:szCs w:val="18"/>
          <w:color w:val="auto"/>
        </w:rPr>
        <w:t xml:space="preserve"> </w:t>
      </w:r>
      <w:r>
        <w:rPr>
          <w:rFonts w:ascii="Arial" w:cs="Arial" w:eastAsia="Arial" w:hAnsi="Arial"/>
          <w:sz w:val="18"/>
          <w:szCs w:val="18"/>
          <w:color w:val="262626"/>
        </w:rPr>
        <w:t>was $1.62 per diluted share and $4.61 per diluted share, respectively. For the three months ended December 31, 2020 and 2019, net income available for common shareholders was $1.22 per diluted share and $1.92 per diluted share,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Key Highlights of the full year and quarter include:</w:t>
      </w:r>
    </w:p>
    <w:p>
      <w:pPr>
        <w:spacing w:after="0" w:line="360" w:lineRule="exact"/>
        <w:rPr>
          <w:sz w:val="20"/>
          <w:szCs w:val="20"/>
          <w:color w:val="auto"/>
        </w:rPr>
      </w:pPr>
    </w:p>
    <w:p>
      <w:pPr>
        <w:ind w:left="660" w:hanging="328"/>
        <w:spacing w:after="0" w:line="3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262626"/>
        </w:rPr>
        <w:t>Signed leases for 449,783 square feet of comparable space in the fourth quarter at an average rent of $32.16 psf and achieved cash basis rollover growth on those comparable spaces of 1%.</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262626"/>
        </w:rPr>
        <w:t>Sold three properties for combined gross proceeds of $170 million in the fourth quarter.</w:t>
      </w:r>
    </w:p>
    <w:p>
      <w:pPr>
        <w:spacing w:after="0" w:line="120" w:lineRule="exact"/>
        <w:rPr>
          <w:rFonts w:ascii="Arial" w:cs="Arial" w:eastAsia="Arial" w:hAnsi="Arial"/>
          <w:sz w:val="20"/>
          <w:szCs w:val="20"/>
          <w:color w:val="auto"/>
        </w:rPr>
      </w:pPr>
    </w:p>
    <w:p>
      <w:pPr>
        <w:ind w:left="660" w:hanging="328"/>
        <w:spacing w:after="0" w:line="3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Executed inaugural green offering, $400.0 million aggregate principal amount of 1.250% notes at an effective yield of 1.379%, maturing February 15, 2026.</w:t>
      </w:r>
    </w:p>
    <w:p>
      <w:pPr>
        <w:spacing w:after="0" w:line="18" w:lineRule="exact"/>
        <w:rPr>
          <w:rFonts w:ascii="Arial" w:cs="Arial" w:eastAsia="Arial" w:hAnsi="Arial"/>
          <w:sz w:val="20"/>
          <w:szCs w:val="20"/>
          <w:color w:val="auto"/>
        </w:rPr>
      </w:pPr>
    </w:p>
    <w:p>
      <w:pPr>
        <w:ind w:left="660" w:hanging="328"/>
        <w:spacing w:after="0" w:line="34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Ended the quarter with $798 million of cash on hand, $1.0 billion of availability on its revolving credit facility and no public bonds maturing until 2023.</w:t>
      </w:r>
    </w:p>
    <w:p>
      <w:pPr>
        <w:jc w:val="both"/>
        <w:ind w:left="660" w:hanging="328"/>
        <w:spacing w:after="0" w:line="3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$4.38 for the year ($4.52 excluding the $11.2 million early extinguishment of debt charge) compared to $6.17 in 2019 ($6.33 excluding the $11.9 million charge related to the buyout of the Kmart lease at Assembly). For the fourth quarter, generated FFO per diluted share of $0.99 ($1.14 excluding the early extinguishment of debt charge) compared to $1.58 for the fourth quarter 2019.</w:t>
      </w:r>
    </w:p>
    <w:p>
      <w:pPr>
        <w:spacing w:after="0" w:line="233" w:lineRule="exact"/>
        <w:rPr>
          <w:sz w:val="20"/>
          <w:szCs w:val="20"/>
          <w:color w:val="auto"/>
        </w:rPr>
      </w:pPr>
    </w:p>
    <w:p>
      <w:pPr>
        <w:ind w:right="160"/>
        <w:spacing w:after="0" w:line="371"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262626"/>
        </w:rPr>
        <w:t>While COVID certainly weighed on our quarterly and yearly results, the sheer volume of leasing and other transactions that we executed at</w:t>
      </w:r>
      <w:r>
        <w:rPr>
          <w:rFonts w:ascii="Arial" w:cs="Arial" w:eastAsia="Arial" w:hAnsi="Arial"/>
          <w:sz w:val="18"/>
          <w:szCs w:val="18"/>
          <w:color w:val="auto"/>
        </w:rPr>
        <w:t xml:space="preserve"> </w:t>
      </w:r>
      <w:r>
        <w:rPr>
          <w:rFonts w:ascii="Arial" w:cs="Arial" w:eastAsia="Arial" w:hAnsi="Arial"/>
          <w:sz w:val="18"/>
          <w:szCs w:val="18"/>
          <w:color w:val="262626"/>
        </w:rPr>
        <w:t>the end of last year along with the continuing strong leasing demand for our real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right="260"/>
        <w:spacing w:after="0" w:line="363" w:lineRule="auto"/>
        <w:rPr>
          <w:sz w:val="20"/>
          <w:szCs w:val="20"/>
          <w:color w:val="auto"/>
        </w:rPr>
      </w:pPr>
      <w:r>
        <w:rPr>
          <w:rFonts w:ascii="Arial" w:cs="Arial" w:eastAsia="Arial" w:hAnsi="Arial"/>
          <w:sz w:val="18"/>
          <w:szCs w:val="18"/>
          <w:color w:val="262626"/>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estate as evidenced by the many substantive discussions we’re having with prospective tenants today set us up extremely well for a post COVID recovery as vaccinations are delivered to a large segment of the population,” said Donald C. Wood, President and Chief Executive Officer. “We believe that Federal’s high-quality open-air shopping centers and mixed-use communities located in the first-tier suburbs of major metropolitan markets are the center of the bulls eye in terms of tenant desirability</w:t>
      </w:r>
      <w:r>
        <w:rPr>
          <w:rFonts w:ascii="Arial" w:cs="Arial" w:eastAsia="Arial" w:hAnsi="Arial"/>
          <w:sz w:val="18"/>
          <w:szCs w:val="18"/>
          <w:color w:val="000000"/>
        </w:rPr>
        <w: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20" w:lineRule="exact"/>
        <w:rPr>
          <w:sz w:val="20"/>
          <w:szCs w:val="20"/>
          <w:color w:val="auto"/>
        </w:rPr>
      </w:pPr>
    </w:p>
    <w:p>
      <w:pPr>
        <w:jc w:val="both"/>
        <w:spacing w:after="0" w:line="374" w:lineRule="auto"/>
        <w:rPr>
          <w:sz w:val="20"/>
          <w:szCs w:val="20"/>
          <w:color w:val="auto"/>
        </w:rPr>
      </w:pPr>
      <w:r>
        <w:rPr>
          <w:rFonts w:ascii="Arial" w:cs="Arial" w:eastAsia="Arial" w:hAnsi="Arial"/>
          <w:sz w:val="18"/>
          <w:szCs w:val="18"/>
          <w:color w:val="auto"/>
        </w:rPr>
        <w:t>For the full year 2020, Federal Realty reported net income available for common shareholders of $123.7 million and earnings per diluted share of $1.62, which includes the $50.7 million net impairment charge relating to The Shops at Sunset Place and the $11.2 million early extinguishment of debt charge. This compares to net income available for common shareholders of $345.8 million and earnings per diluted share of $4.61 for the full year 2019. Net income available for common shareholders was $92.7 million and earnings per diluted share was $1.22 for the fourth quarter 2020 which includes the $11.2 million early extinguishment of debt charge versus $145.3 million and $1.92, respectively, for the fourth quarter 2019.</w:t>
      </w:r>
    </w:p>
    <w:p>
      <w:pPr>
        <w:spacing w:after="0" w:line="130"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For the full year 2020, Federal Realty generated funds from operations available for common shareholders (FFO) of $333.8 million, or $4.38 per diluted share ($4.52 excluding the $11.2 million early extinguishment of debt charge). This compares to FFO of $465.8 million, or $6.17 per diluted share ($6.33 excluding the $11.9 million charge related to the buyout of the Kmart lease at Assembly) for the full year 2019. For the fourth quarter 2020, FFO was $75.1 million, or $0.99 per diluted share ($1.14 excluding the early extinguishment of debt charge), compared to $120.0 million, or $1.58 per diluted share for the fourth quarter 2019.</w:t>
      </w:r>
    </w:p>
    <w:p>
      <w:pPr>
        <w:spacing w:after="0" w:line="14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year-over-year decreases in net income and FFO were attributable to the impacts of the COVID-19 pandemic with the primary driver being collectibility related impacts totaling $106.6 million, or $1.40 per share, which included a $12.7 million impact to straight-line rent for the full year 2020. For the fourth quarter 2020, collectibility related impacts totaled $18.9 million, or $0.25 per share, which included a $1.6 million impact to straight-line rent.</w:t>
      </w:r>
    </w:p>
    <w:p>
      <w:pPr>
        <w:spacing w:after="0" w:line="125" w:lineRule="exact"/>
        <w:rPr>
          <w:sz w:val="20"/>
          <w:szCs w:val="20"/>
          <w:color w:val="auto"/>
        </w:rPr>
      </w:pPr>
    </w:p>
    <w:p>
      <w:pPr>
        <w:ind w:right="6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portfolio was 92.2% leased as of December 31, 2020, and the comparable portfolio was 92.1% leased.</w:t>
      </w:r>
    </w:p>
    <w:p>
      <w:pPr>
        <w:spacing w:after="0" w:line="239"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year 2020, Federal Realty signed 336 leases for 1.8 million square feet of retail space. On a comparable space basis (i.e., spaces for which there was a former tenant), Federal Realty leased 1.7 million square feet at an average rent of $31.53 per square foot compared to the average contractual rent of $30.76 per square foot for the last year of the prior leases, representing a cash basis rollover growth on those comparable spaces of 3%, 12% on a straight-line basis.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46" w:right="339" w:bottom="1440" w:gutter="0" w:footer="0" w:header="0"/>
        </w:sectPr>
      </w:pPr>
    </w:p>
    <w:bookmarkStart w:id="7" w:name="page8"/>
    <w:bookmarkEnd w:id="7"/>
    <w:p>
      <w:pPr>
        <w:ind w:right="80"/>
        <w:spacing w:after="0" w:line="3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During the fourth quarter 2020, Federal Realty signed 103 leases for 468,901 square feet of retail space. On a comparable space basis (i.e., spaces for which there was a former tenant), Federal Realty leased 449,783 square feet at an average rent of $32.16 per square foot compared to the average contractual rent of $31.95 per square foot for the last year of the prior leases, representing a cash basis rollover growth on those comparable spaces of 1%, 11% on a straight-line basis.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Operational Update</w:t>
      </w:r>
    </w:p>
    <w:p>
      <w:pPr>
        <w:spacing w:after="0" w:line="369"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All 101 properties remain open and operating. Approximately 98% of our retail tenants based on annualized base rent are open and operating as of January 31, 2021. Annualized base rent reflects the aggregate, annualized in-place contractual (defined as rents billed on a cash basis without taking the impact of rent abatements into account) minimum rent for all occupied commercial spaces.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the Company has collected approximately 89% of total fourth quarter 2020 billed recurring rents.</w:t>
      </w:r>
    </w:p>
    <w:p>
      <w:pPr>
        <w:spacing w:after="0" w:line="252"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With $798 million of cash and cash equivalents as of December 31, 2020, Federal Realty has approximately $1.8 billion of liquidity in cash and undrawn availability under its $1.0 billion revolving credit facility.</w:t>
      </w:r>
    </w:p>
    <w:p>
      <w:pPr>
        <w:spacing w:after="0" w:line="130"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Additional information on the impact of the COVID-19 pandemic on the Company’s business to date is available in a presentation posted on the Investor section of Federal Realty’s website.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2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declared a regular quarterly cash dividend of $1.06 per common share, resulting in an indicated annual rate of $4.24 per common share. The regular common dividend will be payable on April 15, 2021, to common shareholders of record as of March 16, 2021.</w:t>
      </w:r>
    </w:p>
    <w:p>
      <w:pPr>
        <w:spacing w:after="0" w:line="13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15, 2021, to shareholders of record as of March 16,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February 11, 2021 – Federal Realty announced the promotion of Jeffrey S. Berkes to President and Chief Operating Officer. In this newly created role, Mr. Berkes will have direct responsibility for overseeing and directing all of Federal’s day-to-day property operating functions, including leasing, development and asset management, on both the East and West Coasts.</w:t>
      </w:r>
    </w:p>
    <w:p>
      <w:pPr>
        <w:spacing w:after="0" w:line="13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December 2020 – Federal Realty sold three non-strategic assets, The Shops at Sunset Place, Eastgate Crossing and Sam’s Park &amp; Shop, for combined gross proceeds of $170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46" w:right="339" w:bottom="1440" w:gutter="0" w:footer="0" w:header="0"/>
        </w:sectPr>
      </w:pPr>
    </w:p>
    <w:bookmarkStart w:id="8" w:name="page9"/>
    <w:bookmarkEnd w:id="8"/>
    <w:p>
      <w:pPr>
        <w:jc w:val="both"/>
        <w:spacing w:after="0" w:line="3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October 13, 2020 – Federal Realty closed on its inaugural issuance of green bonds, $400.0 million aggregate principal amount of 1.250% notes at an effective yield of 1.379%, maturing February 15, 2026. The company intends to allocate an amount equal to the net proceeds from this offering to the financing and refinancing of recently completed and future eligible green projects.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261" w:lineRule="exact"/>
        <w:rPr>
          <w:sz w:val="20"/>
          <w:szCs w:val="20"/>
          <w:color w:val="auto"/>
        </w:rPr>
      </w:pPr>
    </w:p>
    <w:p>
      <w:pPr>
        <w:ind w:right="80"/>
        <w:spacing w:after="0" w:line="362"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fourth quarter 2020 earnings conference call, which is scheduled for Thursday, February 11, 2021 at 5:00 PM ET. To participate, please call 877.407.9208 five to ten minutes prior to the call start time and use the passcode 13714444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February 25, 2021 by dialing 844.512.2921; Passcode: 13714444.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261" w:lineRule="exact"/>
        <w:rPr>
          <w:sz w:val="20"/>
          <w:szCs w:val="20"/>
          <w:color w:val="auto"/>
        </w:rPr>
      </w:pPr>
    </w:p>
    <w:p>
      <w:pPr>
        <w:spacing w:after="0" w:line="36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101 properties include approximately 2,800 tenants, in 23 million square feet, and approximately 2,900 residential units.</w:t>
      </w:r>
    </w:p>
    <w:p>
      <w:pPr>
        <w:spacing w:after="0" w:line="143"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53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include the following:</w:t>
      </w:r>
    </w:p>
    <w:p>
      <w:pPr>
        <w:spacing w:after="0" w:line="111" w:lineRule="exact"/>
        <w:rPr>
          <w:sz w:val="20"/>
          <w:szCs w:val="20"/>
          <w:color w:val="auto"/>
        </w:rPr>
      </w:pPr>
    </w:p>
    <w:p>
      <w:pPr>
        <w:ind w:left="660" w:hanging="328"/>
        <w:spacing w:after="0" w:line="251"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4"/>
          <w:szCs w:val="14"/>
          <w:color w:val="auto"/>
        </w:rPr>
      </w:pPr>
    </w:p>
    <w:p>
      <w:pPr>
        <w:ind w:left="660" w:hanging="328"/>
        <w:spacing w:after="0" w:line="241"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660" w:hanging="328"/>
        <w:spacing w:after="0" w:line="241"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ind w:left="660" w:hanging="328"/>
        <w:spacing w:after="0" w:line="258"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46" w:right="339" w:bottom="1440" w:gutter="0" w:footer="0" w:header="0"/>
        </w:sectPr>
      </w:pPr>
    </w:p>
    <w:bookmarkStart w:id="9" w:name="page10"/>
    <w:bookmarkEnd w:id="9"/>
    <w:p>
      <w:pPr>
        <w:jc w:val="both"/>
        <w:ind w:left="660"/>
        <w:spacing w:after="0" w:line="24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color w:val="auto"/>
        </w:rPr>
      </w:pPr>
    </w:p>
    <w:p>
      <w:pPr>
        <w:ind w:left="660" w:hanging="328"/>
        <w:spacing w:after="0" w:line="241" w:lineRule="auto"/>
        <w:tabs>
          <w:tab w:leader="none" w:pos="6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660" w:hanging="328"/>
        <w:spacing w:after="0" w:line="241" w:lineRule="auto"/>
        <w:tabs>
          <w:tab w:leader="none" w:pos="6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color w:val="auto"/>
        </w:rPr>
      </w:pPr>
    </w:p>
    <w:p>
      <w:pPr>
        <w:jc w:val="both"/>
        <w:ind w:left="660" w:hanging="328"/>
        <w:spacing w:after="0" w:line="247" w:lineRule="auto"/>
        <w:tabs>
          <w:tab w:leader="none" w:pos="6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my precipitate or materially exacerbate one or more the above-mentioned risks, and my significantly disrupt or prevent us from operating our business in the ordinary course for an extended period.</w:t>
      </w:r>
    </w:p>
    <w:p>
      <w:pPr>
        <w:spacing w:after="0" w:line="2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3"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5"/>
                <w:szCs w:val="15"/>
                <w:color w:val="auto"/>
              </w:rPr>
            </w:pPr>
          </w:p>
        </w:tc>
      </w:tr>
      <w:tr>
        <w:trPr>
          <w:trHeight w:val="192"/>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r>
      <w:tr>
        <w:trPr>
          <w:trHeight w:val="187"/>
        </w:trPr>
        <w:tc>
          <w:tcPr>
            <w:tcW w:w="59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181"/>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9"/>
        </w:trPr>
        <w:tc>
          <w:tcPr>
            <w:tcW w:w="5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218,484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238,303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832,171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932,738</w:t>
            </w: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23"/>
        </w:trPr>
        <w:tc>
          <w:tcPr>
            <w:tcW w:w="5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935,788</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187,831</w:t>
            </w: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110,927</w:t>
            </w: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42,754</w:t>
            </w: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239,758</w:t>
            </w:r>
          </w:p>
        </w:tc>
      </w:tr>
      <w:tr>
        <w:trPr>
          <w:trHeight w:val="223"/>
        </w:trPr>
        <w:tc>
          <w:tcPr>
            <w:tcW w:w="5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586,869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581,270</w:t>
            </w:r>
          </w:p>
        </w:tc>
      </w:tr>
      <w:tr>
        <w:trPr>
          <w:trHeight w:val="196"/>
        </w:trPr>
        <w:tc>
          <w:tcPr>
            <w:tcW w:w="5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net of tax</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116,393</w:t>
            </w:r>
          </w:p>
        </w:tc>
      </w:tr>
      <w:tr>
        <w:trPr>
          <w:trHeight w:val="196"/>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470,911</w:t>
            </w:r>
          </w:p>
        </w:tc>
      </w:tr>
      <w:tr>
        <w:trPr>
          <w:trHeight w:val="216"/>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(109,623)</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135,888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360,542</w:t>
            </w:r>
          </w:p>
        </w:tc>
      </w:tr>
      <w:tr>
        <w:trPr>
          <w:trHeight w:val="230"/>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131,706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353,866</w:t>
            </w: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123,664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345,824</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BASIC AND DILUTED</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 basic</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1026"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0"/>
              </w:rPr>
              <w:t>(in thousands, except share and</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4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$1,703,202 and $1,676,866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7,771,981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7,535,983</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Construction-in-progress (including $44,896 and $102,583 of consolidated variable interest entities,</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760,420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8,582,870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8,298,132</w:t>
            </w:r>
          </w:p>
        </w:tc>
        <w:tc>
          <w:tcPr>
            <w:tcW w:w="0" w:type="dxa"/>
            <w:vAlign w:val="bottom"/>
          </w:tcPr>
          <w:p>
            <w:pPr>
              <w:spacing w:after="0"/>
              <w:rPr>
                <w:sz w:val="1"/>
                <w:szCs w:val="1"/>
                <w:color w:val="auto"/>
              </w:rPr>
            </w:pPr>
          </w:p>
        </w:tc>
      </w:tr>
      <w:tr>
        <w:trPr>
          <w:trHeight w:val="176"/>
        </w:trPr>
        <w:tc>
          <w:tcPr>
            <w:tcW w:w="8560" w:type="dxa"/>
            <w:vAlign w:val="bottom"/>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$335,735 and $296,165 of consolidated variable</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(2,357,692)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1"/>
              </w:rPr>
              <w:t>(2,215,413)</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 estate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6,082,719</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798,329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127,432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notes receivable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152,572</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28,604</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93,774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 right of use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227,060</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6,794,992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Arial" w:cs="Arial" w:eastAsia="Arial" w:hAnsi="Arial"/>
                <w:sz w:val="18"/>
                <w:szCs w:val="18"/>
                <w:color w:val="auto"/>
                <w:w w:val="99"/>
              </w:rPr>
              <w:t>Mortgages payable, net (including $413,681 and $469,184 of consolidated variable interest entities,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484,111</w:t>
            </w:r>
          </w:p>
        </w:tc>
        <w:tc>
          <w:tcPr>
            <w:tcW w:w="12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545,679</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3,404,488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2,807,134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expenses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255,503</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Security deposits payable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21,701</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73,628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157,938</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4,921,157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4,019,102</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139,758</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560" w:type="dxa"/>
            <w:vAlign w:val="bottom"/>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399,896 shares issued and outstanding</w:t>
            </w: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76,727,394 and 75,540,804</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3,297,305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3,166,522</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(988,272)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(791,124)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2,464,157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2,535,341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100,791</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2,636,132</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6,794,992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6"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80"/>
          </w:cols>
          <w:pgMar w:left="360" w:top="1026" w:right="35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Dividend Information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8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5760" w:type="dxa"/>
            <w:vAlign w:val="bottom"/>
            <w:gridSpan w:val="4"/>
            <w:shd w:val="clear" w:color="auto" w:fill="CCEEFF"/>
          </w:tcPr>
          <w:p>
            <w:pPr>
              <w:ind w:left="20"/>
              <w:spacing w:after="0" w:line="190" w:lineRule="exact"/>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102,211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148,966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135,888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360,542</w:t>
            </w: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(6,676)</w:t>
            </w:r>
          </w:p>
        </w:tc>
      </w:tr>
      <w:tr>
        <w:trPr>
          <w:trHeight w:val="230"/>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Gain on sale of real estate, net of tax</w:t>
            </w:r>
          </w:p>
        </w:tc>
        <w:tc>
          <w:tcPr>
            <w:tcW w:w="28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(80,240)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(85,903)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(91,922)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w w:val="90"/>
              </w:rPr>
              <w:t>(116,393)</w:t>
            </w: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Impairment charge, net (2)</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57,972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54,886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228,850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215,139</w:t>
            </w:r>
          </w:p>
        </w:tc>
      </w:tr>
      <w:tr>
        <w:trPr>
          <w:trHeight w:val="230"/>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20,415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19,359</w:t>
            </w:r>
          </w:p>
        </w:tc>
      </w:tr>
      <w:tr>
        <w:trPr>
          <w:trHeight w:val="223"/>
        </w:trPr>
        <w:tc>
          <w:tcPr>
            <w:tcW w:w="20" w:type="dxa"/>
            <w:vAlign w:val="bottom"/>
          </w:tcPr>
          <w:p>
            <w:pPr>
              <w:spacing w:after="0"/>
              <w:rPr>
                <w:sz w:val="19"/>
                <w:szCs w:val="19"/>
                <w:color w:val="auto"/>
              </w:rPr>
            </w:pPr>
          </w:p>
        </w:tc>
        <w:tc>
          <w:tcPr>
            <w:tcW w:w="5740" w:type="dxa"/>
            <w:vAlign w:val="bottom"/>
            <w:gridSpan w:val="3"/>
          </w:tcPr>
          <w:p>
            <w:pPr>
              <w:ind w:left="320"/>
              <w:spacing w:after="0"/>
              <w:rPr>
                <w:sz w:val="20"/>
                <w:szCs w:val="20"/>
                <w:color w:val="auto"/>
              </w:rPr>
            </w:pPr>
            <w:r>
              <w:rPr>
                <w:rFonts w:ascii="Arial" w:cs="Arial" w:eastAsia="Arial" w:hAnsi="Arial"/>
                <w:sz w:val="18"/>
                <w:szCs w:val="18"/>
                <w:color w:val="auto"/>
              </w:rPr>
              <w:t>Funds from operations</w:t>
            </w: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77,310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121,532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339,777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w w:val="98"/>
              </w:rPr>
              <w:t>471,971</w:t>
            </w:r>
          </w:p>
        </w:tc>
      </w:tr>
      <w:tr>
        <w:trPr>
          <w:trHeight w:val="230"/>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Dividends on preferred shares (3)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(7,500)</w:t>
            </w:r>
          </w:p>
        </w:tc>
      </w:tr>
      <w:tr>
        <w:trPr>
          <w:trHeight w:val="229"/>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Income attributable to operating partnership units (4)</w:t>
            </w:r>
          </w:p>
        </w:tc>
        <w:tc>
          <w:tcPr>
            <w:tcW w:w="2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2,703</w:t>
            </w:r>
          </w:p>
        </w:tc>
      </w:tr>
      <w:tr>
        <w:trPr>
          <w:trHeight w:val="230"/>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(1,355)</w:t>
            </w:r>
          </w:p>
        </w:tc>
      </w:tr>
      <w:tr>
        <w:trPr>
          <w:trHeight w:val="196"/>
        </w:trPr>
        <w:tc>
          <w:tcPr>
            <w:tcW w:w="20" w:type="dxa"/>
            <w:vAlign w:val="bottom"/>
          </w:tcPr>
          <w:p>
            <w:pPr>
              <w:spacing w:after="0"/>
              <w:rPr>
                <w:sz w:val="17"/>
                <w:szCs w:val="17"/>
                <w:color w:val="auto"/>
              </w:rPr>
            </w:pPr>
          </w:p>
        </w:tc>
        <w:tc>
          <w:tcPr>
            <w:tcW w:w="574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FFO (5)</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75,052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119,961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333,849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w w:val="98"/>
              </w:rPr>
              <w:t>465,819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 (3)(4)</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75,898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76,024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76,261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75,514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FFO per diluted share (5)</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0.99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4.38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6.17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57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Dividends and Payout Ratios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320,302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8"/>
              </w:rPr>
              <w:t>310,973</w:t>
            </w:r>
          </w:p>
        </w:tc>
      </w:tr>
      <w:tr>
        <w:trPr>
          <w:trHeight w:val="230"/>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1" w:lineRule="exact"/>
        <w:rPr>
          <w:rFonts w:ascii="Arial" w:cs="Arial" w:eastAsia="Arial" w:hAnsi="Arial"/>
          <w:sz w:val="16"/>
          <w:szCs w:val="16"/>
          <w:color w:val="auto"/>
        </w:rPr>
      </w:pPr>
    </w:p>
    <w:p>
      <w:pPr>
        <w:ind w:left="260" w:right="980" w:hanging="252"/>
        <w:spacing w:after="0" w:line="272"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Impairment charge relates to The Shops at Sunset Place and was recorded during the quarter ended September 30, 2020. Amount is net of the allocation to noncontrolling interests.</w:t>
      </w:r>
    </w:p>
    <w:p>
      <w:pPr>
        <w:spacing w:after="0" w:line="1" w:lineRule="exact"/>
        <w:rPr>
          <w:rFonts w:ascii="Arial" w:cs="Arial" w:eastAsia="Arial" w:hAnsi="Arial"/>
          <w:sz w:val="16"/>
          <w:szCs w:val="16"/>
          <w:color w:val="auto"/>
        </w:rPr>
      </w:pPr>
    </w:p>
    <w:p>
      <w:pPr>
        <w:ind w:left="260" w:right="260" w:hanging="252"/>
        <w:spacing w:after="0" w:line="264"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months and year ended December 31, 2019, dividends on our Series 1 preferred stock were not deducted in the calculation of FFO available to common shareholders, as the related shares were dilutive and included in "weighted average common shares, diluted."</w:t>
      </w:r>
    </w:p>
    <w:p>
      <w:pPr>
        <w:ind w:left="260" w:right="80" w:hanging="252"/>
        <w:spacing w:after="0" w:line="253"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months ended December 31, 2020, income attributable to operating partnership units is not added back in the calculation of FFO available to common shareholders, as the related shares are not dilutive and are not included in "weighted average common shares, diluted" for this period. For the year ended December 31, 2020 and the three months and year ended December 31, 2019, the weighted average common shares used to compute FFO per diluted common share include operating partnership units that were excluded from the computation of diluted EPS. Conversion of these operating partnership units is dilutive in the computation of FFO per diluted share but anti-dilutive for the computation of dilutive EPS for these periods.</w:t>
      </w:r>
    </w:p>
    <w:p>
      <w:pPr>
        <w:spacing w:after="0" w:line="15" w:lineRule="exact"/>
        <w:rPr>
          <w:rFonts w:ascii="Arial" w:cs="Arial" w:eastAsia="Arial" w:hAnsi="Arial"/>
          <w:sz w:val="16"/>
          <w:szCs w:val="16"/>
          <w:color w:val="auto"/>
        </w:rPr>
      </w:pPr>
    </w:p>
    <w:p>
      <w:pPr>
        <w:jc w:val="both"/>
        <w:ind w:left="260" w:right="120" w:hanging="252"/>
        <w:spacing w:after="0" w:line="286" w:lineRule="auto"/>
        <w:tabs>
          <w:tab w:leader="none" w:pos="260" w:val="left"/>
        </w:tabs>
        <w:numPr>
          <w:ilvl w:val="0"/>
          <w:numId w:val="7"/>
        </w:numPr>
        <w:rPr>
          <w:rFonts w:ascii="Arial" w:cs="Arial" w:eastAsia="Arial" w:hAnsi="Arial"/>
          <w:sz w:val="15"/>
          <w:szCs w:val="15"/>
          <w:color w:val="auto"/>
        </w:rPr>
      </w:pPr>
      <w:r>
        <w:rPr>
          <w:rFonts w:ascii="Arial" w:cs="Arial" w:eastAsia="Arial" w:hAnsi="Arial"/>
          <w:sz w:val="15"/>
          <w:szCs w:val="15"/>
          <w:color w:val="auto"/>
        </w:rPr>
        <w:t>FFO available for common shareholders for the year ended December 31, 2020 includes a $11.2 million charge related to early extinguishment of debt, and for the year ended December 31, 2019 includes an $11.9 million charge related to the buyout of the Kmart lease at Assembly Row Marketplace. If these charges were excluded, our FFO, FFO per diluted share, and dividend payout ratio as a percentage of FFO at each respective year end would have been: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Year Ended</w:t>
            </w:r>
          </w:p>
        </w:tc>
        <w:tc>
          <w:tcPr>
            <w:tcW w:w="1240" w:type="dxa"/>
            <w:vAlign w:val="bottom"/>
          </w:tcPr>
          <w:p>
            <w:pPr>
              <w:spacing w:after="0"/>
              <w:rPr>
                <w:sz w:val="16"/>
                <w:szCs w:val="16"/>
                <w:color w:val="auto"/>
              </w:rPr>
            </w:pPr>
          </w:p>
        </w:tc>
      </w:tr>
      <w:tr>
        <w:trPr>
          <w:trHeight w:val="195"/>
        </w:trPr>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r>
      <w:tr>
        <w:trPr>
          <w:trHeight w:val="187"/>
        </w:trPr>
        <w:tc>
          <w:tcPr>
            <w:tcW w:w="4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183"/>
        </w:trPr>
        <w:tc>
          <w:tcPr>
            <w:tcW w:w="4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40" w:type="dxa"/>
            <w:vAlign w:val="bottom"/>
            <w:gridSpan w:val="5"/>
          </w:tcPr>
          <w:p>
            <w:pPr>
              <w:jc w:val="right"/>
              <w:ind w:right="350"/>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40" w:type="dxa"/>
            <w:vAlign w:val="bottom"/>
          </w:tcPr>
          <w:p>
            <w:pPr>
              <w:spacing w:after="0"/>
              <w:rPr>
                <w:sz w:val="15"/>
                <w:szCs w:val="15"/>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87,002</w:t>
            </w: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344,994</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477,696</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c>
          <w:tcPr>
            <w:tcW w:w="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9"/>
              <w:spacing w:after="0"/>
              <w:rPr>
                <w:sz w:val="20"/>
                <w:szCs w:val="20"/>
                <w:color w:val="auto"/>
              </w:rPr>
            </w:pPr>
            <w:r>
              <w:rPr>
                <w:rFonts w:ascii="Arial" w:cs="Arial" w:eastAsia="Arial" w:hAnsi="Arial"/>
                <w:sz w:val="18"/>
                <w:szCs w:val="18"/>
                <w:color w:val="auto"/>
              </w:rPr>
              <w:t>4.52</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6.33</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850"/>
        </w:trPr>
        <w:tc>
          <w:tcPr>
            <w:tcW w:w="4420" w:type="dxa"/>
            <w:vAlign w:val="bottom"/>
          </w:tcPr>
          <w:p>
            <w:pPr>
              <w:spacing w:after="0"/>
              <w:rPr>
                <w:sz w:val="24"/>
                <w:szCs w:val="2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102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Supplemental Information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(in thousands, except per share data)</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1"/>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0"/>
              </w:rPr>
              <w:t>Summary of Capital Expenditures</w:t>
            </w:r>
          </w:p>
        </w:tc>
        <w:tc>
          <w:tcPr>
            <w:tcW w:w="39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361,290</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59,477</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420,767</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444,417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2"/>
              </w:rPr>
              <w:t>Noncontrolling Interests Supplemental Information (1)</w:t>
            </w:r>
          </w:p>
        </w:tc>
        <w:tc>
          <w:tcPr>
            <w:tcW w:w="2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Property operating income (2)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12,152</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Impairment charge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4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reflect the components of "net income attributable to noncontrolling interests," but excludes "income attributable to operating partnership units."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 Related Impacts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35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following provides supplemental information regarding our collectibility related impacts resulting from COVID-19 for the three months ended December 31, 2020. The primary drivers of our collectibility impacts in the quarter are from tenants who we account for on a cash basis or converted to a cash basis of accounting during the quarter, as we did not receive full contractual rent payments, as well as COVID-19 related rent abatements.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Annual Report on Form 10-K.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Collectibility Impacts for the Quarter Ended December 31, 2020</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w:t>
            </w:r>
          </w:p>
        </w:tc>
        <w:tc>
          <w:tcPr>
            <w:tcW w:w="18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87"/>
              </w:rPr>
              <w:t>Accounts Receivable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2"/>
              </w:rPr>
              <w:t>Straight-Line Rent</w:t>
            </w:r>
          </w:p>
        </w:tc>
        <w:tc>
          <w:tcPr>
            <w:tcW w:w="380" w:type="dxa"/>
            <w:vAlign w:val="bottom"/>
          </w:tcPr>
          <w:p>
            <w:pPr>
              <w:spacing w:after="0"/>
              <w:rPr>
                <w:sz w:val="17"/>
                <w:szCs w:val="17"/>
                <w:color w:val="auto"/>
              </w:rPr>
            </w:pPr>
          </w:p>
        </w:tc>
        <w:tc>
          <w:tcPr>
            <w:tcW w:w="13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7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Impact</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Receivable Impact</w:t>
            </w:r>
          </w:p>
        </w:tc>
        <w:tc>
          <w:tcPr>
            <w:tcW w:w="3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Tenants recognized on a cash basis prior to Q4 2020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line="176" w:lineRule="exact"/>
              <w:rPr>
                <w:sz w:val="20"/>
                <w:szCs w:val="20"/>
                <w:color w:val="auto"/>
              </w:rPr>
            </w:pPr>
            <w:r>
              <w:rPr>
                <w:rFonts w:ascii="Arial" w:cs="Arial" w:eastAsia="Arial" w:hAnsi="Arial"/>
                <w:sz w:val="18"/>
                <w:szCs w:val="18"/>
                <w:color w:val="auto"/>
                <w:w w:val="95"/>
              </w:rPr>
              <w:t>Changes in our collectibility assumptions in Q4 2020 and COVID-19 related</w:t>
            </w:r>
          </w:p>
        </w:tc>
        <w:tc>
          <w:tcPr>
            <w:tcW w:w="3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disputes/abatements (2)</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collectibility impact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36"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85% of this impact is from restaurants, fitness, and entertainment tenants.</w:t>
      </w:r>
    </w:p>
    <w:p>
      <w:pPr>
        <w:spacing w:after="0" w:line="23" w:lineRule="exact"/>
        <w:rPr>
          <w:rFonts w:ascii="Arial" w:cs="Arial" w:eastAsia="Arial" w:hAnsi="Arial"/>
          <w:sz w:val="18"/>
          <w:szCs w:val="18"/>
          <w:color w:val="auto"/>
        </w:rPr>
      </w:pPr>
    </w:p>
    <w:p>
      <w:pPr>
        <w:ind w:left="660" w:right="280" w:hanging="652"/>
        <w:spacing w:after="0" w:line="255"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balance reflects rent abatements granted as a result of COVID-19, as well as changes in assumptions of collectibility primarily due to the impacts of COVID-19. Approximately 55% of the impact is due to tenants where we do not believe it is probable we will collect the remaining contractual lease payments.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Other Information on Cash Basis Tenants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6"/>
          </w:tcPr>
          <w:p>
            <w:pPr>
              <w:jc w:val="right"/>
              <w:ind w:right="832"/>
              <w:spacing w:after="0"/>
              <w:rPr>
                <w:sz w:val="20"/>
                <w:szCs w:val="20"/>
                <w:color w:val="auto"/>
              </w:rPr>
            </w:pPr>
            <w:r>
              <w:rPr>
                <w:rFonts w:ascii="Arial" w:cs="Arial" w:eastAsia="Arial" w:hAnsi="Arial"/>
                <w:sz w:val="18"/>
                <w:szCs w:val="18"/>
                <w:b w:val="1"/>
                <w:bCs w:val="1"/>
                <w:color w:val="auto"/>
              </w:rPr>
              <w:t>As of December 31, 2020</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center"/>
              <w:ind w:right="52"/>
              <w:spacing w:after="0" w:line="169" w:lineRule="exact"/>
              <w:rPr>
                <w:sz w:val="20"/>
                <w:szCs w:val="20"/>
                <w:color w:val="auto"/>
              </w:rPr>
            </w:pPr>
            <w:r>
              <w:rPr>
                <w:rFonts w:ascii="Arial" w:cs="Arial" w:eastAsia="Arial" w:hAnsi="Arial"/>
                <w:sz w:val="18"/>
                <w:szCs w:val="18"/>
                <w:b w:val="1"/>
                <w:bCs w:val="1"/>
                <w:color w:val="auto"/>
                <w:w w:val="88"/>
              </w:rPr>
              <w:t>% Recognized on a</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272"/>
              <w:spacing w:after="0"/>
              <w:rPr>
                <w:sz w:val="20"/>
                <w:szCs w:val="20"/>
                <w:color w:val="auto"/>
              </w:rPr>
            </w:pPr>
            <w:r>
              <w:rPr>
                <w:rFonts w:ascii="Arial" w:cs="Arial" w:eastAsia="Arial" w:hAnsi="Arial"/>
                <w:sz w:val="18"/>
                <w:szCs w:val="18"/>
                <w:b w:val="1"/>
                <w:bCs w:val="1"/>
                <w:color w:val="auto"/>
                <w:w w:val="84"/>
              </w:rPr>
              <w:t>Cash Basis</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commercial tenant leases</w:t>
            </w:r>
          </w:p>
        </w:tc>
        <w:tc>
          <w:tcPr>
            <w:tcW w:w="10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92"/>
              </w:rPr>
              <w:t>35 %</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Annualized base rent from commercial tenants (in millions) (3)</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ind w:left="1140"/>
              <w:spacing w:after="0"/>
              <w:rPr>
                <w:sz w:val="20"/>
                <w:szCs w:val="20"/>
                <w:color w:val="auto"/>
              </w:rPr>
            </w:pPr>
            <w:r>
              <w:rPr>
                <w:rFonts w:ascii="Arial" w:cs="Arial" w:eastAsia="Arial" w:hAnsi="Arial"/>
                <w:sz w:val="18"/>
                <w:szCs w:val="18"/>
                <w:color w:val="auto"/>
                <w:w w:val="92"/>
              </w:rPr>
              <w:t>27 %</w:t>
            </w:r>
          </w:p>
        </w:tc>
        <w:tc>
          <w:tcPr>
            <w:tcW w:w="0" w:type="dxa"/>
            <w:vAlign w:val="bottom"/>
          </w:tcPr>
          <w:p>
            <w:pPr>
              <w:spacing w:after="0"/>
              <w:rPr>
                <w:sz w:val="1"/>
                <w:szCs w:val="1"/>
                <w:color w:val="auto"/>
              </w:rPr>
            </w:pPr>
          </w:p>
        </w:tc>
      </w:tr>
      <w:tr>
        <w:trPr>
          <w:trHeight w:val="566"/>
        </w:trPr>
        <w:tc>
          <w:tcPr>
            <w:tcW w:w="3920" w:type="dxa"/>
            <w:vAlign w:val="bottom"/>
          </w:tcPr>
          <w:p>
            <w:pPr>
              <w:spacing w:after="0"/>
              <w:rPr>
                <w:sz w:val="20"/>
                <w:szCs w:val="20"/>
                <w:color w:val="auto"/>
              </w:rPr>
            </w:pPr>
            <w:r>
              <w:rPr>
                <w:rFonts w:ascii="Arial" w:cs="Arial" w:eastAsia="Arial" w:hAnsi="Arial"/>
                <w:sz w:val="18"/>
                <w:szCs w:val="18"/>
                <w:b w:val="1"/>
                <w:bCs w:val="1"/>
                <w:color w:val="auto"/>
              </w:rPr>
              <w:t>Components of Accounts Receivable, net</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080" w:type="dxa"/>
            <w:vAlign w:val="bottom"/>
          </w:tcPr>
          <w:p>
            <w:pPr>
              <w:jc w:val="center"/>
              <w:ind w:left="595"/>
              <w:spacing w:after="0"/>
              <w:rPr>
                <w:sz w:val="20"/>
                <w:szCs w:val="20"/>
                <w:color w:val="auto"/>
              </w:rPr>
            </w:pPr>
            <w:r>
              <w:rPr>
                <w:rFonts w:ascii="Arial" w:cs="Arial" w:eastAsia="Arial" w:hAnsi="Arial"/>
                <w:sz w:val="16"/>
                <w:szCs w:val="16"/>
                <w:b w:val="1"/>
                <w:bCs w:val="1"/>
                <w:color w:val="auto"/>
                <w:w w:val="89"/>
              </w:rPr>
              <w:t>As of</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593"/>
              <w:spacing w:after="0"/>
              <w:rPr>
                <w:sz w:val="20"/>
                <w:szCs w:val="20"/>
                <w:color w:val="auto"/>
              </w:rPr>
            </w:pPr>
            <w:r>
              <w:rPr>
                <w:rFonts w:ascii="Arial" w:cs="Arial" w:eastAsia="Arial" w:hAnsi="Arial"/>
                <w:sz w:val="16"/>
                <w:szCs w:val="16"/>
                <w:b w:val="1"/>
                <w:bCs w:val="1"/>
                <w:color w:val="auto"/>
              </w:rPr>
              <w:t>As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As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2020</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2"/>
              </w:rPr>
              <w:t>September 30, 2020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June 30, 2020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accounts receivable, net</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26,706</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37,149</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Straight-line rent receivable, net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103,291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102,867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100,673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104,440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29,819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37,029</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8"/>
                <w:szCs w:val="18"/>
                <w:color w:val="auto"/>
              </w:rPr>
              <w:t>Total accounts receivable, net</w:t>
            </w: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159,780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164,882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167,641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153,243</w:t>
            </w:r>
          </w:p>
        </w:tc>
        <w:tc>
          <w:tcPr>
            <w:tcW w:w="0" w:type="dxa"/>
            <w:vAlign w:val="bottom"/>
          </w:tcPr>
          <w:p>
            <w:pPr>
              <w:spacing w:after="0"/>
              <w:rPr>
                <w:sz w:val="1"/>
                <w:szCs w:val="1"/>
                <w:color w:val="auto"/>
              </w:rPr>
            </w:pPr>
          </w:p>
        </w:tc>
      </w:tr>
      <w:tr>
        <w:trPr>
          <w:trHeight w:val="566"/>
        </w:trPr>
        <w:tc>
          <w:tcPr>
            <w:tcW w:w="3920" w:type="dxa"/>
            <w:vAlign w:val="bottom"/>
          </w:tcPr>
          <w:p>
            <w:pPr>
              <w:spacing w:after="0"/>
              <w:rPr>
                <w:sz w:val="20"/>
                <w:szCs w:val="20"/>
                <w:color w:val="auto"/>
              </w:rPr>
            </w:pPr>
            <w:r>
              <w:rPr>
                <w:rFonts w:ascii="Arial" w:cs="Arial" w:eastAsia="Arial" w:hAnsi="Arial"/>
                <w:sz w:val="18"/>
                <w:szCs w:val="18"/>
                <w:b w:val="1"/>
                <w:bCs w:val="1"/>
                <w:color w:val="auto"/>
              </w:rPr>
              <w:t>Rent Deferrals and Rent Abatements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rent deferred (in millions) (4)</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w w:val="92"/>
              </w:rPr>
              <w:t>Percent of deferred rent agreed to be repaid by December 31, 2021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1140"/>
              <w:spacing w:after="0"/>
              <w:rPr>
                <w:sz w:val="20"/>
                <w:szCs w:val="20"/>
                <w:color w:val="auto"/>
              </w:rPr>
            </w:pPr>
            <w:r>
              <w:rPr>
                <w:rFonts w:ascii="Arial" w:cs="Arial" w:eastAsia="Arial" w:hAnsi="Arial"/>
                <w:sz w:val="18"/>
                <w:szCs w:val="18"/>
                <w:color w:val="auto"/>
                <w:w w:val="92"/>
              </w:rPr>
              <w:t>85 %</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rent abated (in millions) (5)</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36"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3" w:lineRule="exact"/>
        <w:rPr>
          <w:rFonts w:ascii="Arial" w:cs="Arial" w:eastAsia="Arial" w:hAnsi="Arial"/>
          <w:sz w:val="18"/>
          <w:szCs w:val="18"/>
          <w:color w:val="auto"/>
        </w:rPr>
      </w:pPr>
    </w:p>
    <w:p>
      <w:pPr>
        <w:ind w:left="660" w:right="220" w:hanging="652"/>
        <w:spacing w:after="0" w:line="250"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contractual rent for April through December 2020 that has been deferred pursuant to modification agreements signed through January 31, 2021. Accrual basis tenants comprise approximately 61% of the deferred rent for the year ended December 31, 2020 for executed agreements in place as of January 31, 2021.</w:t>
      </w:r>
    </w:p>
    <w:p>
      <w:pPr>
        <w:spacing w:after="0" w:line="1" w:lineRule="exact"/>
        <w:rPr>
          <w:rFonts w:ascii="Arial" w:cs="Arial" w:eastAsia="Arial" w:hAnsi="Arial"/>
          <w:sz w:val="18"/>
          <w:szCs w:val="18"/>
          <w:color w:val="auto"/>
        </w:rPr>
      </w:pPr>
    </w:p>
    <w:p>
      <w:pPr>
        <w:ind w:left="660" w:right="420" w:hanging="652"/>
        <w:spacing w:after="0" w:line="260"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contractual rent for April through December 2020 that has been abated pursuant to modification agreements signed through January 31, 2021.</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931" w:right="3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Components of Rental Income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195"/>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18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rents (2)</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158,618</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158,822</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627,557</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630,225</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78,849</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46,139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46,351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175,977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174,936</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rents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43,885</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Collectibility related impact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218,484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238,303</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832,171</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932,738</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line="26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20" w:lineRule="exact"/>
        <w:rPr>
          <w:rFonts w:ascii="Arial" w:cs="Arial" w:eastAsia="Arial" w:hAnsi="Arial"/>
          <w:sz w:val="16"/>
          <w:szCs w:val="16"/>
          <w:color w:val="auto"/>
        </w:rPr>
      </w:pPr>
    </w:p>
    <w:p>
      <w:pPr>
        <w:ind w:left="660" w:right="560" w:hanging="652"/>
        <w:spacing w:after="0" w:line="31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Minimum rents for the three months and year ended December 31, 2020 includes a $1.6 million and $12.7 million charge, respectively, for the write-off of straight-line receivables related to the impacts of the COVID-19 pandemic (see details on page 12). In total, minimum rents include the following: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195"/>
        </w:trPr>
        <w:tc>
          <w:tcPr>
            <w:tcW w:w="4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4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183"/>
        </w:trPr>
        <w:tc>
          <w:tcPr>
            <w:tcW w:w="4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4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4060" w:type="dxa"/>
            <w:vAlign w:val="bottom"/>
          </w:tcPr>
          <w:p>
            <w:pPr>
              <w:ind w:left="360"/>
              <w:spacing w:after="0"/>
              <w:rPr>
                <w:sz w:val="20"/>
                <w:szCs w:val="20"/>
                <w:color w:val="auto"/>
              </w:rPr>
            </w:pPr>
            <w:r>
              <w:rPr>
                <w:rFonts w:ascii="Arial" w:cs="Arial" w:eastAsia="Arial" w:hAnsi="Arial"/>
                <w:sz w:val="18"/>
                <w:szCs w:val="18"/>
                <w:color w:val="auto"/>
              </w:rPr>
              <w:t>Straight-line rents</w:t>
            </w:r>
          </w:p>
        </w:tc>
        <w:tc>
          <w:tcPr>
            <w:tcW w:w="24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20"/>
              <w:spacing w:after="0"/>
              <w:rPr>
                <w:sz w:val="20"/>
                <w:szCs w:val="20"/>
                <w:color w:val="auto"/>
              </w:rPr>
            </w:pPr>
            <w:r>
              <w:rPr>
                <w:rFonts w:ascii="Arial" w:cs="Arial" w:eastAsia="Arial" w:hAnsi="Arial"/>
                <w:sz w:val="18"/>
                <w:szCs w:val="18"/>
                <w:color w:val="auto"/>
              </w:rPr>
              <w:t>4.5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in-place leases</w:t>
            </w:r>
          </w:p>
        </w:tc>
        <w:tc>
          <w:tcPr>
            <w:tcW w:w="24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878"/>
        </w:trPr>
        <w:tc>
          <w:tcPr>
            <w:tcW w:w="4060" w:type="dxa"/>
            <w:vAlign w:val="bottom"/>
          </w:tcPr>
          <w:p>
            <w:pPr>
              <w:spacing w:after="0"/>
              <w:rPr>
                <w:sz w:val="24"/>
                <w:szCs w:val="24"/>
                <w:color w:val="auto"/>
              </w:rPr>
            </w:pPr>
          </w:p>
        </w:tc>
        <w:tc>
          <w:tcPr>
            <w:tcW w:w="2400" w:type="dxa"/>
            <w:vAlign w:val="bottom"/>
            <w:gridSpan w:val="2"/>
          </w:tcPr>
          <w:p>
            <w:pPr>
              <w:jc w:val="right"/>
              <w:ind w:right="668"/>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1026" w:right="3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2020</w:t>
      </w:r>
    </w:p>
    <w:p>
      <w:pPr>
        <w:spacing w:after="0" w:line="242" w:lineRule="exact"/>
        <w:rPr>
          <w:sz w:val="20"/>
          <w:szCs w:val="20"/>
          <w:color w:val="auto"/>
        </w:rPr>
      </w:pPr>
    </w:p>
    <w:p>
      <w:pPr>
        <w:ind w:left="40" w:right="60"/>
        <w:spacing w:after="0" w:line="233" w:lineRule="auto"/>
        <w:rPr>
          <w:sz w:val="20"/>
          <w:szCs w:val="20"/>
          <w:color w:val="auto"/>
        </w:rPr>
      </w:pPr>
      <w:r>
        <w:rPr>
          <w:rFonts w:ascii="Arial" w:cs="Arial" w:eastAsia="Arial" w:hAnsi="Arial"/>
          <w:sz w:val="15"/>
          <w:szCs w:val="15"/>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Assembly Row - Phase 2 Retail and Phase 3, Cocowalk, The Commons at Darien, Pike &amp; Rose Phase 2 Retail and Phase 3, 700 Santana Row, Freedom Plaza, a portion of Graham Park Plaza, and all properties acquired or disposed of from Q4 2019 to Q4 2020. Comparable Property property operating income ("Comparable Property POI") is a non-GAAP measure used by management in evaluating the operating performance of our properties period over period. However, given the impacts of COVID-19, management believes this metric is less relevant in the current environment, and is not necessarily indicative of results. The amounts shown below for the years ended December 31, 2020 and 2019 reflect the summation of our reported quarterly results during 2020.</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jc w:val="center"/>
              <w:ind w:right="137"/>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tcPr>
          <w:p>
            <w:pPr>
              <w:jc w:val="center"/>
              <w:ind w:right="137"/>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176,221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289,524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470,911</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Add: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61,431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255,027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239,758</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10,707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7"/>
                <w:szCs w:val="17"/>
                <w:color w:val="auto"/>
              </w:rPr>
              <w:t>41,680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37"/>
              <w:spacing w:after="0"/>
              <w:rPr>
                <w:sz w:val="20"/>
                <w:szCs w:val="20"/>
                <w:color w:val="auto"/>
              </w:rPr>
            </w:pPr>
            <w:r>
              <w:rPr>
                <w:rFonts w:ascii="Arial" w:cs="Arial" w:eastAsia="Arial" w:hAnsi="Arial"/>
                <w:sz w:val="17"/>
                <w:szCs w:val="17"/>
                <w:color w:val="auto"/>
              </w:rPr>
              <w:t>42,754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charge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57,218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on sale of real estate, net of tax</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(85,903)</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(98,117)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(116,393)</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operating income (POI)</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162,456</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545,332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637,030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Less: Non-comparable POI - acquisitions/dispositions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(4,261)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7"/>
                <w:szCs w:val="17"/>
                <w:color w:val="auto"/>
              </w:rPr>
              <w:t>(15,275)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7"/>
              <w:spacing w:after="0"/>
              <w:rPr>
                <w:sz w:val="20"/>
                <w:szCs w:val="20"/>
                <w:color w:val="auto"/>
              </w:rPr>
            </w:pPr>
            <w:r>
              <w:rPr>
                <w:rFonts w:ascii="Arial" w:cs="Arial" w:eastAsia="Arial" w:hAnsi="Arial"/>
                <w:sz w:val="17"/>
                <w:szCs w:val="17"/>
                <w:color w:val="auto"/>
              </w:rPr>
              <w:t>(11,744)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Non-comparable POI - redevelopment, development &amp; other</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7"/>
                <w:szCs w:val="17"/>
                <w:color w:val="auto"/>
              </w:rPr>
              <w:t>(23,504)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(10,191)</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7"/>
                <w:szCs w:val="17"/>
                <w:color w:val="auto"/>
              </w:rPr>
              <w:t>Comparable Property POI</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129,155</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153,322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20"/>
              <w:spacing w:after="0"/>
              <w:rPr>
                <w:sz w:val="20"/>
                <w:szCs w:val="20"/>
                <w:color w:val="auto"/>
              </w:rPr>
            </w:pPr>
            <w:r>
              <w:rPr>
                <w:rFonts w:ascii="Arial" w:cs="Arial" w:eastAsia="Arial" w:hAnsi="Arial"/>
                <w:sz w:val="17"/>
                <w:szCs w:val="17"/>
                <w:color w:val="auto"/>
              </w:rPr>
              <w:t>506,553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37"/>
              <w:spacing w:after="0"/>
              <w:rPr>
                <w:sz w:val="20"/>
                <w:szCs w:val="20"/>
                <w:color w:val="auto"/>
              </w:rPr>
            </w:pPr>
            <w:r>
              <w:rPr>
                <w:rFonts w:ascii="Arial" w:cs="Arial" w:eastAsia="Arial" w:hAnsi="Arial"/>
                <w:sz w:val="17"/>
                <w:szCs w:val="17"/>
                <w:color w:val="auto"/>
              </w:rPr>
              <w:t>615,095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6160" w:type="dxa"/>
            <w:vAlign w:val="bottom"/>
            <w:gridSpan w:val="4"/>
          </w:tcPr>
          <w:p>
            <w:pPr>
              <w:ind w:left="20"/>
              <w:spacing w:after="0"/>
              <w:rPr>
                <w:sz w:val="20"/>
                <w:szCs w:val="20"/>
                <w:color w:val="auto"/>
              </w:rPr>
            </w:pPr>
            <w:r>
              <w:rPr>
                <w:rFonts w:ascii="Arial" w:cs="Arial" w:eastAsia="Arial" w:hAnsi="Arial"/>
                <w:sz w:val="17"/>
                <w:szCs w:val="17"/>
                <w:i w:val="1"/>
                <w:iCs w:val="1"/>
                <w:color w:val="auto"/>
              </w:rPr>
              <w:t>Additional information regarding the components of Comparable Property POI</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4"/>
          </w:tcPr>
          <w:p>
            <w:pPr>
              <w:jc w:val="center"/>
              <w:ind w:right="137"/>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jc w:val="right"/>
              <w:ind w:right="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4"/>
          </w:tcPr>
          <w:p>
            <w:pPr>
              <w:jc w:val="center"/>
              <w:ind w:right="15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income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223,855</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766,293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880,282</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(43,523)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(151,690)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(160,878)</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Real estate taxes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(27,010)</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(108,050)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(104,309)</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(70,533)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(259,740)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(265,187)</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Comparable Property POI</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153,322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506,553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615,095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415"/>
        </w:trPr>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Comparable Property - Summary of Capital Expenditures (1)</w:t>
            </w:r>
          </w:p>
        </w:tc>
        <w:tc>
          <w:tcPr>
            <w:tcW w:w="220" w:type="dxa"/>
            <w:vAlign w:val="bottom"/>
          </w:tcPr>
          <w:p>
            <w:pPr>
              <w:spacing w:after="0"/>
              <w:rPr>
                <w:sz w:val="24"/>
                <w:szCs w:val="24"/>
                <w:color w:val="auto"/>
              </w:rPr>
            </w:pPr>
          </w:p>
        </w:tc>
        <w:tc>
          <w:tcPr>
            <w:tcW w:w="1820" w:type="dxa"/>
            <w:vAlign w:val="bottom"/>
            <w:gridSpan w:val="4"/>
            <w:vMerge w:val="restart"/>
          </w:tcPr>
          <w:p>
            <w:pPr>
              <w:jc w:val="center"/>
              <w:ind w:right="137"/>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vMerge w:val="restart"/>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4"/>
          </w:tcPr>
          <w:p>
            <w:pPr>
              <w:jc w:val="center"/>
              <w:ind w:right="15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right="5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Redevelopment and tenant improvements and incentives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41,209</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118,884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119,703</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Maintenance capital expenditures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12,263</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13,661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22,649</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53,472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132,545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142,352</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Comparable Property - Occupancy Statistics (2)</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vMerge w:val="restart"/>
          </w:tcPr>
          <w:p>
            <w:pPr>
              <w:jc w:val="center"/>
              <w:ind w:right="57"/>
              <w:spacing w:after="0"/>
              <w:rPr>
                <w:sz w:val="20"/>
                <w:szCs w:val="20"/>
                <w:color w:val="auto"/>
              </w:rPr>
            </w:pPr>
            <w:r>
              <w:rPr>
                <w:rFonts w:ascii="Arial" w:cs="Arial" w:eastAsia="Arial" w:hAnsi="Arial"/>
                <w:sz w:val="14"/>
                <w:szCs w:val="14"/>
                <w:b w:val="1"/>
                <w:bCs w:val="1"/>
                <w:color w:val="auto"/>
                <w:w w:val="92"/>
              </w:rPr>
              <w:t>At 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GLA - comparable commercial properties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w w:val="91"/>
              </w:rPr>
              <w:t>22,118,000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9"/>
              </w:rPr>
              <w:t>22,151,000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Leased % - comparable commercial properties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95.1 %</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 % - comparable commercial properties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93.4 %</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11 for "Summary of Capital Expenditures" for our entire portfolio.</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30 for entire portfolio occupancy statistics.</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945"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83"/>
        </w:trPr>
        <w:tc>
          <w:tcPr>
            <w:tcW w:w="8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6"/>
              </w:rPr>
              <w:t>(in thousands, except per share data)</w:t>
            </w: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Common shares outstanding and operating partnership units (1)</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77,472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76,150</w:t>
            </w:r>
          </w:p>
        </w:tc>
      </w:tr>
      <w:tr>
        <w:trPr>
          <w:trHeight w:val="23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price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85.12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128.73</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6,594,417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9,802,790</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100" w:type="dxa"/>
            <w:vAlign w:val="bottom"/>
          </w:tcPr>
          <w:p>
            <w:pPr>
              <w:ind w:left="280"/>
              <w:spacing w:after="0"/>
              <w:rPr>
                <w:sz w:val="20"/>
                <w:szCs w:val="20"/>
                <w:color w:val="auto"/>
              </w:rPr>
            </w:pPr>
            <w:r>
              <w:rPr>
                <w:rFonts w:ascii="Arial" w:cs="Arial" w:eastAsia="Arial" w:hAnsi="Arial"/>
                <w:sz w:val="18"/>
                <w:szCs w:val="18"/>
                <w:color w:val="auto"/>
              </w:rPr>
              <w:t>Series C preferred shares outstanding</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Liquidation price per Series C preferred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25,000.00</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C preferred equity market capitalization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150,000</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Series 1 preferred shares outstanding (2)</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Liquidation price per Series 1 preferred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1 preferred equity market capitalization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10,000</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Equity market capitalization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6,754,417</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9,962,790</w:t>
            </w:r>
          </w:p>
        </w:tc>
      </w:tr>
      <w:tr>
        <w:trPr>
          <w:trHeight w:val="216"/>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4,291,375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3,356,594</w:t>
            </w:r>
          </w:p>
        </w:tc>
      </w:tr>
      <w:tr>
        <w:trPr>
          <w:trHeight w:val="23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(798,329)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(127,432)</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net debt (3)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3,493,046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3,229,162</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223"/>
        </w:trPr>
        <w:tc>
          <w:tcPr>
            <w:tcW w:w="8100" w:type="dxa"/>
            <w:vAlign w:val="bottom"/>
          </w:tcPr>
          <w:p>
            <w:pPr>
              <w:ind w:left="280"/>
              <w:spacing w:after="0"/>
              <w:rPr>
                <w:sz w:val="20"/>
                <w:szCs w:val="20"/>
                <w:color w:val="auto"/>
              </w:rPr>
            </w:pPr>
            <w:r>
              <w:rPr>
                <w:rFonts w:ascii="Arial" w:cs="Arial" w:eastAsia="Arial" w:hAnsi="Arial"/>
                <w:sz w:val="18"/>
                <w:szCs w:val="18"/>
                <w:color w:val="auto"/>
              </w:rPr>
              <w:t>Total market capitalization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10,247,463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3"/>
              </w:rPr>
              <w:t>13,191,952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8100" w:type="dxa"/>
            <w:vAlign w:val="bottom"/>
          </w:tcPr>
          <w:p>
            <w:pPr>
              <w:ind w:left="280"/>
              <w:spacing w:after="0"/>
              <w:rPr>
                <w:sz w:val="20"/>
                <w:szCs w:val="20"/>
                <w:color w:val="auto"/>
              </w:rPr>
            </w:pPr>
            <w:r>
              <w:rPr>
                <w:rFonts w:ascii="Arial" w:cs="Arial" w:eastAsia="Arial" w:hAnsi="Arial"/>
                <w:sz w:val="18"/>
                <w:szCs w:val="18"/>
                <w:color w:val="auto"/>
              </w:rPr>
              <w:t>Total net debt to market capitalization at market price per common share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100" w:type="dxa"/>
            <w:vAlign w:val="bottom"/>
          </w:tcPr>
          <w:p>
            <w:pPr>
              <w:ind w:left="280"/>
              <w:spacing w:after="0"/>
              <w:rPr>
                <w:sz w:val="20"/>
                <w:szCs w:val="20"/>
                <w:color w:val="auto"/>
              </w:rPr>
            </w:pPr>
            <w:r>
              <w:rPr>
                <w:rFonts w:ascii="Arial" w:cs="Arial" w:eastAsia="Arial" w:hAnsi="Arial"/>
                <w:sz w:val="18"/>
                <w:szCs w:val="18"/>
                <w:color w:val="auto"/>
              </w:rPr>
              <w:t>Total net debt to market capitalization at constant common share price of $128.73</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include 744,617 and 609,584 operating partnership units outstanding at December 31, 2020 and 2019,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2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As of December 31, 2020</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Stated maturity date</w:t>
            </w: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Stated interest rate</w:t>
            </w:r>
          </w:p>
        </w:tc>
        <w:tc>
          <w:tcPr>
            <w:tcW w:w="180" w:type="dxa"/>
            <w:vAlign w:val="bottom"/>
          </w:tcPr>
          <w:p>
            <w:pPr>
              <w:spacing w:after="0"/>
              <w:rPr>
                <w:sz w:val="11"/>
                <w:szCs w:val="11"/>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Balance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right"/>
              <w:ind w:right="119"/>
              <w:spacing w:after="0" w:line="13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effective rate (8)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460" w:type="dxa"/>
            <w:vAlign w:val="bottom"/>
            <w:gridSpan w:val="4"/>
            <w:shd w:val="clear" w:color="auto" w:fill="CCEEFF"/>
          </w:tcPr>
          <w:p>
            <w:pPr>
              <w:spacing w:after="0" w:line="177" w:lineRule="exact"/>
              <w:rPr>
                <w:sz w:val="20"/>
                <w:szCs w:val="20"/>
                <w:color w:val="auto"/>
              </w:rPr>
            </w:pPr>
            <w:r>
              <w:rPr>
                <w:rFonts w:ascii="Arial" w:cs="Arial" w:eastAsia="Arial" w:hAnsi="Arial"/>
                <w:sz w:val="16"/>
                <w:szCs w:val="16"/>
                <w:color w:val="auto"/>
              </w:rPr>
              <w:t>Mortgages payable (1)</w:t>
            </w: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i w:val="1"/>
                <w:iCs w:val="1"/>
                <w:color w:val="auto"/>
              </w:rPr>
              <w:t>Secured fixed rate</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Sylmar Towne Center (2)</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6/6/2021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Plaza Del Sol</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12/1/2021</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8,041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Montrose Crossing</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65,596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11/1/2025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Bell Gardens</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8/1/2026</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12,408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6/5/2027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The Grove at Shrewsbury (East)</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9/1/2027</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Hoboken (24 Buildings) (3)</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12/15/2029</w:t>
            </w:r>
          </w:p>
        </w:tc>
        <w:tc>
          <w:tcPr>
            <w:tcW w:w="14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LIBOR + 1.95%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Various Hoboken (14 Buildings)</w:t>
            </w: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Various through 2029</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Various (4)</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Chelsea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5,234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Hoboken (1 Building) (5)</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7/1/2042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6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486,035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6"/>
            <w:shd w:val="clear" w:color="auto" w:fill="CCEEFF"/>
          </w:tcPr>
          <w:p>
            <w:pPr>
              <w:ind w:left="900"/>
              <w:spacing w:after="0"/>
              <w:rPr>
                <w:sz w:val="20"/>
                <w:szCs w:val="20"/>
                <w:color w:val="auto"/>
              </w:rPr>
            </w:pPr>
            <w:r>
              <w:rPr>
                <w:rFonts w:ascii="Arial" w:cs="Arial" w:eastAsia="Arial" w:hAnsi="Arial"/>
                <w:sz w:val="16"/>
                <w:szCs w:val="16"/>
                <w:color w:val="auto"/>
              </w:rPr>
              <w:t>Net unamortized premium and debt issuance costs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mortgages payable, net</w:t>
            </w:r>
          </w:p>
        </w:tc>
        <w:tc>
          <w:tcPr>
            <w:tcW w:w="1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484,111</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3.97 %</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gridSpan w:val="4"/>
          </w:tcPr>
          <w:p>
            <w:pPr>
              <w:spacing w:after="0" w:line="175" w:lineRule="exact"/>
              <w:rPr>
                <w:sz w:val="20"/>
                <w:szCs w:val="20"/>
                <w:color w:val="auto"/>
              </w:rPr>
            </w:pPr>
            <w:r>
              <w:rPr>
                <w:rFonts w:ascii="Arial" w:cs="Arial" w:eastAsia="Arial" w:hAnsi="Arial"/>
                <w:sz w:val="16"/>
                <w:szCs w:val="16"/>
                <w:color w:val="auto"/>
              </w:rPr>
              <w:t>Notes payable</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Term loan</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5/6/2021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LIBOR + 1.35%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Revolving credit facility (6)</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1/19/2024</w:t>
            </w:r>
          </w:p>
        </w:tc>
        <w:tc>
          <w:tcPr>
            <w:tcW w:w="14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LIBOR + 0.775%</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Various through 2028</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11.31%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403,270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900"/>
              <w:spacing w:after="0"/>
              <w:rPr>
                <w:sz w:val="20"/>
                <w:szCs w:val="20"/>
                <w:color w:val="auto"/>
              </w:rPr>
            </w:pPr>
            <w:r>
              <w:rPr>
                <w:rFonts w:ascii="Arial" w:cs="Arial" w:eastAsia="Arial" w:hAnsi="Arial"/>
                <w:sz w:val="16"/>
                <w:szCs w:val="16"/>
                <w:color w:val="auto"/>
                <w:w w:val="96"/>
              </w:rPr>
              <w:t>Net unamortized debt issuance costs</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notes payable, net</w:t>
            </w:r>
          </w:p>
        </w:tc>
        <w:tc>
          <w:tcPr>
            <w:tcW w:w="1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402,776</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2.00 %</w:t>
            </w:r>
          </w:p>
        </w:tc>
        <w:tc>
          <w:tcPr>
            <w:tcW w:w="3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4"/>
          </w:tcPr>
          <w:p>
            <w:pPr>
              <w:spacing w:after="0" w:line="175" w:lineRule="exact"/>
              <w:rPr>
                <w:sz w:val="20"/>
                <w:szCs w:val="20"/>
                <w:color w:val="auto"/>
              </w:rPr>
            </w:pPr>
            <w:r>
              <w:rPr>
                <w:rFonts w:ascii="Arial" w:cs="Arial" w:eastAsia="Arial" w:hAnsi="Arial"/>
                <w:sz w:val="16"/>
                <w:szCs w:val="16"/>
                <w:color w:val="auto"/>
              </w:rPr>
              <w:t>Senior notes and debentures</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i w:val="1"/>
                <w:iCs w:val="1"/>
                <w:color w:val="auto"/>
              </w:rPr>
              <w:t>Unsecured fixed rate</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2.75%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1.25%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2/15/2026</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3.25%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7/15/2027</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3.20%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6/15/2029</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3.50%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6/1/2030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4.50%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12/1/2044</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8/1/2046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6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6"/>
            <w:shd w:val="clear" w:color="auto" w:fill="CCEEFF"/>
          </w:tcPr>
          <w:p>
            <w:pPr>
              <w:ind w:left="900"/>
              <w:spacing w:after="0"/>
              <w:rPr>
                <w:sz w:val="20"/>
                <w:szCs w:val="20"/>
                <w:color w:val="auto"/>
              </w:rPr>
            </w:pPr>
            <w:r>
              <w:rPr>
                <w:rFonts w:ascii="Arial" w:cs="Arial" w:eastAsia="Arial" w:hAnsi="Arial"/>
                <w:sz w:val="16"/>
                <w:szCs w:val="16"/>
                <w:color w:val="auto"/>
              </w:rPr>
              <w:t>Net unamortized discount and debt issuance costs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3,404,488</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3.48 %</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gridSpan w:val="4"/>
          </w:tcPr>
          <w:p>
            <w:pPr>
              <w:ind w:left="380"/>
              <w:spacing w:after="0" w:line="183" w:lineRule="exact"/>
              <w:rPr>
                <w:sz w:val="20"/>
                <w:szCs w:val="20"/>
                <w:color w:val="auto"/>
              </w:rPr>
            </w:pPr>
            <w:r>
              <w:rPr>
                <w:rFonts w:ascii="Arial" w:cs="Arial" w:eastAsia="Arial" w:hAnsi="Arial"/>
                <w:sz w:val="16"/>
                <w:szCs w:val="16"/>
                <w:color w:val="auto"/>
              </w:rPr>
              <w:t>Total debt, net</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4,291,375</w:t>
            </w:r>
          </w:p>
        </w:tc>
        <w:tc>
          <w:tcPr>
            <w:tcW w:w="100" w:type="dxa"/>
            <w:vAlign w:val="bottom"/>
          </w:tcPr>
          <w:p>
            <w:pPr>
              <w:spacing w:after="0"/>
              <w:rPr>
                <w:sz w:val="15"/>
                <w:szCs w:val="15"/>
                <w:color w:val="auto"/>
              </w:rPr>
            </w:pPr>
          </w:p>
        </w:tc>
        <w:tc>
          <w:tcPr>
            <w:tcW w:w="900" w:type="dxa"/>
            <w:vAlign w:val="bottom"/>
          </w:tcPr>
          <w:p>
            <w:pPr>
              <w:jc w:val="right"/>
              <w:ind w:right="619"/>
              <w:spacing w:after="0" w:line="183" w:lineRule="exact"/>
              <w:rPr>
                <w:sz w:val="20"/>
                <w:szCs w:val="20"/>
                <w:color w:val="auto"/>
              </w:rPr>
            </w:pPr>
            <w:r>
              <w:rPr>
                <w:rFonts w:ascii="Arial" w:cs="Arial" w:eastAsia="Arial" w:hAnsi="Arial"/>
                <w:sz w:val="16"/>
                <w:szCs w:val="16"/>
                <w:color w:val="auto"/>
                <w:w w:val="91"/>
              </w:rPr>
              <w:t>(7)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6"/>
                <w:szCs w:val="16"/>
                <w:color w:val="auto"/>
              </w:rPr>
              <w:t>Total fixed rate debt, net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3,891,815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3.54 %</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variable rate debt, net</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399,560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6"/>
                <w:szCs w:val="16"/>
                <w:color w:val="auto"/>
              </w:rPr>
              <w:t>Total debt, net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4,291,375</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3.39 %</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400" w:top="1030"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1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9"/>
              </w:rPr>
              <w:t>2019</w:t>
            </w: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color w:val="auto"/>
                <w:w w:val="91"/>
              </w:rPr>
              <w:t>Operational Statistics</w:t>
            </w:r>
          </w:p>
        </w:tc>
        <w:tc>
          <w:tcPr>
            <w:tcW w:w="57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color w:val="auto"/>
              </w:rPr>
              <w:t>Excluding early extinguishment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Ratio of EBITDAre to combined fixed charges and preferred share dividends (10)</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2.76x</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4.17x</w:t>
            </w:r>
          </w:p>
        </w:tc>
        <w:tc>
          <w:tcPr>
            <w:tcW w:w="138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2.90x</w:t>
            </w:r>
          </w:p>
        </w:tc>
        <w:tc>
          <w:tcPr>
            <w:tcW w:w="6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4.16x</w:t>
            </w:r>
          </w:p>
        </w:tc>
      </w:tr>
      <w:tr>
        <w:trPr>
          <w:trHeight w:val="213"/>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color w:val="auto"/>
              </w:rPr>
              <w:t>Including early extinguishment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Ratio of EBITDAre to combined fixed charges and preferred share dividends (10) (11)</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2.23x</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4.17x</w:t>
            </w:r>
          </w:p>
        </w:tc>
        <w:tc>
          <w:tcPr>
            <w:tcW w:w="138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2.72x</w:t>
            </w:r>
          </w:p>
        </w:tc>
        <w:tc>
          <w:tcPr>
            <w:tcW w:w="6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4.16x</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jc w:val="both"/>
        <w:ind w:left="660" w:right="20" w:hanging="652"/>
        <w:spacing w:after="0" w:line="286" w:lineRule="auto"/>
        <w:tabs>
          <w:tab w:leader="none" w:pos="658" w:val="left"/>
        </w:tabs>
        <w:numPr>
          <w:ilvl w:val="0"/>
          <w:numId w:val="14"/>
        </w:numPr>
        <w:rPr>
          <w:rFonts w:ascii="Arial" w:cs="Arial" w:eastAsia="Arial" w:hAnsi="Arial"/>
          <w:sz w:val="13"/>
          <w:szCs w:val="13"/>
          <w:color w:val="auto"/>
        </w:rPr>
      </w:pPr>
      <w:r>
        <w:rPr>
          <w:rFonts w:ascii="Arial" w:cs="Arial" w:eastAsia="Arial" w:hAnsi="Arial"/>
          <w:sz w:val="13"/>
          <w:szCs w:val="13"/>
          <w:color w:val="auto"/>
        </w:rPr>
        <w:t>Mortgages payable does not include our share of debt on our unconsolidated real estate partnerships. At December 31, 2020, our share of unconsolidated debt was approximately $53.3 million, of which $25.2 million was repaid on January 4, 2021 when we acquired our partner's 20% interest in our joint venture arrangement related to the Pike &amp; Rose hotel. See page 22 for additional information on this transaction. At December 31, 2020, our noncontrolling interests' share of mortgages payable was $47.8 million.</w:t>
      </w:r>
    </w:p>
    <w:p>
      <w:pPr>
        <w:spacing w:after="0" w:line="5" w:lineRule="exact"/>
        <w:rPr>
          <w:rFonts w:ascii="Arial" w:cs="Arial" w:eastAsia="Arial" w:hAnsi="Arial"/>
          <w:sz w:val="13"/>
          <w:szCs w:val="13"/>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mortgage loan was repaid prior to its original maturity date on February 5, 2021, at par.</w:t>
      </w:r>
    </w:p>
    <w:p>
      <w:pPr>
        <w:spacing w:after="0" w:line="59"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r>
        <w:rPr>
          <w:rFonts w:ascii="Arial" w:cs="Arial" w:eastAsia="Arial" w:hAnsi="Arial"/>
          <w:sz w:val="17"/>
          <w:szCs w:val="17"/>
          <w:color w:val="auto"/>
        </w:rPr>
        <w:t>.</w:t>
      </w:r>
    </w:p>
    <w:p>
      <w:pPr>
        <w:spacing w:after="0" w:line="70"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right="60" w:hanging="652"/>
        <w:spacing w:after="0" w:line="273" w:lineRule="auto"/>
        <w:tabs>
          <w:tab w:leader="none" w:pos="65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mortgage loan has a fixed interest rate, however, the rate resets every five years until maturity. The current interest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three months ended December 31, 2020, there were no borrowings on our revolving credit facility.</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9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9.</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debt fee amortization on our revolving credit facility.</w:t>
      </w:r>
    </w:p>
    <w:p>
      <w:pPr>
        <w:spacing w:after="0" w:line="55" w:lineRule="exact"/>
        <w:rPr>
          <w:rFonts w:ascii="Arial" w:cs="Arial" w:eastAsia="Arial" w:hAnsi="Arial"/>
          <w:sz w:val="14"/>
          <w:szCs w:val="14"/>
          <w:color w:val="auto"/>
        </w:rPr>
      </w:pPr>
    </w:p>
    <w:p>
      <w:pPr>
        <w:ind w:left="660" w:right="60" w:hanging="652"/>
        <w:spacing w:after="0" w:line="273" w:lineRule="auto"/>
        <w:tabs>
          <w:tab w:leader="none" w:pos="649"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EBITDAre is reconciled to net income in the Glossary of Terms.</w:t>
      </w:r>
    </w:p>
    <w:p>
      <w:pPr>
        <w:spacing w:after="0" w:line="11" w:lineRule="exact"/>
        <w:rPr>
          <w:rFonts w:ascii="Arial" w:cs="Arial" w:eastAsia="Arial" w:hAnsi="Arial"/>
          <w:sz w:val="14"/>
          <w:szCs w:val="14"/>
          <w:color w:val="auto"/>
        </w:rPr>
      </w:pPr>
    </w:p>
    <w:p>
      <w:pPr>
        <w:ind w:left="660" w:right="160" w:hanging="652"/>
        <w:spacing w:after="0" w:line="257" w:lineRule="auto"/>
        <w:tabs>
          <w:tab w:leader="none" w:pos="6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ratio of EBITDAre to combined fixed charges and preferred share dividends for the year ended December 31, 2019 includes the $11.9 million charge related to the buyout of the Kmart lease at Assembly Square Marketplace. Excluding the $11.9 million charge related to the buyout of the Kmart lease at Assembly Square Marketplace in 2019, our ratio of EBITDAre to combined fixed charges and preferred share dividends would have been 4.24x.</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21"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86"/>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8"/>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Cumulative</w:t>
            </w:r>
          </w:p>
        </w:tc>
        <w:tc>
          <w:tcPr>
            <w:tcW w:w="16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Maturities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Average Rate (3)</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423,921</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428,777</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116,323</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120,457</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c>
          <w:tcPr>
            <w:tcW w:w="1520" w:type="dxa"/>
            <w:vAlign w:val="bottom"/>
          </w:tcPr>
          <w:p>
            <w:pPr>
              <w:jc w:val="right"/>
              <w:spacing w:after="0"/>
              <w:rPr>
                <w:sz w:val="20"/>
                <w:szCs w:val="20"/>
                <w:color w:val="auto"/>
              </w:rPr>
            </w:pPr>
            <w:r>
              <w:rPr>
                <w:rFonts w:ascii="Arial" w:cs="Arial" w:eastAsia="Arial" w:hAnsi="Arial"/>
                <w:sz w:val="18"/>
                <w:szCs w:val="18"/>
                <w:color w:val="auto"/>
              </w:rPr>
              <w:t>12.7 %</w:t>
            </w:r>
          </w:p>
        </w:tc>
        <w:tc>
          <w:tcPr>
            <w:tcW w:w="1660" w:type="dxa"/>
            <w:vAlign w:val="bottom"/>
          </w:tcPr>
          <w:p>
            <w:pPr>
              <w:ind w:left="84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604,344</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14.0 %</w:t>
            </w:r>
          </w:p>
        </w:tc>
        <w:tc>
          <w:tcPr>
            <w:tcW w:w="1520" w:type="dxa"/>
            <w:vAlign w:val="bottom"/>
          </w:tcPr>
          <w:p>
            <w:pPr>
              <w:jc w:val="right"/>
              <w:spacing w:after="0"/>
              <w:rPr>
                <w:sz w:val="20"/>
                <w:szCs w:val="20"/>
                <w:color w:val="auto"/>
              </w:rPr>
            </w:pPr>
            <w:r>
              <w:rPr>
                <w:rFonts w:ascii="Arial" w:cs="Arial" w:eastAsia="Arial" w:hAnsi="Arial"/>
                <w:sz w:val="18"/>
                <w:szCs w:val="18"/>
                <w:color w:val="auto"/>
              </w:rPr>
              <w:t>33.2 %</w:t>
            </w:r>
          </w:p>
        </w:tc>
        <w:tc>
          <w:tcPr>
            <w:tcW w:w="1660" w:type="dxa"/>
            <w:vAlign w:val="bottom"/>
          </w:tcPr>
          <w:p>
            <w:pPr>
              <w:ind w:left="840"/>
              <w:spacing w:after="0"/>
              <w:rPr>
                <w:sz w:val="20"/>
                <w:szCs w:val="20"/>
                <w:color w:val="auto"/>
              </w:rPr>
            </w:pPr>
            <w:r>
              <w:rPr>
                <w:rFonts w:ascii="Arial" w:cs="Arial" w:eastAsia="Arial" w:hAnsi="Arial"/>
                <w:sz w:val="18"/>
                <w:szCs w:val="18"/>
                <w:color w:val="auto"/>
              </w:rPr>
              <w:t xml:space="preserve">3.7 % </w:t>
            </w: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1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452,450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455,915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10.6 %</w:t>
            </w:r>
          </w:p>
        </w:tc>
        <w:tc>
          <w:tcPr>
            <w:tcW w:w="1520" w:type="dxa"/>
            <w:vAlign w:val="bottom"/>
          </w:tcPr>
          <w:p>
            <w:pPr>
              <w:jc w:val="right"/>
              <w:spacing w:after="0"/>
              <w:rPr>
                <w:sz w:val="20"/>
                <w:szCs w:val="20"/>
                <w:color w:val="auto"/>
              </w:rPr>
            </w:pPr>
            <w:r>
              <w:rPr>
                <w:rFonts w:ascii="Arial" w:cs="Arial" w:eastAsia="Arial" w:hAnsi="Arial"/>
                <w:sz w:val="18"/>
                <w:szCs w:val="18"/>
                <w:color w:val="auto"/>
              </w:rPr>
              <w:t>44.9 %</w:t>
            </w:r>
          </w:p>
        </w:tc>
        <w:tc>
          <w:tcPr>
            <w:tcW w:w="1660" w:type="dxa"/>
            <w:vAlign w:val="bottom"/>
          </w:tcPr>
          <w:p>
            <w:pPr>
              <w:ind w:left="8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690,570</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693,618</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61.0 %</w:t>
            </w:r>
          </w:p>
        </w:tc>
        <w:tc>
          <w:tcPr>
            <w:tcW w:w="1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520" w:type="dxa"/>
            <w:vAlign w:val="bottom"/>
          </w:tcPr>
          <w:p>
            <w:pPr>
              <w:jc w:val="right"/>
              <w:spacing w:after="0"/>
              <w:rPr>
                <w:sz w:val="20"/>
                <w:szCs w:val="20"/>
                <w:color w:val="auto"/>
              </w:rPr>
            </w:pPr>
            <w:r>
              <w:rPr>
                <w:rFonts w:ascii="Arial" w:cs="Arial" w:eastAsia="Arial" w:hAnsi="Arial"/>
                <w:sz w:val="18"/>
                <w:szCs w:val="18"/>
                <w:color w:val="auto"/>
              </w:rPr>
              <w:t>61.1 %</w:t>
            </w:r>
          </w:p>
        </w:tc>
        <w:tc>
          <w:tcPr>
            <w:tcW w:w="1660" w:type="dxa"/>
            <w:vAlign w:val="bottom"/>
          </w:tcPr>
          <w:p>
            <w:pPr>
              <w:ind w:left="8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458,099</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460,869</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401,141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9.3 %</w:t>
            </w:r>
          </w:p>
        </w:tc>
        <w:tc>
          <w:tcPr>
            <w:tcW w:w="1520" w:type="dxa"/>
            <w:vAlign w:val="bottom"/>
          </w:tcPr>
          <w:p>
            <w:pPr>
              <w:jc w:val="right"/>
              <w:spacing w:after="0"/>
              <w:rPr>
                <w:sz w:val="20"/>
                <w:szCs w:val="20"/>
                <w:color w:val="auto"/>
              </w:rPr>
            </w:pPr>
            <w:r>
              <w:rPr>
                <w:rFonts w:ascii="Arial" w:cs="Arial" w:eastAsia="Arial" w:hAnsi="Arial"/>
                <w:sz w:val="18"/>
                <w:szCs w:val="18"/>
                <w:color w:val="auto"/>
              </w:rPr>
              <w:t>81.1 %</w:t>
            </w:r>
          </w:p>
        </w:tc>
        <w:tc>
          <w:tcPr>
            <w:tcW w:w="1660" w:type="dxa"/>
            <w:vAlign w:val="bottom"/>
          </w:tcPr>
          <w:p>
            <w:pPr>
              <w:ind w:left="8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805,899</w:t>
            </w: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812,770</w:t>
            </w:r>
          </w:p>
        </w:tc>
        <w:tc>
          <w:tcPr>
            <w:tcW w:w="3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18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41,945</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4,266,560</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4,308,505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May 6, 2020, we entered into a $400.0 million unsecured term loan, which matures on May 6, 2021. We have the option to extend the loan maturity one year to May 6, 2022.</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premium/discount and debt issuance costs on certain mortgage loans, note payable, and senior notes as of December 31, 2020.</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480" w:hanging="652"/>
        <w:spacing w:after="0" w:line="34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 average rate excludes $0.6 million in quarterly financing fees and debt fee amortization on our revolving credit facility, which had no balance outstanding at December 31, 2020. Our $1.0 billion revolving credit facility matures on January 19, 2024, plus two six month extensions at our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26" w:right="3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2020</w:t>
      </w:r>
    </w:p>
    <w:p>
      <w:pPr>
        <w:spacing w:after="0" w:line="140" w:lineRule="exact"/>
        <w:rPr>
          <w:sz w:val="20"/>
          <w:szCs w:val="20"/>
          <w:color w:val="auto"/>
        </w:rPr>
      </w:pPr>
    </w:p>
    <w:p>
      <w:pPr>
        <w:ind w:left="40" w:right="100"/>
        <w:spacing w:after="0" w:line="245" w:lineRule="auto"/>
        <w:rPr>
          <w:sz w:val="20"/>
          <w:szCs w:val="20"/>
          <w:color w:val="auto"/>
        </w:rPr>
      </w:pPr>
      <w:r>
        <w:rPr>
          <w:rFonts w:ascii="Arial" w:cs="Arial" w:eastAsia="Arial" w:hAnsi="Arial"/>
          <w:sz w:val="16"/>
          <w:szCs w:val="16"/>
          <w:b w:val="1"/>
          <w:bCs w:val="1"/>
          <w:color w:val="auto"/>
        </w:rPr>
        <w:t>The following redevelopment opportunities have received or will shortly receive all necessary approvals to proceed and are actively being worked on by the Trust (1)</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Impacts of COVID-19 Pandemic:</w:t>
      </w:r>
    </w:p>
    <w:p>
      <w:pPr>
        <w:spacing w:after="0" w:line="36" w:lineRule="exact"/>
        <w:rPr>
          <w:sz w:val="20"/>
          <w:szCs w:val="20"/>
          <w:color w:val="auto"/>
        </w:rPr>
      </w:pPr>
    </w:p>
    <w:p>
      <w:pPr>
        <w:ind w:left="40" w:right="380"/>
        <w:spacing w:after="0"/>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Projected</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7"/>
        </w:trPr>
        <w:tc>
          <w:tcPr>
            <w:tcW w:w="17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Property</w:t>
            </w:r>
          </w:p>
        </w:tc>
        <w:tc>
          <w:tcPr>
            <w:tcW w:w="12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Location</w:t>
            </w:r>
          </w:p>
        </w:tc>
        <w:tc>
          <w:tcPr>
            <w:tcW w:w="494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Opportunity</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ROI (2)</w:t>
            </w: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9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(in millions)</w:t>
            </w:r>
          </w:p>
        </w:tc>
        <w:tc>
          <w:tcPr>
            <w:tcW w:w="700" w:type="dxa"/>
            <w:vAlign w:val="bottom"/>
          </w:tcPr>
          <w:p>
            <w:pPr>
              <w:jc w:val="center"/>
              <w:spacing w:after="0" w:line="130" w:lineRule="exact"/>
              <w:rPr>
                <w:sz w:val="20"/>
                <w:szCs w:val="20"/>
                <w:color w:val="auto"/>
              </w:rPr>
            </w:pPr>
            <w:r>
              <w:rPr>
                <w:rFonts w:ascii="Arial" w:cs="Arial" w:eastAsia="Arial" w:hAnsi="Arial"/>
                <w:sz w:val="14"/>
                <w:szCs w:val="14"/>
                <w:color w:val="auto"/>
              </w:rPr>
              <w:t>(in</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w w:val="98"/>
              </w:rPr>
              <w:t>Project Stabilized in 2020</w:t>
            </w:r>
          </w:p>
        </w:tc>
        <w:tc>
          <w:tcPr>
            <w:tcW w:w="12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Wildwood</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Bethesda, MD</w:t>
            </w: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Stabilized</w:t>
            </w:r>
          </w:p>
        </w:tc>
        <w:tc>
          <w:tcPr>
            <w:tcW w:w="0" w:type="dxa"/>
            <w:vAlign w:val="bottom"/>
          </w:tcPr>
          <w:p>
            <w:pPr>
              <w:spacing w:after="0"/>
              <w:rPr>
                <w:sz w:val="1"/>
                <w:szCs w:val="1"/>
                <w:color w:val="auto"/>
              </w:rPr>
            </w:pPr>
          </w:p>
        </w:tc>
      </w:tr>
      <w:tr>
        <w:trPr>
          <w:trHeight w:val="181"/>
        </w:trPr>
        <w:tc>
          <w:tcPr>
            <w:tcW w:w="29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Project Stabilized in 2020 (3) (4)</w:t>
            </w:r>
          </w:p>
        </w:tc>
        <w:tc>
          <w:tcPr>
            <w:tcW w:w="494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7 %</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940" w:type="dxa"/>
            <w:vAlign w:val="bottom"/>
            <w:shd w:val="clear" w:color="auto" w:fill="CCEEFF"/>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ind w:left="20"/>
              <w:spacing w:after="0"/>
              <w:rPr>
                <w:sz w:val="20"/>
                <w:szCs w:val="20"/>
                <w:color w:val="auto"/>
              </w:rPr>
            </w:pPr>
            <w:r>
              <w:rPr>
                <w:rFonts w:ascii="Arial" w:cs="Arial" w:eastAsia="Arial" w:hAnsi="Arial"/>
                <w:sz w:val="14"/>
                <w:szCs w:val="14"/>
                <w:b w:val="1"/>
                <w:bCs w:val="1"/>
                <w:color w:val="auto"/>
              </w:rPr>
              <w:t>Active Redevelopment Projects</w:t>
            </w:r>
          </w:p>
        </w:tc>
        <w:tc>
          <w:tcPr>
            <w:tcW w:w="4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The Commons at Darien</w:t>
            </w:r>
          </w:p>
        </w:tc>
        <w:tc>
          <w:tcPr>
            <w:tcW w:w="1200" w:type="dxa"/>
            <w:vAlign w:val="bottom"/>
            <w:shd w:val="clear" w:color="auto" w:fill="CCEEFF"/>
          </w:tcPr>
          <w:p>
            <w:pPr>
              <w:ind w:left="100"/>
              <w:spacing w:after="0" w:line="137" w:lineRule="exact"/>
              <w:rPr>
                <w:sz w:val="20"/>
                <w:szCs w:val="20"/>
                <w:color w:val="auto"/>
              </w:rPr>
            </w:pPr>
            <w:r>
              <w:rPr>
                <w:rFonts w:ascii="Arial" w:cs="Arial" w:eastAsia="Arial" w:hAnsi="Arial"/>
                <w:sz w:val="14"/>
                <w:szCs w:val="14"/>
                <w:color w:val="auto"/>
              </w:rPr>
              <w:t>Darien, CT</w:t>
            </w:r>
          </w:p>
        </w:tc>
        <w:tc>
          <w:tcPr>
            <w:tcW w:w="494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w w:val="94"/>
              </w:rPr>
              <w:t>Demolition of a 45,000 square foot anchor space to construct 75,000 square feet of</w:t>
            </w:r>
          </w:p>
        </w:tc>
        <w:tc>
          <w:tcPr>
            <w:tcW w:w="74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color w:val="auto"/>
                <w:w w:val="79"/>
              </w:rPr>
              <w:t>%</w:t>
            </w:r>
          </w:p>
        </w:tc>
        <w:tc>
          <w:tcPr>
            <w:tcW w:w="820" w:type="dxa"/>
            <w:vAlign w:val="bottom"/>
            <w:shd w:val="clear" w:color="auto" w:fill="CCEEFF"/>
          </w:tcPr>
          <w:p>
            <w:pPr>
              <w:jc w:val="right"/>
              <w:ind w:right="8"/>
              <w:spacing w:after="0" w:line="137" w:lineRule="exact"/>
              <w:rPr>
                <w:sz w:val="20"/>
                <w:szCs w:val="20"/>
                <w:color w:val="auto"/>
              </w:rPr>
            </w:pPr>
            <w:r>
              <w:rPr>
                <w:rFonts w:ascii="Arial" w:cs="Arial" w:eastAsia="Arial" w:hAnsi="Arial"/>
                <w:sz w:val="14"/>
                <w:szCs w:val="14"/>
                <w:color w:val="auto"/>
                <w:w w:val="96"/>
              </w:rPr>
              <w:t>$110 - $120</w:t>
            </w:r>
          </w:p>
        </w:tc>
        <w:tc>
          <w:tcPr>
            <w:tcW w:w="70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color w:val="auto"/>
              </w:rPr>
              <w:t>$27</w:t>
            </w:r>
          </w:p>
        </w:tc>
        <w:tc>
          <w:tcPr>
            <w:tcW w:w="980" w:type="dxa"/>
            <w:vAlign w:val="bottom"/>
            <w:shd w:val="clear" w:color="auto" w:fill="CCEEFF"/>
          </w:tcPr>
          <w:p>
            <w:pPr>
              <w:jc w:val="center"/>
              <w:spacing w:after="0" w:line="137" w:lineRule="exact"/>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retail space, 122 rental apartments, and 720 parking spaces</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Cocowalk</w:t>
            </w:r>
          </w:p>
        </w:tc>
        <w:tc>
          <w:tcPr>
            <w:tcW w:w="1200" w:type="dxa"/>
            <w:vAlign w:val="bottom"/>
          </w:tcPr>
          <w:p>
            <w:pPr>
              <w:ind w:left="100"/>
              <w:spacing w:after="0" w:line="135" w:lineRule="exact"/>
              <w:rPr>
                <w:sz w:val="20"/>
                <w:szCs w:val="20"/>
                <w:color w:val="auto"/>
              </w:rPr>
            </w:pPr>
            <w:r>
              <w:rPr>
                <w:rFonts w:ascii="Arial" w:cs="Arial" w:eastAsia="Arial" w:hAnsi="Arial"/>
                <w:sz w:val="14"/>
                <w:szCs w:val="14"/>
                <w:color w:val="auto"/>
              </w:rPr>
              <w:t>Coconut Grove,</w:t>
            </w:r>
          </w:p>
        </w:tc>
        <w:tc>
          <w:tcPr>
            <w:tcW w:w="4940" w:type="dxa"/>
            <w:vAlign w:val="bottom"/>
          </w:tcPr>
          <w:p>
            <w:pPr>
              <w:ind w:left="40"/>
              <w:spacing w:after="0" w:line="135" w:lineRule="exact"/>
              <w:rPr>
                <w:sz w:val="20"/>
                <w:szCs w:val="20"/>
                <w:color w:val="auto"/>
              </w:rPr>
            </w:pPr>
            <w:r>
              <w:rPr>
                <w:rFonts w:ascii="Arial" w:cs="Arial" w:eastAsia="Arial" w:hAnsi="Arial"/>
                <w:sz w:val="14"/>
                <w:szCs w:val="14"/>
                <w:color w:val="auto"/>
              </w:rPr>
              <w:t>Entire shopping center redevelopment to include: demolition of three story east</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tcPr>
          <w:p>
            <w:pPr>
              <w:jc w:val="right"/>
              <w:spacing w:after="0" w:line="135" w:lineRule="exact"/>
              <w:rPr>
                <w:sz w:val="20"/>
                <w:szCs w:val="20"/>
                <w:color w:val="auto"/>
              </w:rPr>
            </w:pPr>
            <w:r>
              <w:rPr>
                <w:rFonts w:ascii="Arial" w:cs="Arial" w:eastAsia="Arial" w:hAnsi="Arial"/>
                <w:sz w:val="14"/>
                <w:szCs w:val="14"/>
                <w:color w:val="auto"/>
                <w:w w:val="79"/>
              </w:rPr>
              <w:t>%</w:t>
            </w:r>
          </w:p>
        </w:tc>
        <w:tc>
          <w:tcPr>
            <w:tcW w:w="820" w:type="dxa"/>
            <w:vAlign w:val="bottom"/>
          </w:tcPr>
          <w:p>
            <w:pPr>
              <w:jc w:val="right"/>
              <w:ind w:right="8"/>
              <w:spacing w:after="0" w:line="135" w:lineRule="exact"/>
              <w:rPr>
                <w:sz w:val="20"/>
                <w:szCs w:val="20"/>
                <w:color w:val="auto"/>
              </w:rPr>
            </w:pPr>
            <w:r>
              <w:rPr>
                <w:rFonts w:ascii="Arial" w:cs="Arial" w:eastAsia="Arial" w:hAnsi="Arial"/>
                <w:sz w:val="14"/>
                <w:szCs w:val="14"/>
                <w:color w:val="auto"/>
              </w:rPr>
              <w:t>$93 - $97</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$73</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0" w:type="dxa"/>
            <w:vAlign w:val="bottom"/>
          </w:tcPr>
          <w:p>
            <w:pPr>
              <w:ind w:left="100"/>
              <w:spacing w:after="0" w:line="135" w:lineRule="exact"/>
              <w:rPr>
                <w:sz w:val="20"/>
                <w:szCs w:val="20"/>
                <w:color w:val="auto"/>
              </w:rPr>
            </w:pPr>
            <w:r>
              <w:rPr>
                <w:rFonts w:ascii="Arial" w:cs="Arial" w:eastAsia="Arial" w:hAnsi="Arial"/>
                <w:sz w:val="14"/>
                <w:szCs w:val="14"/>
                <w:color w:val="auto"/>
              </w:rPr>
              <w:t>FL</w:t>
            </w:r>
          </w:p>
        </w:tc>
        <w:tc>
          <w:tcPr>
            <w:tcW w:w="4940" w:type="dxa"/>
            <w:vAlign w:val="bottom"/>
          </w:tcPr>
          <w:p>
            <w:pPr>
              <w:ind w:left="40"/>
              <w:spacing w:after="0" w:line="135" w:lineRule="exact"/>
              <w:rPr>
                <w:sz w:val="20"/>
                <w:szCs w:val="20"/>
                <w:color w:val="auto"/>
              </w:rPr>
            </w:pPr>
            <w:r>
              <w:rPr>
                <w:rFonts w:ascii="Arial" w:cs="Arial" w:eastAsia="Arial" w:hAnsi="Arial"/>
                <w:sz w:val="14"/>
                <w:szCs w:val="14"/>
                <w:color w:val="auto"/>
                <w:w w:val="96"/>
              </w:rPr>
              <w:t>wing of the property and construction of a 106,000 square foot 5-story office/retail</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940" w:type="dxa"/>
            <w:vAlign w:val="bottom"/>
          </w:tcPr>
          <w:p>
            <w:pPr>
              <w:ind w:left="40"/>
              <w:spacing w:after="0"/>
              <w:rPr>
                <w:sz w:val="20"/>
                <w:szCs w:val="20"/>
                <w:color w:val="auto"/>
              </w:rPr>
            </w:pPr>
            <w:r>
              <w:rPr>
                <w:rFonts w:ascii="Arial" w:cs="Arial" w:eastAsia="Arial" w:hAnsi="Arial"/>
                <w:sz w:val="14"/>
                <w:szCs w:val="14"/>
                <w:color w:val="auto"/>
                <w:w w:val="99"/>
              </w:rPr>
              <w:t>building with 24,000 square feet of retail; complete renovation of the west wing.</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Freedom Plaza (5)</w:t>
            </w:r>
          </w:p>
        </w:tc>
        <w:tc>
          <w:tcPr>
            <w:tcW w:w="120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Los Angeles, CA</w:t>
            </w:r>
          </w:p>
        </w:tc>
        <w:tc>
          <w:tcPr>
            <w:tcW w:w="49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9"/>
              </w:rPr>
              <w:t>%</w:t>
            </w:r>
          </w:p>
        </w:tc>
        <w:tc>
          <w:tcPr>
            <w:tcW w:w="820" w:type="dxa"/>
            <w:vAlign w:val="bottom"/>
            <w:shd w:val="clear" w:color="auto" w:fill="CCEEFF"/>
          </w:tcPr>
          <w:p>
            <w:pPr>
              <w:jc w:val="right"/>
              <w:ind w:right="8"/>
              <w:spacing w:after="0" w:line="139" w:lineRule="exact"/>
              <w:rPr>
                <w:sz w:val="20"/>
                <w:szCs w:val="20"/>
                <w:color w:val="auto"/>
              </w:rPr>
            </w:pPr>
            <w:r>
              <w:rPr>
                <w:rFonts w:ascii="Arial" w:cs="Arial" w:eastAsia="Arial" w:hAnsi="Arial"/>
                <w:sz w:val="14"/>
                <w:szCs w:val="14"/>
                <w:color w:val="auto"/>
              </w:rPr>
              <w:t>$38 - $42</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$33</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neighborhood shopping center</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Bala Cynwyd</w:t>
            </w:r>
          </w:p>
        </w:tc>
        <w:tc>
          <w:tcPr>
            <w:tcW w:w="1200" w:type="dxa"/>
            <w:vAlign w:val="bottom"/>
          </w:tcPr>
          <w:p>
            <w:pPr>
              <w:ind w:left="100"/>
              <w:spacing w:after="0" w:line="135" w:lineRule="exact"/>
              <w:rPr>
                <w:sz w:val="20"/>
                <w:szCs w:val="20"/>
                <w:color w:val="auto"/>
              </w:rPr>
            </w:pPr>
            <w:r>
              <w:rPr>
                <w:rFonts w:ascii="Arial" w:cs="Arial" w:eastAsia="Arial" w:hAnsi="Arial"/>
                <w:sz w:val="14"/>
                <w:szCs w:val="14"/>
                <w:color w:val="auto"/>
                <w:w w:val="99"/>
              </w:rPr>
              <w:t>Bala Cynwyd, PA</w:t>
            </w:r>
          </w:p>
        </w:tc>
        <w:tc>
          <w:tcPr>
            <w:tcW w:w="4940" w:type="dxa"/>
            <w:vAlign w:val="bottom"/>
          </w:tcPr>
          <w:p>
            <w:pPr>
              <w:ind w:left="40"/>
              <w:spacing w:after="0" w:line="135" w:lineRule="exact"/>
              <w:rPr>
                <w:sz w:val="20"/>
                <w:szCs w:val="20"/>
                <w:color w:val="auto"/>
              </w:rPr>
            </w:pPr>
            <w:r>
              <w:rPr>
                <w:rFonts w:ascii="Arial" w:cs="Arial" w:eastAsia="Arial" w:hAnsi="Arial"/>
                <w:sz w:val="14"/>
                <w:szCs w:val="14"/>
                <w:color w:val="auto"/>
                <w:w w:val="96"/>
              </w:rPr>
              <w:t>New 87 unit residential apartment building to be constructed on underutilized land</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tcPr>
          <w:p>
            <w:pPr>
              <w:jc w:val="right"/>
              <w:spacing w:after="0" w:line="135" w:lineRule="exact"/>
              <w:rPr>
                <w:sz w:val="20"/>
                <w:szCs w:val="20"/>
                <w:color w:val="auto"/>
              </w:rPr>
            </w:pPr>
            <w:r>
              <w:rPr>
                <w:rFonts w:ascii="Arial" w:cs="Arial" w:eastAsia="Arial" w:hAnsi="Arial"/>
                <w:sz w:val="14"/>
                <w:szCs w:val="14"/>
                <w:color w:val="auto"/>
                <w:w w:val="79"/>
              </w:rPr>
              <w:t>%</w:t>
            </w:r>
          </w:p>
        </w:tc>
        <w:tc>
          <w:tcPr>
            <w:tcW w:w="820" w:type="dxa"/>
            <w:vAlign w:val="bottom"/>
          </w:tcPr>
          <w:p>
            <w:pPr>
              <w:jc w:val="right"/>
              <w:ind w:right="8"/>
              <w:spacing w:after="0" w:line="135" w:lineRule="exact"/>
              <w:rPr>
                <w:sz w:val="20"/>
                <w:szCs w:val="20"/>
                <w:color w:val="auto"/>
              </w:rPr>
            </w:pPr>
            <w:r>
              <w:rPr>
                <w:rFonts w:ascii="Arial" w:cs="Arial" w:eastAsia="Arial" w:hAnsi="Arial"/>
                <w:sz w:val="14"/>
                <w:szCs w:val="14"/>
                <w:color w:val="auto"/>
              </w:rPr>
              <w:t>$22</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$22</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940" w:type="dxa"/>
            <w:vAlign w:val="bottom"/>
          </w:tcPr>
          <w:p>
            <w:pPr>
              <w:ind w:left="40"/>
              <w:spacing w:after="0"/>
              <w:rPr>
                <w:sz w:val="20"/>
                <w:szCs w:val="20"/>
                <w:color w:val="auto"/>
              </w:rPr>
            </w:pPr>
            <w:r>
              <w:rPr>
                <w:rFonts w:ascii="Arial" w:cs="Arial" w:eastAsia="Arial" w:hAnsi="Arial"/>
                <w:sz w:val="14"/>
                <w:szCs w:val="14"/>
                <w:color w:val="auto"/>
              </w:rPr>
              <w:t>behind our existing shopping center</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7021 Hollywood Blvd</w:t>
            </w:r>
          </w:p>
        </w:tc>
        <w:tc>
          <w:tcPr>
            <w:tcW w:w="120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Los Angeles, CA</w:t>
            </w:r>
          </w:p>
        </w:tc>
        <w:tc>
          <w:tcPr>
            <w:tcW w:w="49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color w:val="auto"/>
                <w:w w:val="96"/>
              </w:rPr>
              <w:t>Renovation of the center and three vacant spaces to accommodate a new 39,000</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9"/>
              </w:rPr>
              <w:t>%</w:t>
            </w:r>
          </w:p>
        </w:tc>
        <w:tc>
          <w:tcPr>
            <w:tcW w:w="820" w:type="dxa"/>
            <w:vAlign w:val="bottom"/>
            <w:shd w:val="clear" w:color="auto" w:fill="CCEEFF"/>
          </w:tcPr>
          <w:p>
            <w:pPr>
              <w:jc w:val="right"/>
              <w:ind w:right="8"/>
              <w:spacing w:after="0" w:line="139" w:lineRule="exact"/>
              <w:rPr>
                <w:sz w:val="20"/>
                <w:szCs w:val="20"/>
                <w:color w:val="auto"/>
              </w:rPr>
            </w:pPr>
            <w:r>
              <w:rPr>
                <w:rFonts w:ascii="Arial" w:cs="Arial" w:eastAsia="Arial" w:hAnsi="Arial"/>
                <w:sz w:val="14"/>
                <w:szCs w:val="14"/>
                <w:color w:val="auto"/>
              </w:rPr>
              <w:t>$19</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square foot anchor tenant</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Melville Mall</w:t>
            </w:r>
          </w:p>
        </w:tc>
        <w:tc>
          <w:tcPr>
            <w:tcW w:w="1200" w:type="dxa"/>
            <w:vAlign w:val="bottom"/>
          </w:tcPr>
          <w:p>
            <w:pPr>
              <w:ind w:left="100"/>
              <w:spacing w:after="0" w:line="135" w:lineRule="exact"/>
              <w:rPr>
                <w:sz w:val="20"/>
                <w:szCs w:val="20"/>
                <w:color w:val="auto"/>
              </w:rPr>
            </w:pPr>
            <w:r>
              <w:rPr>
                <w:rFonts w:ascii="Arial" w:cs="Arial" w:eastAsia="Arial" w:hAnsi="Arial"/>
                <w:sz w:val="14"/>
                <w:szCs w:val="14"/>
                <w:color w:val="auto"/>
              </w:rPr>
              <w:t>Huntington, NY</w:t>
            </w:r>
          </w:p>
        </w:tc>
        <w:tc>
          <w:tcPr>
            <w:tcW w:w="4940" w:type="dxa"/>
            <w:vAlign w:val="bottom"/>
          </w:tcPr>
          <w:p>
            <w:pPr>
              <w:ind w:left="40"/>
              <w:spacing w:after="0" w:line="135" w:lineRule="exact"/>
              <w:rPr>
                <w:sz w:val="20"/>
                <w:szCs w:val="20"/>
                <w:color w:val="auto"/>
              </w:rPr>
            </w:pPr>
            <w:r>
              <w:rPr>
                <w:rFonts w:ascii="Arial" w:cs="Arial" w:eastAsia="Arial" w:hAnsi="Arial"/>
                <w:sz w:val="14"/>
                <w:szCs w:val="14"/>
                <w:color w:val="auto"/>
                <w:w w:val="98"/>
              </w:rPr>
              <w:t>Development of a new 15,000 square foot pad site consisting of two multi-tenant</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8</w:t>
            </w:r>
          </w:p>
        </w:tc>
        <w:tc>
          <w:tcPr>
            <w:tcW w:w="140" w:type="dxa"/>
            <w:vAlign w:val="bottom"/>
          </w:tcPr>
          <w:p>
            <w:pPr>
              <w:jc w:val="right"/>
              <w:spacing w:after="0" w:line="135" w:lineRule="exact"/>
              <w:rPr>
                <w:sz w:val="20"/>
                <w:szCs w:val="20"/>
                <w:color w:val="auto"/>
              </w:rPr>
            </w:pPr>
            <w:r>
              <w:rPr>
                <w:rFonts w:ascii="Arial" w:cs="Arial" w:eastAsia="Arial" w:hAnsi="Arial"/>
                <w:sz w:val="14"/>
                <w:szCs w:val="14"/>
                <w:color w:val="auto"/>
                <w:w w:val="79"/>
              </w:rPr>
              <w:t>%</w:t>
            </w:r>
          </w:p>
        </w:tc>
        <w:tc>
          <w:tcPr>
            <w:tcW w:w="820" w:type="dxa"/>
            <w:vAlign w:val="bottom"/>
          </w:tcPr>
          <w:p>
            <w:pPr>
              <w:jc w:val="right"/>
              <w:ind w:right="8"/>
              <w:spacing w:after="0" w:line="135" w:lineRule="exact"/>
              <w:rPr>
                <w:sz w:val="20"/>
                <w:szCs w:val="20"/>
                <w:color w:val="auto"/>
              </w:rPr>
            </w:pPr>
            <w:r>
              <w:rPr>
                <w:rFonts w:ascii="Arial" w:cs="Arial" w:eastAsia="Arial" w:hAnsi="Arial"/>
                <w:sz w:val="14"/>
                <w:szCs w:val="14"/>
                <w:color w:val="auto"/>
              </w:rPr>
              <w:t>$11</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$9</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940" w:type="dxa"/>
            <w:vAlign w:val="bottom"/>
          </w:tcPr>
          <w:p>
            <w:pPr>
              <w:ind w:left="40"/>
              <w:spacing w:after="0"/>
              <w:rPr>
                <w:sz w:val="20"/>
                <w:szCs w:val="20"/>
                <w:color w:val="auto"/>
              </w:rPr>
            </w:pPr>
            <w:r>
              <w:rPr>
                <w:rFonts w:ascii="Arial" w:cs="Arial" w:eastAsia="Arial" w:hAnsi="Arial"/>
                <w:sz w:val="14"/>
                <w:szCs w:val="14"/>
                <w:color w:val="auto"/>
              </w:rPr>
              <w:t>retail buildings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Lawrence Park</w:t>
            </w:r>
          </w:p>
        </w:tc>
        <w:tc>
          <w:tcPr>
            <w:tcW w:w="120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Broomall, PA</w:t>
            </w:r>
          </w:p>
        </w:tc>
        <w:tc>
          <w:tcPr>
            <w:tcW w:w="49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color w:val="auto"/>
                <w:w w:val="96"/>
              </w:rPr>
              <w:t>Full shopping center redevelopment to include expansion of Main Line Health into</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9"/>
              </w:rPr>
              <w:t>%</w:t>
            </w:r>
          </w:p>
        </w:tc>
        <w:tc>
          <w:tcPr>
            <w:tcW w:w="820" w:type="dxa"/>
            <w:vAlign w:val="bottom"/>
            <w:shd w:val="clear" w:color="auto" w:fill="CCEEFF"/>
          </w:tcPr>
          <w:p>
            <w:pPr>
              <w:jc w:val="right"/>
              <w:ind w:right="8"/>
              <w:spacing w:after="0" w:line="139" w:lineRule="exact"/>
              <w:rPr>
                <w:sz w:val="20"/>
                <w:szCs w:val="20"/>
                <w:color w:val="auto"/>
              </w:rPr>
            </w:pPr>
            <w:r>
              <w:rPr>
                <w:rFonts w:ascii="Arial" w:cs="Arial" w:eastAsia="Arial" w:hAnsi="Arial"/>
                <w:sz w:val="14"/>
                <w:szCs w:val="14"/>
                <w:color w:val="auto"/>
              </w:rPr>
              <w:t>$10</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4940" w:type="dxa"/>
            <w:vAlign w:val="bottom"/>
            <w:shd w:val="clear" w:color="auto" w:fill="CCEEFF"/>
          </w:tcPr>
          <w:p>
            <w:pPr>
              <w:ind w:left="40"/>
              <w:spacing w:after="0" w:line="135" w:lineRule="exact"/>
              <w:rPr>
                <w:sz w:val="20"/>
                <w:szCs w:val="20"/>
                <w:color w:val="auto"/>
              </w:rPr>
            </w:pPr>
            <w:r>
              <w:rPr>
                <w:rFonts w:ascii="Arial" w:cs="Arial" w:eastAsia="Arial" w:hAnsi="Arial"/>
                <w:sz w:val="14"/>
                <w:szCs w:val="14"/>
                <w:color w:val="auto"/>
              </w:rPr>
              <w:t>vacant lower level space, creation of 17,800 square feet of small shop space</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converted from vacated anchor space, and a façade renovation for the entire center</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ind w:left="20"/>
              <w:spacing w:after="0"/>
              <w:rPr>
                <w:sz w:val="20"/>
                <w:szCs w:val="20"/>
                <w:color w:val="auto"/>
              </w:rPr>
            </w:pPr>
            <w:r>
              <w:rPr>
                <w:rFonts w:ascii="Arial" w:cs="Arial" w:eastAsia="Arial" w:hAnsi="Arial"/>
                <w:sz w:val="14"/>
                <w:szCs w:val="14"/>
                <w:color w:val="auto"/>
              </w:rPr>
              <w:t>Flourtown</w:t>
            </w:r>
          </w:p>
        </w:tc>
        <w:tc>
          <w:tcPr>
            <w:tcW w:w="1200" w:type="dxa"/>
            <w:vAlign w:val="bottom"/>
          </w:tcPr>
          <w:p>
            <w:pPr>
              <w:ind w:left="100"/>
              <w:spacing w:after="0"/>
              <w:rPr>
                <w:sz w:val="20"/>
                <w:szCs w:val="20"/>
                <w:color w:val="auto"/>
              </w:rPr>
            </w:pPr>
            <w:r>
              <w:rPr>
                <w:rFonts w:ascii="Arial" w:cs="Arial" w:eastAsia="Arial" w:hAnsi="Arial"/>
                <w:sz w:val="14"/>
                <w:szCs w:val="14"/>
                <w:color w:val="auto"/>
              </w:rPr>
              <w:t>Flourtown, PA</w:t>
            </w:r>
          </w:p>
        </w:tc>
        <w:tc>
          <w:tcPr>
            <w:tcW w:w="4940" w:type="dxa"/>
            <w:vAlign w:val="bottom"/>
          </w:tcPr>
          <w:p>
            <w:pPr>
              <w:ind w:left="40"/>
              <w:spacing w:after="0"/>
              <w:rPr>
                <w:sz w:val="20"/>
                <w:szCs w:val="20"/>
                <w:color w:val="auto"/>
              </w:rPr>
            </w:pPr>
            <w:r>
              <w:rPr>
                <w:rFonts w:ascii="Arial" w:cs="Arial" w:eastAsia="Arial" w:hAnsi="Arial"/>
                <w:sz w:val="14"/>
                <w:szCs w:val="14"/>
                <w:color w:val="auto"/>
              </w:rPr>
              <w:t>Development of a new 4,550 square foot two-tenant pad building</w:t>
            </w: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Sylmar Towne Center</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Sylmar, CA</w:t>
            </w: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Development of a new 3,800 square foot two-tenant pad building</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Lawrence Park</w:t>
            </w:r>
          </w:p>
        </w:tc>
        <w:tc>
          <w:tcPr>
            <w:tcW w:w="12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Broomall, PA</w:t>
            </w:r>
          </w:p>
        </w:tc>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New 2,000 square foot bank pad building</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w w:val="95"/>
              </w:rPr>
              <w:t>Total Active Redevelopment projects (4)</w:t>
            </w:r>
          </w:p>
        </w:tc>
        <w:tc>
          <w:tcPr>
            <w:tcW w:w="49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6 %</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6"/>
              </w:rPr>
              <w:t>$311 - $329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20" w:hanging="652"/>
        <w:spacing w:after="0" w:line="260" w:lineRule="auto"/>
        <w:tabs>
          <w:tab w:leader="none" w:pos="32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100" w:hanging="652"/>
        <w:spacing w:after="0" w:line="260" w:lineRule="auto"/>
        <w:tabs>
          <w:tab w:leader="none" w:pos="324"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right="520" w:hanging="652"/>
        <w:spacing w:after="0" w:line="255" w:lineRule="auto"/>
        <w:tabs>
          <w:tab w:leader="none" w:pos="3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Project formerly known as Jordan Downs Plaza. Cost to date and projected cost are net of the proceeds we will receive from our New Market Tax Credit structure. See Note 3 of our December 31, 2019 Form 10-K for additional information. Stabilization has been impacted by the COVID-19 pandemic.</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30"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Impacts of COVID-19 Pandemic:</w:t>
      </w:r>
    </w:p>
    <w:p>
      <w:pPr>
        <w:spacing w:after="0" w:line="36" w:lineRule="exact"/>
        <w:rPr>
          <w:sz w:val="20"/>
          <w:szCs w:val="20"/>
          <w:color w:val="auto"/>
        </w:rPr>
      </w:pPr>
    </w:p>
    <w:p>
      <w:pPr>
        <w:ind w:left="20" w:right="400"/>
        <w:spacing w:after="0"/>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3"/>
                <w:szCs w:val="13"/>
                <w:b w:val="1"/>
                <w:bCs w:val="1"/>
                <w:color w:val="auto"/>
              </w:rPr>
              <w:t>Projected</w:t>
            </w:r>
          </w:p>
        </w:tc>
        <w:tc>
          <w:tcPr>
            <w:tcW w:w="800" w:type="dxa"/>
            <w:vAlign w:val="bottom"/>
          </w:tcPr>
          <w:p>
            <w:pPr>
              <w:jc w:val="right"/>
              <w:ind w:right="114"/>
              <w:spacing w:after="0"/>
              <w:rPr>
                <w:sz w:val="20"/>
                <w:szCs w:val="20"/>
                <w:color w:val="auto"/>
              </w:rPr>
            </w:pPr>
            <w:r>
              <w:rPr>
                <w:rFonts w:ascii="Arial" w:cs="Arial" w:eastAsia="Arial" w:hAnsi="Arial"/>
                <w:sz w:val="13"/>
                <w:szCs w:val="13"/>
                <w:b w:val="1"/>
                <w:bCs w:val="1"/>
                <w:color w:val="auto"/>
              </w:rPr>
              <w:t>Total</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0"/>
              </w:rPr>
              <w:t>Costs to</w:t>
            </w: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Property (1)</w:t>
            </w:r>
          </w:p>
        </w:tc>
        <w:tc>
          <w:tcPr>
            <w:tcW w:w="4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Opportunity</w:t>
            </w: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ROI (2)</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Cost (3)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300" w:type="dxa"/>
            <w:vAlign w:val="bottom"/>
          </w:tcPr>
          <w:p>
            <w:pPr>
              <w:spacing w:after="0"/>
              <w:rPr>
                <w:sz w:val="16"/>
                <w:szCs w:val="16"/>
                <w:color w:val="auto"/>
              </w:rPr>
            </w:pPr>
          </w:p>
        </w:tc>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Expected Opening Timeframe</w:t>
            </w:r>
          </w:p>
        </w:tc>
      </w:tr>
      <w:tr>
        <w:trPr>
          <w:trHeight w:val="122"/>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right"/>
              <w:ind w:right="414"/>
              <w:spacing w:after="0" w:line="122" w:lineRule="exact"/>
              <w:rPr>
                <w:sz w:val="20"/>
                <w:szCs w:val="20"/>
                <w:color w:val="auto"/>
              </w:rPr>
            </w:pPr>
            <w:r>
              <w:rPr>
                <w:rFonts w:ascii="Arial" w:cs="Arial" w:eastAsia="Arial" w:hAnsi="Arial"/>
                <w:sz w:val="13"/>
                <w:szCs w:val="13"/>
                <w:color w:val="auto"/>
              </w:rPr>
              <w:t>(in</w:t>
            </w:r>
          </w:p>
        </w:tc>
        <w:tc>
          <w:tcPr>
            <w:tcW w:w="680" w:type="dxa"/>
            <w:vAlign w:val="bottom"/>
          </w:tcPr>
          <w:p>
            <w:pPr>
              <w:ind w:left="40"/>
              <w:spacing w:after="0" w:line="122" w:lineRule="exact"/>
              <w:rPr>
                <w:sz w:val="20"/>
                <w:szCs w:val="20"/>
                <w:color w:val="auto"/>
              </w:rPr>
            </w:pPr>
            <w:r>
              <w:rPr>
                <w:rFonts w:ascii="Arial" w:cs="Arial" w:eastAsia="Arial" w:hAnsi="Arial"/>
                <w:sz w:val="13"/>
                <w:szCs w:val="13"/>
                <w:color w:val="auto"/>
              </w:rPr>
              <w:t>(in</w:t>
            </w:r>
          </w:p>
        </w:tc>
        <w:tc>
          <w:tcPr>
            <w:tcW w:w="300" w:type="dxa"/>
            <w:vAlign w:val="bottom"/>
          </w:tcPr>
          <w:p>
            <w:pPr>
              <w:spacing w:after="0"/>
              <w:rPr>
                <w:sz w:val="10"/>
                <w:szCs w:val="10"/>
                <w:color w:val="auto"/>
              </w:rPr>
            </w:pPr>
          </w:p>
        </w:tc>
        <w:tc>
          <w:tcPr>
            <w:tcW w:w="2640" w:type="dxa"/>
            <w:vAlign w:val="bottom"/>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jc w:val="right"/>
              <w:ind w:right="114"/>
              <w:spacing w:after="0"/>
              <w:rPr>
                <w:sz w:val="20"/>
                <w:szCs w:val="20"/>
                <w:color w:val="auto"/>
              </w:rPr>
            </w:pPr>
            <w:r>
              <w:rPr>
                <w:rFonts w:ascii="Arial" w:cs="Arial" w:eastAsia="Arial" w:hAnsi="Arial"/>
                <w:sz w:val="13"/>
                <w:szCs w:val="13"/>
                <w:color w:val="auto"/>
              </w:rPr>
              <w:t>millions)</w:t>
            </w:r>
          </w:p>
        </w:tc>
        <w:tc>
          <w:tcPr>
            <w:tcW w:w="680" w:type="dxa"/>
            <w:vAlign w:val="bottom"/>
          </w:tcPr>
          <w:p>
            <w:pPr>
              <w:ind w:left="40"/>
              <w:spacing w:after="0"/>
              <w:rPr>
                <w:sz w:val="20"/>
                <w:szCs w:val="20"/>
                <w:color w:val="auto"/>
              </w:rPr>
            </w:pPr>
            <w:r>
              <w:rPr>
                <w:rFonts w:ascii="Arial" w:cs="Arial" w:eastAsia="Arial" w:hAnsi="Arial"/>
                <w:sz w:val="13"/>
                <w:szCs w:val="13"/>
                <w:color w:val="auto"/>
              </w:rPr>
              <w:t>millions)</w:t>
            </w:r>
          </w:p>
        </w:tc>
        <w:tc>
          <w:tcPr>
            <w:tcW w:w="30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000" w:type="dxa"/>
            <w:vAlign w:val="bottom"/>
            <w:gridSpan w:val="6"/>
          </w:tcPr>
          <w:p>
            <w:pPr>
              <w:spacing w:after="0"/>
              <w:rPr>
                <w:sz w:val="20"/>
                <w:szCs w:val="20"/>
                <w:color w:val="auto"/>
              </w:rPr>
            </w:pPr>
            <w:r>
              <w:rPr>
                <w:rFonts w:ascii="Arial" w:cs="Arial" w:eastAsia="Arial" w:hAnsi="Arial"/>
                <w:sz w:val="13"/>
                <w:szCs w:val="13"/>
                <w:b w:val="1"/>
                <w:bCs w:val="1"/>
                <w:color w:val="auto"/>
              </w:rPr>
              <w:t xml:space="preserve">Assembly Row, </w:t>
            </w:r>
            <w:r>
              <w:rPr>
                <w:rFonts w:ascii="Arial" w:cs="Arial" w:eastAsia="Arial" w:hAnsi="Arial"/>
                <w:sz w:val="13"/>
                <w:szCs w:val="13"/>
                <w:b w:val="1"/>
                <w:bCs w:val="1"/>
                <w:i w:val="1"/>
                <w:iCs w:val="1"/>
                <w:color w:val="auto"/>
              </w:rPr>
              <w:t>Somerville, MA</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Phase III</w:t>
            </w: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- 277,000 SF of office</w:t>
            </w:r>
          </w:p>
        </w:tc>
        <w:tc>
          <w:tcPr>
            <w:tcW w:w="80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84"/>
              </w:rPr>
              <w:t>6%</w:t>
            </w:r>
          </w:p>
        </w:tc>
        <w:tc>
          <w:tcPr>
            <w:tcW w:w="800" w:type="dxa"/>
            <w:vAlign w:val="bottom"/>
            <w:shd w:val="clear" w:color="auto" w:fill="CCEEFF"/>
          </w:tcPr>
          <w:p>
            <w:pPr>
              <w:jc w:val="center"/>
              <w:ind w:left="114"/>
              <w:spacing w:after="0"/>
              <w:rPr>
                <w:sz w:val="20"/>
                <w:szCs w:val="20"/>
                <w:color w:val="auto"/>
              </w:rPr>
            </w:pPr>
            <w:r>
              <w:rPr>
                <w:rFonts w:ascii="Arial" w:cs="Arial" w:eastAsia="Arial" w:hAnsi="Arial"/>
                <w:sz w:val="13"/>
                <w:szCs w:val="13"/>
                <w:color w:val="auto"/>
                <w:w w:val="93"/>
              </w:rPr>
              <w:t>$465 - 485</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$350</w:t>
            </w:r>
          </w:p>
        </w:tc>
        <w:tc>
          <w:tcPr>
            <w:tcW w:w="300" w:type="dxa"/>
            <w:vAlign w:val="bottom"/>
            <w:shd w:val="clear" w:color="auto" w:fill="CCEEFF"/>
          </w:tcPr>
          <w:p>
            <w:pPr>
              <w:spacing w:after="0"/>
              <w:rPr>
                <w:sz w:val="15"/>
                <w:szCs w:val="15"/>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150,000 square feet of office space pre-leased</w:t>
            </w: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- 500 residential units</w:t>
            </w: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Opening projected to begin in 2021</w:t>
            </w: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- 56,000 SF of retail</w:t>
            </w: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Future Phases</w:t>
            </w:r>
          </w:p>
        </w:tc>
        <w:tc>
          <w:tcPr>
            <w:tcW w:w="4520" w:type="dxa"/>
            <w:vAlign w:val="bottom"/>
            <w:gridSpan w:val="3"/>
          </w:tcPr>
          <w:p>
            <w:pPr>
              <w:ind w:left="60"/>
              <w:spacing w:after="0"/>
              <w:rPr>
                <w:sz w:val="20"/>
                <w:szCs w:val="20"/>
                <w:color w:val="auto"/>
              </w:rPr>
            </w:pPr>
            <w:r>
              <w:rPr>
                <w:rFonts w:ascii="Arial" w:cs="Arial" w:eastAsia="Arial" w:hAnsi="Arial"/>
                <w:sz w:val="13"/>
                <w:szCs w:val="13"/>
                <w:color w:val="auto"/>
              </w:rPr>
              <w:t>- 1.5M SF of commercial</w:t>
            </w:r>
          </w:p>
        </w:tc>
        <w:tc>
          <w:tcPr>
            <w:tcW w:w="800" w:type="dxa"/>
            <w:vAlign w:val="bottom"/>
          </w:tcPr>
          <w:p>
            <w:pPr>
              <w:ind w:left="220"/>
              <w:spacing w:after="0"/>
              <w:rPr>
                <w:sz w:val="20"/>
                <w:szCs w:val="20"/>
                <w:color w:val="auto"/>
              </w:rPr>
            </w:pPr>
            <w:r>
              <w:rPr>
                <w:rFonts w:ascii="Arial" w:cs="Arial" w:eastAsia="Arial" w:hAnsi="Arial"/>
                <w:sz w:val="13"/>
                <w:szCs w:val="13"/>
                <w:color w:val="auto"/>
              </w:rPr>
              <w:t>TBD</w:t>
            </w:r>
          </w:p>
        </w:tc>
        <w:tc>
          <w:tcPr>
            <w:tcW w:w="800" w:type="dxa"/>
            <w:vAlign w:val="bottom"/>
          </w:tcPr>
          <w:p>
            <w:pPr>
              <w:jc w:val="right"/>
              <w:ind w:right="114"/>
              <w:spacing w:after="0"/>
              <w:rPr>
                <w:sz w:val="20"/>
                <w:szCs w:val="20"/>
                <w:color w:val="auto"/>
              </w:rPr>
            </w:pPr>
            <w:r>
              <w:rPr>
                <w:rFonts w:ascii="Arial" w:cs="Arial" w:eastAsia="Arial" w:hAnsi="Arial"/>
                <w:sz w:val="13"/>
                <w:szCs w:val="13"/>
                <w:color w:val="auto"/>
              </w:rPr>
              <w:t>TBD</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20" w:type="dxa"/>
            <w:vAlign w:val="bottom"/>
            <w:gridSpan w:val="3"/>
          </w:tcPr>
          <w:p>
            <w:pPr>
              <w:ind w:left="60"/>
              <w:spacing w:after="0"/>
              <w:rPr>
                <w:sz w:val="20"/>
                <w:szCs w:val="20"/>
                <w:color w:val="auto"/>
              </w:rPr>
            </w:pPr>
            <w:r>
              <w:rPr>
                <w:rFonts w:ascii="Arial" w:cs="Arial" w:eastAsia="Arial" w:hAnsi="Arial"/>
                <w:sz w:val="13"/>
                <w:szCs w:val="13"/>
                <w:color w:val="auto"/>
              </w:rPr>
              <w:t>- 329 residential units</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09"/>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40" w:type="dxa"/>
            <w:vAlign w:val="bottom"/>
          </w:tcPr>
          <w:p>
            <w:pPr>
              <w:spacing w:after="0"/>
              <w:rPr>
                <w:sz w:val="9"/>
                <w:szCs w:val="9"/>
                <w:color w:val="auto"/>
              </w:rPr>
            </w:pPr>
          </w:p>
        </w:tc>
      </w:tr>
      <w:tr>
        <w:trPr>
          <w:trHeight w:val="148"/>
        </w:trPr>
        <w:tc>
          <w:tcPr>
            <w:tcW w:w="20" w:type="dxa"/>
            <w:vAlign w:val="bottom"/>
            <w:shd w:val="clear" w:color="auto" w:fill="CCEEFF"/>
          </w:tcPr>
          <w:p>
            <w:pPr>
              <w:spacing w:after="0"/>
              <w:rPr>
                <w:sz w:val="12"/>
                <w:szCs w:val="12"/>
                <w:color w:val="auto"/>
              </w:rPr>
            </w:pPr>
          </w:p>
        </w:tc>
        <w:tc>
          <w:tcPr>
            <w:tcW w:w="600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 xml:space="preserve">Pike &amp; Rose, </w:t>
            </w:r>
            <w:r>
              <w:rPr>
                <w:rFonts w:ascii="Arial" w:cs="Arial" w:eastAsia="Arial" w:hAnsi="Arial"/>
                <w:sz w:val="13"/>
                <w:szCs w:val="13"/>
                <w:b w:val="1"/>
                <w:bCs w:val="1"/>
                <w:i w:val="1"/>
                <w:iCs w:val="1"/>
                <w:color w:val="auto"/>
              </w:rPr>
              <w:t>North Bethesda, MD</w:t>
            </w: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Phase III</w:t>
            </w:r>
          </w:p>
        </w:tc>
        <w:tc>
          <w:tcPr>
            <w:tcW w:w="4520" w:type="dxa"/>
            <w:vAlign w:val="bottom"/>
            <w:gridSpan w:val="3"/>
          </w:tcPr>
          <w:p>
            <w:pPr>
              <w:ind w:left="60"/>
              <w:spacing w:after="0"/>
              <w:rPr>
                <w:sz w:val="20"/>
                <w:szCs w:val="20"/>
                <w:color w:val="auto"/>
              </w:rPr>
            </w:pPr>
            <w:r>
              <w:rPr>
                <w:rFonts w:ascii="Arial" w:cs="Arial" w:eastAsia="Arial" w:hAnsi="Arial"/>
                <w:sz w:val="13"/>
                <w:szCs w:val="13"/>
                <w:color w:val="auto"/>
              </w:rPr>
              <w:t>- 212,000 SF of office</w:t>
            </w:r>
          </w:p>
        </w:tc>
        <w:tc>
          <w:tcPr>
            <w:tcW w:w="800" w:type="dxa"/>
            <w:vAlign w:val="bottom"/>
          </w:tcPr>
          <w:p>
            <w:pPr>
              <w:jc w:val="center"/>
              <w:ind w:right="14"/>
              <w:spacing w:after="0"/>
              <w:rPr>
                <w:sz w:val="20"/>
                <w:szCs w:val="20"/>
                <w:color w:val="auto"/>
              </w:rPr>
            </w:pPr>
            <w:r>
              <w:rPr>
                <w:rFonts w:ascii="Arial" w:cs="Arial" w:eastAsia="Arial" w:hAnsi="Arial"/>
                <w:sz w:val="13"/>
                <w:szCs w:val="13"/>
                <w:color w:val="auto"/>
                <w:w w:val="92"/>
              </w:rPr>
              <w:t>6-7%</w:t>
            </w:r>
          </w:p>
        </w:tc>
        <w:tc>
          <w:tcPr>
            <w:tcW w:w="800" w:type="dxa"/>
            <w:vAlign w:val="bottom"/>
          </w:tcPr>
          <w:p>
            <w:pPr>
              <w:jc w:val="center"/>
              <w:ind w:left="114"/>
              <w:spacing w:after="0"/>
              <w:rPr>
                <w:sz w:val="20"/>
                <w:szCs w:val="20"/>
                <w:color w:val="auto"/>
              </w:rPr>
            </w:pPr>
            <w:r>
              <w:rPr>
                <w:rFonts w:ascii="Arial" w:cs="Arial" w:eastAsia="Arial" w:hAnsi="Arial"/>
                <w:sz w:val="13"/>
                <w:szCs w:val="13"/>
                <w:color w:val="auto"/>
                <w:w w:val="93"/>
              </w:rPr>
              <w:t>$128 - 135</w:t>
            </w:r>
          </w:p>
        </w:tc>
        <w:tc>
          <w:tcPr>
            <w:tcW w:w="680" w:type="dxa"/>
            <w:vAlign w:val="bottom"/>
          </w:tcPr>
          <w:p>
            <w:pPr>
              <w:jc w:val="center"/>
              <w:spacing w:after="0"/>
              <w:rPr>
                <w:sz w:val="20"/>
                <w:szCs w:val="20"/>
                <w:color w:val="auto"/>
              </w:rPr>
            </w:pPr>
            <w:r>
              <w:rPr>
                <w:rFonts w:ascii="Arial" w:cs="Arial" w:eastAsia="Arial" w:hAnsi="Arial"/>
                <w:sz w:val="13"/>
                <w:szCs w:val="13"/>
                <w:color w:val="auto"/>
                <w:w w:val="89"/>
              </w:rPr>
              <w:t>$102</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w w:val="87"/>
              </w:rPr>
              <w:t>(4)</w:t>
            </w:r>
          </w:p>
        </w:tc>
        <w:tc>
          <w:tcPr>
            <w:tcW w:w="2640" w:type="dxa"/>
            <w:vAlign w:val="bottom"/>
          </w:tcPr>
          <w:p>
            <w:pPr>
              <w:ind w:left="20"/>
              <w:spacing w:after="0"/>
              <w:rPr>
                <w:sz w:val="20"/>
                <w:szCs w:val="20"/>
                <w:color w:val="auto"/>
              </w:rPr>
            </w:pPr>
            <w:r>
              <w:rPr>
                <w:rFonts w:ascii="Arial" w:cs="Arial" w:eastAsia="Arial" w:hAnsi="Arial"/>
                <w:sz w:val="13"/>
                <w:szCs w:val="13"/>
                <w:color w:val="auto"/>
              </w:rPr>
              <w:t>Openings began in Q3 2020</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gridSpan w:val="3"/>
          </w:tcPr>
          <w:p>
            <w:pPr>
              <w:ind w:left="60"/>
              <w:spacing w:after="0"/>
              <w:rPr>
                <w:sz w:val="20"/>
                <w:szCs w:val="20"/>
                <w:color w:val="auto"/>
              </w:rPr>
            </w:pPr>
            <w:r>
              <w:rPr>
                <w:rFonts w:ascii="Arial" w:cs="Arial" w:eastAsia="Arial" w:hAnsi="Arial"/>
                <w:sz w:val="13"/>
                <w:szCs w:val="13"/>
                <w:color w:val="auto"/>
              </w:rPr>
              <w:t>- 7,000 SF of retail</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82"/>
        </w:trPr>
        <w:tc>
          <w:tcPr>
            <w:tcW w:w="2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Future Phases</w:t>
            </w: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- 740,000 SF of commercial</w:t>
            </w:r>
          </w:p>
        </w:tc>
        <w:tc>
          <w:tcPr>
            <w:tcW w:w="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TBD</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TBD</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- 741 residential units</w:t>
            </w: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r>
      <w:tr>
        <w:trPr>
          <w:trHeight w:val="108"/>
        </w:trPr>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40" w:type="dxa"/>
            <w:vAlign w:val="bottom"/>
            <w:shd w:val="clear" w:color="auto" w:fill="CCEEFF"/>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1480" w:type="dxa"/>
            <w:vAlign w:val="bottom"/>
            <w:gridSpan w:val="3"/>
          </w:tcPr>
          <w:p>
            <w:pPr>
              <w:spacing w:after="0"/>
              <w:rPr>
                <w:sz w:val="20"/>
                <w:szCs w:val="20"/>
                <w:color w:val="auto"/>
              </w:rPr>
            </w:pPr>
            <w:r>
              <w:rPr>
                <w:rFonts w:ascii="Arial" w:cs="Arial" w:eastAsia="Arial" w:hAnsi="Arial"/>
                <w:sz w:val="13"/>
                <w:szCs w:val="13"/>
                <w:b w:val="1"/>
                <w:bCs w:val="1"/>
                <w:color w:val="auto"/>
                <w:w w:val="97"/>
              </w:rPr>
              <w:t xml:space="preserve">Santana Row, </w:t>
            </w:r>
            <w:r>
              <w:rPr>
                <w:rFonts w:ascii="Arial" w:cs="Arial" w:eastAsia="Arial" w:hAnsi="Arial"/>
                <w:sz w:val="13"/>
                <w:szCs w:val="13"/>
                <w:b w:val="1"/>
                <w:bCs w:val="1"/>
                <w:i w:val="1"/>
                <w:iCs w:val="1"/>
                <w:color w:val="auto"/>
                <w:w w:val="97"/>
              </w:rPr>
              <w:t>San Jose,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13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i w:val="1"/>
                <w:iCs w:val="1"/>
                <w:color w:val="auto"/>
              </w:rPr>
              <w:t>CA</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4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700 Santana Row</w:t>
            </w: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- 301,000 SF of office</w:t>
            </w:r>
          </w:p>
        </w:tc>
        <w:tc>
          <w:tcPr>
            <w:tcW w:w="80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84"/>
              </w:rPr>
              <w:t>8%</w:t>
            </w:r>
          </w:p>
        </w:tc>
        <w:tc>
          <w:tcPr>
            <w:tcW w:w="800" w:type="dxa"/>
            <w:vAlign w:val="bottom"/>
            <w:shd w:val="clear" w:color="auto" w:fill="CCEEFF"/>
          </w:tcPr>
          <w:p>
            <w:pPr>
              <w:jc w:val="center"/>
              <w:ind w:left="94"/>
              <w:spacing w:after="0"/>
              <w:rPr>
                <w:sz w:val="20"/>
                <w:szCs w:val="20"/>
                <w:color w:val="auto"/>
              </w:rPr>
            </w:pPr>
            <w:r>
              <w:rPr>
                <w:rFonts w:ascii="Arial" w:cs="Arial" w:eastAsia="Arial" w:hAnsi="Arial"/>
                <w:sz w:val="13"/>
                <w:szCs w:val="13"/>
                <w:color w:val="auto"/>
                <w:w w:val="96"/>
              </w:rPr>
              <w:t>$212</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w:t>
            </w:r>
          </w:p>
        </w:tc>
        <w:tc>
          <w:tcPr>
            <w:tcW w:w="300" w:type="dxa"/>
            <w:vAlign w:val="bottom"/>
            <w:shd w:val="clear" w:color="auto" w:fill="CCEEFF"/>
          </w:tcPr>
          <w:p>
            <w:pPr>
              <w:spacing w:after="0"/>
              <w:rPr>
                <w:sz w:val="15"/>
                <w:szCs w:val="15"/>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Office delivered in Q1 2020</w:t>
            </w: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- 20,000 SF of retail &amp; 1,300 parking spaces</w:t>
            </w: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11,000 square feet of retail has opened</w:t>
            </w:r>
          </w:p>
        </w:tc>
      </w:tr>
      <w:tr>
        <w:trPr>
          <w:trHeight w:val="152"/>
        </w:trPr>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9"/>
              </w:rPr>
              <w:t>- Redevelopment of Santana Row Park including the installation of a new retail</w:t>
            </w: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Project stabilized</w:t>
            </w:r>
          </w:p>
        </w:tc>
      </w:tr>
      <w:tr>
        <w:trPr>
          <w:trHeight w:val="186"/>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pavilion</w:t>
            </w: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Santana West</w:t>
            </w:r>
          </w:p>
        </w:tc>
        <w:tc>
          <w:tcPr>
            <w:tcW w:w="4520" w:type="dxa"/>
            <w:vAlign w:val="bottom"/>
            <w:gridSpan w:val="3"/>
          </w:tcPr>
          <w:p>
            <w:pPr>
              <w:ind w:left="20"/>
              <w:spacing w:after="0"/>
              <w:rPr>
                <w:sz w:val="20"/>
                <w:szCs w:val="20"/>
                <w:color w:val="auto"/>
              </w:rPr>
            </w:pPr>
            <w:r>
              <w:rPr>
                <w:rFonts w:ascii="Arial" w:cs="Arial" w:eastAsia="Arial" w:hAnsi="Arial"/>
                <w:sz w:val="13"/>
                <w:szCs w:val="13"/>
                <w:color w:val="auto"/>
              </w:rPr>
              <w:t>- 376,000 SF of office</w:t>
            </w:r>
          </w:p>
        </w:tc>
        <w:tc>
          <w:tcPr>
            <w:tcW w:w="800" w:type="dxa"/>
            <w:vAlign w:val="bottom"/>
          </w:tcPr>
          <w:p>
            <w:pPr>
              <w:jc w:val="center"/>
              <w:ind w:right="14"/>
              <w:spacing w:after="0"/>
              <w:rPr>
                <w:sz w:val="20"/>
                <w:szCs w:val="20"/>
                <w:color w:val="auto"/>
              </w:rPr>
            </w:pPr>
            <w:r>
              <w:rPr>
                <w:rFonts w:ascii="Arial" w:cs="Arial" w:eastAsia="Arial" w:hAnsi="Arial"/>
                <w:sz w:val="13"/>
                <w:szCs w:val="13"/>
                <w:color w:val="auto"/>
                <w:w w:val="92"/>
              </w:rPr>
              <w:t>6-7%</w:t>
            </w:r>
          </w:p>
        </w:tc>
        <w:tc>
          <w:tcPr>
            <w:tcW w:w="800" w:type="dxa"/>
            <w:vAlign w:val="bottom"/>
          </w:tcPr>
          <w:p>
            <w:pPr>
              <w:jc w:val="center"/>
              <w:ind w:left="114"/>
              <w:spacing w:after="0"/>
              <w:rPr>
                <w:sz w:val="20"/>
                <w:szCs w:val="20"/>
                <w:color w:val="auto"/>
              </w:rPr>
            </w:pPr>
            <w:r>
              <w:rPr>
                <w:rFonts w:ascii="Arial" w:cs="Arial" w:eastAsia="Arial" w:hAnsi="Arial"/>
                <w:sz w:val="13"/>
                <w:szCs w:val="13"/>
                <w:color w:val="auto"/>
                <w:w w:val="93"/>
              </w:rPr>
              <w:t>$250 - 270</w:t>
            </w:r>
          </w:p>
        </w:tc>
        <w:tc>
          <w:tcPr>
            <w:tcW w:w="680" w:type="dxa"/>
            <w:vAlign w:val="bottom"/>
          </w:tcPr>
          <w:p>
            <w:pPr>
              <w:jc w:val="center"/>
              <w:spacing w:after="0"/>
              <w:rPr>
                <w:sz w:val="20"/>
                <w:szCs w:val="20"/>
                <w:color w:val="auto"/>
              </w:rPr>
            </w:pPr>
            <w:r>
              <w:rPr>
                <w:rFonts w:ascii="Arial" w:cs="Arial" w:eastAsia="Arial" w:hAnsi="Arial"/>
                <w:sz w:val="13"/>
                <w:szCs w:val="13"/>
                <w:color w:val="auto"/>
                <w:w w:val="89"/>
              </w:rPr>
              <w:t>$121</w:t>
            </w:r>
          </w:p>
        </w:tc>
        <w:tc>
          <w:tcPr>
            <w:tcW w:w="300" w:type="dxa"/>
            <w:vAlign w:val="bottom"/>
          </w:tcPr>
          <w:p>
            <w:pPr>
              <w:spacing w:after="0"/>
              <w:rPr>
                <w:sz w:val="15"/>
                <w:szCs w:val="15"/>
                <w:color w:val="auto"/>
              </w:rPr>
            </w:pPr>
          </w:p>
        </w:tc>
        <w:tc>
          <w:tcPr>
            <w:tcW w:w="2640" w:type="dxa"/>
            <w:vAlign w:val="bottom"/>
          </w:tcPr>
          <w:p>
            <w:pPr>
              <w:ind w:left="20"/>
              <w:spacing w:after="0"/>
              <w:rPr>
                <w:sz w:val="20"/>
                <w:szCs w:val="20"/>
                <w:color w:val="auto"/>
              </w:rPr>
            </w:pPr>
            <w:r>
              <w:rPr>
                <w:rFonts w:ascii="Arial" w:cs="Arial" w:eastAsia="Arial" w:hAnsi="Arial"/>
                <w:sz w:val="13"/>
                <w:szCs w:val="13"/>
                <w:color w:val="auto"/>
              </w:rPr>
              <w:t>Openings projected to begin in 2022</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gridSpan w:val="3"/>
          </w:tcPr>
          <w:p>
            <w:pPr>
              <w:ind w:left="20"/>
              <w:spacing w:after="0"/>
              <w:rPr>
                <w:sz w:val="20"/>
                <w:szCs w:val="20"/>
                <w:color w:val="auto"/>
              </w:rPr>
            </w:pPr>
            <w:r>
              <w:rPr>
                <w:rFonts w:ascii="Arial" w:cs="Arial" w:eastAsia="Arial" w:hAnsi="Arial"/>
                <w:sz w:val="13"/>
                <w:szCs w:val="13"/>
                <w:color w:val="auto"/>
              </w:rPr>
              <w:t>- 1,750 parking spaces</w:t>
            </w: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82"/>
        </w:trPr>
        <w:tc>
          <w:tcPr>
            <w:tcW w:w="2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Future Phases</w:t>
            </w: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- 321,000 SF of commercial</w:t>
            </w:r>
          </w:p>
        </w:tc>
        <w:tc>
          <w:tcPr>
            <w:tcW w:w="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TBD</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TBD</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- 395 residential units</w:t>
            </w:r>
          </w:p>
        </w:tc>
        <w:tc>
          <w:tcPr>
            <w:tcW w:w="8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- 604,000 SF of commercial across from Santana Row</w:t>
            </w: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44" w:lineRule="exact"/>
        <w:rPr>
          <w:sz w:val="20"/>
          <w:szCs w:val="20"/>
          <w:color w:val="auto"/>
        </w:rPr>
      </w:pPr>
    </w:p>
    <w:p>
      <w:pPr>
        <w:ind w:left="420" w:right="220" w:hanging="246"/>
        <w:spacing w:after="0" w:line="253" w:lineRule="auto"/>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8" w:lineRule="exact"/>
        <w:rPr>
          <w:rFonts w:ascii="Arial" w:cs="Arial" w:eastAsia="Arial" w:hAnsi="Arial"/>
          <w:sz w:val="13"/>
          <w:szCs w:val="13"/>
          <w:color w:val="auto"/>
        </w:rPr>
      </w:pPr>
    </w:p>
    <w:p>
      <w:pPr>
        <w:ind w:left="420" w:hanging="246"/>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Projected ROI for development projects reflects the unleveraged Property Operating Income (POI) generated by the development and is calculated as POI divided by cost.</w:t>
      </w:r>
    </w:p>
    <w:p>
      <w:pPr>
        <w:spacing w:after="0" w:line="37"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3"/>
          <w:szCs w:val="13"/>
          <w:color w:val="auto"/>
        </w:rPr>
        <w:t>Projected costs for Assembly Row and Pike &amp; Rose include an allocation of infrastructure costs for the entire project. Phase I of Santana West includes an allocation of infrastructure for the</w:t>
      </w:r>
    </w:p>
    <w:p>
      <w:pPr>
        <w:ind w:left="420" w:hanging="246"/>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Santana West site.</w:t>
      </w:r>
    </w:p>
    <w:p>
      <w:pPr>
        <w:spacing w:after="0" w:line="25"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Arial" w:cs="Arial" w:eastAsia="Arial" w:hAnsi="Arial"/>
          <w:sz w:val="13"/>
          <w:szCs w:val="13"/>
          <w:color w:val="auto"/>
        </w:rPr>
        <w:t>Federal Realty Investment Trust is leasing 45,000 square feet of office space at a market rent in Pike &amp; Rose Phase III, which delivered in August 2020. Revenue related to this rent will be</w:t>
      </w:r>
    </w:p>
    <w:p>
      <w:pPr>
        <w:ind w:left="420" w:hanging="246"/>
        <w:spacing w:after="0"/>
        <w:tabs>
          <w:tab w:leader="none" w:pos="4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eliminated in the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09"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189" w:lineRule="exact"/>
        <w:rPr>
          <w:sz w:val="20"/>
          <w:szCs w:val="20"/>
          <w:color w:val="auto"/>
        </w:rPr>
      </w:pPr>
    </w:p>
    <w:p>
      <w:pPr>
        <w:ind w:left="20" w:right="40"/>
        <w:spacing w:after="0" w:line="243"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172" w:lineRule="exact"/>
        <w:rPr>
          <w:sz w:val="20"/>
          <w:szCs w:val="20"/>
          <w:color w:val="auto"/>
        </w:rPr>
      </w:pPr>
    </w:p>
    <w:p>
      <w:pPr>
        <w:ind w:left="20" w:right="760"/>
        <w:spacing w:after="0" w:line="245"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Escondido Promenade</w:t>
            </w:r>
          </w:p>
        </w:tc>
        <w:tc>
          <w:tcPr>
            <w:tcW w:w="1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Escondido, CA</w:t>
            </w:r>
          </w:p>
        </w:tc>
        <w:tc>
          <w:tcPr>
            <w:tcW w:w="26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Mercer Mall</w:t>
            </w:r>
          </w:p>
        </w:tc>
        <w:tc>
          <w:tcPr>
            <w:tcW w:w="4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Lawrenceville, NJ</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Federal Plaza</w:t>
            </w:r>
          </w:p>
        </w:tc>
        <w:tc>
          <w:tcPr>
            <w:tcW w:w="1920" w:type="dxa"/>
            <w:vAlign w:val="bottom"/>
          </w:tcPr>
          <w:p>
            <w:pPr>
              <w:ind w:left="300"/>
              <w:spacing w:after="0"/>
              <w:rPr>
                <w:sz w:val="20"/>
                <w:szCs w:val="20"/>
                <w:color w:val="auto"/>
              </w:rPr>
            </w:pPr>
            <w:r>
              <w:rPr>
                <w:rFonts w:ascii="Arial" w:cs="Arial" w:eastAsia="Arial" w:hAnsi="Arial"/>
                <w:sz w:val="16"/>
                <w:szCs w:val="16"/>
                <w:color w:val="auto"/>
              </w:rPr>
              <w:t>Rockville, MD</w:t>
            </w:r>
          </w:p>
        </w:tc>
        <w:tc>
          <w:tcPr>
            <w:tcW w:w="2680" w:type="dxa"/>
            <w:vAlign w:val="bottom"/>
          </w:tcPr>
          <w:p>
            <w:pPr>
              <w:ind w:left="640"/>
              <w:spacing w:after="0"/>
              <w:rPr>
                <w:sz w:val="20"/>
                <w:szCs w:val="20"/>
                <w:color w:val="auto"/>
              </w:rPr>
            </w:pPr>
            <w:r>
              <w:rPr>
                <w:rFonts w:ascii="Arial" w:cs="Arial" w:eastAsia="Arial" w:hAnsi="Arial"/>
                <w:sz w:val="16"/>
                <w:szCs w:val="16"/>
                <w:b w:val="1"/>
                <w:bCs w:val="1"/>
                <w:color w:val="auto"/>
              </w:rPr>
              <w:t>Pan Am</w:t>
            </w:r>
          </w:p>
        </w:tc>
        <w:tc>
          <w:tcPr>
            <w:tcW w:w="4320" w:type="dxa"/>
            <w:vAlign w:val="bottom"/>
          </w:tcPr>
          <w:p>
            <w:pPr>
              <w:ind w:left="520"/>
              <w:spacing w:after="0"/>
              <w:rPr>
                <w:sz w:val="20"/>
                <w:szCs w:val="20"/>
                <w:color w:val="auto"/>
              </w:rPr>
            </w:pPr>
            <w:r>
              <w:rPr>
                <w:rFonts w:ascii="Arial" w:cs="Arial" w:eastAsia="Arial" w:hAnsi="Arial"/>
                <w:sz w:val="16"/>
                <w:szCs w:val="16"/>
                <w:color w:val="auto"/>
              </w:rPr>
              <w:t>Fairfax, VA</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19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Queens, NY</w:t>
            </w:r>
          </w:p>
        </w:tc>
        <w:tc>
          <w:tcPr>
            <w:tcW w:w="26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4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Sylmar, CA</w:t>
            </w:r>
          </w:p>
        </w:tc>
      </w:tr>
    </w:tbl>
    <w:p>
      <w:pPr>
        <w:spacing w:after="0" w:line="216" w:lineRule="exact"/>
        <w:rPr>
          <w:sz w:val="20"/>
          <w:szCs w:val="20"/>
          <w:color w:val="auto"/>
        </w:rPr>
      </w:pPr>
    </w:p>
    <w:p>
      <w:pPr>
        <w:ind w:left="20" w:right="320"/>
        <w:spacing w:after="0" w:line="245"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71151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260" w:type="dxa"/>
            <w:vAlign w:val="bottom"/>
          </w:tcPr>
          <w:p>
            <w:pPr>
              <w:ind w:left="42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Pr>
          <w:p>
            <w:pPr>
              <w:ind w:left="320"/>
              <w:spacing w:after="0"/>
              <w:rPr>
                <w:sz w:val="20"/>
                <w:szCs w:val="20"/>
                <w:color w:val="auto"/>
              </w:rPr>
            </w:pPr>
            <w:r>
              <w:rPr>
                <w:rFonts w:ascii="Arial" w:cs="Arial" w:eastAsia="Arial" w:hAnsi="Arial"/>
                <w:sz w:val="16"/>
                <w:szCs w:val="16"/>
                <w:color w:val="auto"/>
              </w:rPr>
              <w:t>Charlottesville, VA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Huntington</w:t>
            </w:r>
          </w:p>
        </w:tc>
        <w:tc>
          <w:tcPr>
            <w:tcW w:w="4240" w:type="dxa"/>
            <w:vAlign w:val="bottom"/>
          </w:tcPr>
          <w:p>
            <w:pPr>
              <w:ind w:left="440"/>
              <w:spacing w:after="0"/>
              <w:rPr>
                <w:sz w:val="20"/>
                <w:szCs w:val="20"/>
                <w:color w:val="auto"/>
              </w:rPr>
            </w:pPr>
            <w:r>
              <w:rPr>
                <w:rFonts w:ascii="Arial" w:cs="Arial" w:eastAsia="Arial" w:hAnsi="Arial"/>
                <w:sz w:val="16"/>
                <w:szCs w:val="16"/>
                <w:color w:val="auto"/>
              </w:rPr>
              <w:t>Huntington, NY</w:t>
            </w:r>
          </w:p>
        </w:tc>
      </w:tr>
      <w:tr>
        <w:trPr>
          <w:trHeight w:val="219"/>
        </w:trPr>
        <w:tc>
          <w:tcPr>
            <w:tcW w:w="22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Bethesda Row</w:t>
            </w:r>
          </w:p>
        </w:tc>
        <w:tc>
          <w:tcPr>
            <w:tcW w:w="2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Bethesda, MD</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Plaza El Segundo</w:t>
            </w:r>
          </w:p>
        </w:tc>
        <w:tc>
          <w:tcPr>
            <w:tcW w:w="4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El Segundo, CA</w:t>
            </w:r>
          </w:p>
        </w:tc>
      </w:tr>
      <w:tr>
        <w:trPr>
          <w:trHeight w:val="213"/>
        </w:trPr>
        <w:tc>
          <w:tcPr>
            <w:tcW w:w="2260" w:type="dxa"/>
            <w:vAlign w:val="bottom"/>
          </w:tcPr>
          <w:p>
            <w:pPr>
              <w:ind w:left="420"/>
              <w:spacing w:after="0"/>
              <w:rPr>
                <w:sz w:val="20"/>
                <w:szCs w:val="20"/>
                <w:color w:val="auto"/>
              </w:rPr>
            </w:pPr>
            <w:r>
              <w:rPr>
                <w:rFonts w:ascii="Arial" w:cs="Arial" w:eastAsia="Arial" w:hAnsi="Arial"/>
                <w:sz w:val="16"/>
                <w:szCs w:val="16"/>
                <w:b w:val="1"/>
                <w:bCs w:val="1"/>
                <w:color w:val="auto"/>
              </w:rPr>
              <w:t>Dedham Plaza</w:t>
            </w:r>
          </w:p>
        </w:tc>
        <w:tc>
          <w:tcPr>
            <w:tcW w:w="2080" w:type="dxa"/>
            <w:vAlign w:val="bottom"/>
          </w:tcPr>
          <w:p>
            <w:pPr>
              <w:ind w:left="320"/>
              <w:spacing w:after="0"/>
              <w:rPr>
                <w:sz w:val="20"/>
                <w:szCs w:val="20"/>
                <w:color w:val="auto"/>
              </w:rPr>
            </w:pPr>
            <w:r>
              <w:rPr>
                <w:rFonts w:ascii="Arial" w:cs="Arial" w:eastAsia="Arial" w:hAnsi="Arial"/>
                <w:sz w:val="16"/>
                <w:szCs w:val="16"/>
                <w:color w:val="auto"/>
              </w:rPr>
              <w:t>Dedham, MA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Riverpoint Center</w:t>
            </w:r>
          </w:p>
        </w:tc>
        <w:tc>
          <w:tcPr>
            <w:tcW w:w="4240" w:type="dxa"/>
            <w:vAlign w:val="bottom"/>
          </w:tcPr>
          <w:p>
            <w:pPr>
              <w:ind w:left="440"/>
              <w:spacing w:after="0"/>
              <w:rPr>
                <w:sz w:val="20"/>
                <w:szCs w:val="20"/>
                <w:color w:val="auto"/>
              </w:rPr>
            </w:pPr>
            <w:r>
              <w:rPr>
                <w:rFonts w:ascii="Arial" w:cs="Arial" w:eastAsia="Arial" w:hAnsi="Arial"/>
                <w:sz w:val="16"/>
                <w:szCs w:val="16"/>
                <w:color w:val="auto"/>
              </w:rPr>
              <w:t>Chicago, IL</w:t>
            </w:r>
          </w:p>
        </w:tc>
      </w:tr>
      <w:tr>
        <w:trPr>
          <w:trHeight w:val="219"/>
        </w:trPr>
        <w:tc>
          <w:tcPr>
            <w:tcW w:w="22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Fourth Street</w:t>
            </w:r>
          </w:p>
        </w:tc>
        <w:tc>
          <w:tcPr>
            <w:tcW w:w="2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Berkeley, CA</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Third Street Promenade</w:t>
            </w:r>
          </w:p>
        </w:tc>
        <w:tc>
          <w:tcPr>
            <w:tcW w:w="4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Santa Monica, CA</w:t>
            </w:r>
          </w:p>
        </w:tc>
      </w:tr>
      <w:tr>
        <w:trPr>
          <w:trHeight w:val="213"/>
        </w:trPr>
        <w:tc>
          <w:tcPr>
            <w:tcW w:w="2260" w:type="dxa"/>
            <w:vAlign w:val="bottom"/>
          </w:tcPr>
          <w:p>
            <w:pPr>
              <w:ind w:left="420"/>
              <w:spacing w:after="0"/>
              <w:rPr>
                <w:sz w:val="20"/>
                <w:szCs w:val="20"/>
                <w:color w:val="auto"/>
              </w:rPr>
            </w:pPr>
            <w:r>
              <w:rPr>
                <w:rFonts w:ascii="Arial" w:cs="Arial" w:eastAsia="Arial" w:hAnsi="Arial"/>
                <w:sz w:val="16"/>
                <w:szCs w:val="16"/>
                <w:b w:val="1"/>
                <w:bCs w:val="1"/>
                <w:color w:val="auto"/>
              </w:rPr>
              <w:t>Fairfax Junction</w:t>
            </w:r>
          </w:p>
        </w:tc>
        <w:tc>
          <w:tcPr>
            <w:tcW w:w="2080" w:type="dxa"/>
            <w:vAlign w:val="bottom"/>
          </w:tcPr>
          <w:p>
            <w:pPr>
              <w:ind w:left="320"/>
              <w:spacing w:after="0"/>
              <w:rPr>
                <w:sz w:val="20"/>
                <w:szCs w:val="20"/>
                <w:color w:val="auto"/>
              </w:rPr>
            </w:pPr>
            <w:r>
              <w:rPr>
                <w:rFonts w:ascii="Arial" w:cs="Arial" w:eastAsia="Arial" w:hAnsi="Arial"/>
                <w:sz w:val="16"/>
                <w:szCs w:val="16"/>
                <w:color w:val="auto"/>
              </w:rPr>
              <w:t>Fairfax, VA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Wildwood</w:t>
            </w:r>
          </w:p>
        </w:tc>
        <w:tc>
          <w:tcPr>
            <w:tcW w:w="4240" w:type="dxa"/>
            <w:vAlign w:val="bottom"/>
          </w:tcPr>
          <w:p>
            <w:pPr>
              <w:ind w:left="440"/>
              <w:spacing w:after="0"/>
              <w:rPr>
                <w:sz w:val="20"/>
                <w:szCs w:val="20"/>
                <w:color w:val="auto"/>
              </w:rPr>
            </w:pPr>
            <w:r>
              <w:rPr>
                <w:rFonts w:ascii="Arial" w:cs="Arial" w:eastAsia="Arial" w:hAnsi="Arial"/>
                <w:sz w:val="16"/>
                <w:szCs w:val="16"/>
                <w:color w:val="auto"/>
              </w:rPr>
              <w:t>Bethesda, MD</w:t>
            </w:r>
          </w:p>
        </w:tc>
      </w:tr>
      <w:tr>
        <w:trPr>
          <w:trHeight w:val="219"/>
        </w:trPr>
        <w:tc>
          <w:tcPr>
            <w:tcW w:w="22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2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Queens, NY</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Willow Grove</w:t>
            </w:r>
          </w:p>
        </w:tc>
        <w:tc>
          <w:tcPr>
            <w:tcW w:w="4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Willow Grove, PA</w:t>
            </w:r>
          </w:p>
        </w:tc>
      </w:tr>
      <w:tr>
        <w:trPr>
          <w:trHeight w:val="213"/>
        </w:trPr>
        <w:tc>
          <w:tcPr>
            <w:tcW w:w="2260" w:type="dxa"/>
            <w:vAlign w:val="bottom"/>
          </w:tcPr>
          <w:p>
            <w:pPr>
              <w:ind w:left="420"/>
              <w:spacing w:after="0"/>
              <w:rPr>
                <w:sz w:val="20"/>
                <w:szCs w:val="20"/>
                <w:color w:val="auto"/>
              </w:rPr>
            </w:pPr>
            <w:r>
              <w:rPr>
                <w:rFonts w:ascii="Arial" w:cs="Arial" w:eastAsia="Arial" w:hAnsi="Arial"/>
                <w:sz w:val="16"/>
                <w:szCs w:val="16"/>
                <w:b w:val="1"/>
                <w:bCs w:val="1"/>
                <w:color w:val="auto"/>
              </w:rPr>
              <w:t>Hastings Ranch Plaza</w:t>
            </w:r>
          </w:p>
        </w:tc>
        <w:tc>
          <w:tcPr>
            <w:tcW w:w="2080" w:type="dxa"/>
            <w:vAlign w:val="bottom"/>
          </w:tcPr>
          <w:p>
            <w:pPr>
              <w:ind w:left="320"/>
              <w:spacing w:after="0"/>
              <w:rPr>
                <w:sz w:val="20"/>
                <w:szCs w:val="20"/>
                <w:color w:val="auto"/>
              </w:rPr>
            </w:pPr>
            <w:r>
              <w:rPr>
                <w:rFonts w:ascii="Arial" w:cs="Arial" w:eastAsia="Arial" w:hAnsi="Arial"/>
                <w:sz w:val="16"/>
                <w:szCs w:val="16"/>
                <w:color w:val="auto"/>
              </w:rPr>
              <w:t>Pasadena, CA</w:t>
            </w:r>
          </w:p>
        </w:tc>
        <w:tc>
          <w:tcPr>
            <w:tcW w:w="26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9"/>
        </w:trPr>
        <w:tc>
          <w:tcPr>
            <w:tcW w:w="22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Barracks Road</w:t>
            </w:r>
          </w:p>
        </w:tc>
        <w:tc>
          <w:tcPr>
            <w:tcW w:w="2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Charlottesville, VA</w:t>
            </w:r>
          </w:p>
        </w:tc>
        <w:tc>
          <w:tcPr>
            <w:tcW w:w="29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Graham Park Plaza</w:t>
            </w:r>
          </w:p>
        </w:tc>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Falls Church, VA</w:t>
            </w:r>
          </w:p>
        </w:tc>
      </w:tr>
      <w:tr>
        <w:trPr>
          <w:trHeight w:val="213"/>
        </w:trPr>
        <w:tc>
          <w:tcPr>
            <w:tcW w:w="2120" w:type="dxa"/>
            <w:vAlign w:val="bottom"/>
          </w:tcPr>
          <w:p>
            <w:pPr>
              <w:ind w:left="420"/>
              <w:spacing w:after="0"/>
              <w:rPr>
                <w:sz w:val="20"/>
                <w:szCs w:val="20"/>
                <w:color w:val="auto"/>
              </w:rPr>
            </w:pPr>
            <w:r>
              <w:rPr>
                <w:rFonts w:ascii="Arial" w:cs="Arial" w:eastAsia="Arial" w:hAnsi="Arial"/>
                <w:sz w:val="16"/>
                <w:szCs w:val="16"/>
                <w:b w:val="1"/>
                <w:bCs w:val="1"/>
                <w:color w:val="auto"/>
              </w:rPr>
              <w:t>Bala Cynwyd</w:t>
            </w:r>
          </w:p>
        </w:tc>
        <w:tc>
          <w:tcPr>
            <w:tcW w:w="2220" w:type="dxa"/>
            <w:vAlign w:val="bottom"/>
          </w:tcPr>
          <w:p>
            <w:pPr>
              <w:ind w:left="460"/>
              <w:spacing w:after="0"/>
              <w:rPr>
                <w:sz w:val="20"/>
                <w:szCs w:val="20"/>
                <w:color w:val="auto"/>
              </w:rPr>
            </w:pPr>
            <w:r>
              <w:rPr>
                <w:rFonts w:ascii="Arial" w:cs="Arial" w:eastAsia="Arial" w:hAnsi="Arial"/>
                <w:sz w:val="16"/>
                <w:szCs w:val="16"/>
                <w:color w:val="auto"/>
              </w:rPr>
              <w:t>Bala Cynwyd, PA</w:t>
            </w:r>
          </w:p>
        </w:tc>
        <w:tc>
          <w:tcPr>
            <w:tcW w:w="2900" w:type="dxa"/>
            <w:vAlign w:val="bottom"/>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960" w:type="dxa"/>
            <w:vAlign w:val="bottom"/>
          </w:tcPr>
          <w:p>
            <w:pPr>
              <w:ind w:left="160"/>
              <w:spacing w:after="0"/>
              <w:rPr>
                <w:sz w:val="20"/>
                <w:szCs w:val="20"/>
                <w:color w:val="auto"/>
              </w:rPr>
            </w:pPr>
            <w:r>
              <w:rPr>
                <w:rFonts w:ascii="Arial" w:cs="Arial" w:eastAsia="Arial" w:hAnsi="Arial"/>
                <w:sz w:val="16"/>
                <w:szCs w:val="16"/>
                <w:color w:val="auto"/>
              </w:rPr>
              <w:t>Arlington, VA</w:t>
            </w:r>
          </w:p>
        </w:tc>
      </w:tr>
      <w:tr>
        <w:trPr>
          <w:trHeight w:val="219"/>
        </w:trPr>
        <w:tc>
          <w:tcPr>
            <w:tcW w:w="4340" w:type="dxa"/>
            <w:vAlign w:val="bottom"/>
            <w:gridSpan w:val="2"/>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Longer Term Mixed-Use Opportunities</w:t>
            </w:r>
          </w:p>
        </w:tc>
        <w:tc>
          <w:tcPr>
            <w:tcW w:w="29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9"/>
        </w:trPr>
        <w:tc>
          <w:tcPr>
            <w:tcW w:w="2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Assembly Row (1)</w:t>
            </w:r>
          </w:p>
        </w:tc>
        <w:tc>
          <w:tcPr>
            <w:tcW w:w="2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Somerville, MA</w:t>
            </w:r>
          </w:p>
        </w:tc>
        <w:tc>
          <w:tcPr>
            <w:tcW w:w="29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Pike &amp; Rose (2)</w:t>
            </w:r>
          </w:p>
        </w:tc>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Bethesda, MD</w:t>
            </w:r>
          </w:p>
        </w:tc>
      </w:tr>
      <w:tr>
        <w:trPr>
          <w:trHeight w:val="213"/>
        </w:trPr>
        <w:tc>
          <w:tcPr>
            <w:tcW w:w="2120" w:type="dxa"/>
            <w:vAlign w:val="bottom"/>
          </w:tcPr>
          <w:p>
            <w:pPr>
              <w:ind w:left="420"/>
              <w:spacing w:after="0"/>
              <w:rPr>
                <w:sz w:val="20"/>
                <w:szCs w:val="20"/>
                <w:color w:val="auto"/>
              </w:rPr>
            </w:pPr>
            <w:r>
              <w:rPr>
                <w:rFonts w:ascii="Arial" w:cs="Arial" w:eastAsia="Arial" w:hAnsi="Arial"/>
                <w:sz w:val="16"/>
                <w:szCs w:val="16"/>
                <w:b w:val="1"/>
                <w:bCs w:val="1"/>
                <w:color w:val="auto"/>
              </w:rPr>
              <w:t>Bala Cynwyd</w:t>
            </w:r>
          </w:p>
        </w:tc>
        <w:tc>
          <w:tcPr>
            <w:tcW w:w="2220" w:type="dxa"/>
            <w:vAlign w:val="bottom"/>
          </w:tcPr>
          <w:p>
            <w:pPr>
              <w:ind w:left="460"/>
              <w:spacing w:after="0"/>
              <w:rPr>
                <w:sz w:val="20"/>
                <w:szCs w:val="20"/>
                <w:color w:val="auto"/>
              </w:rPr>
            </w:pPr>
            <w:r>
              <w:rPr>
                <w:rFonts w:ascii="Arial" w:cs="Arial" w:eastAsia="Arial" w:hAnsi="Arial"/>
                <w:sz w:val="16"/>
                <w:szCs w:val="16"/>
                <w:color w:val="auto"/>
              </w:rPr>
              <w:t>Bala Cynwyd, PA</w:t>
            </w:r>
          </w:p>
        </w:tc>
        <w:tc>
          <w:tcPr>
            <w:tcW w:w="2900" w:type="dxa"/>
            <w:vAlign w:val="bottom"/>
          </w:tcPr>
          <w:p>
            <w:pPr>
              <w:ind w:left="500"/>
              <w:spacing w:after="0"/>
              <w:rPr>
                <w:sz w:val="20"/>
                <w:szCs w:val="20"/>
                <w:color w:val="auto"/>
              </w:rPr>
            </w:pPr>
            <w:r>
              <w:rPr>
                <w:rFonts w:ascii="Arial" w:cs="Arial" w:eastAsia="Arial" w:hAnsi="Arial"/>
                <w:sz w:val="16"/>
                <w:szCs w:val="16"/>
                <w:b w:val="1"/>
                <w:bCs w:val="1"/>
                <w:color w:val="auto"/>
              </w:rPr>
              <w:t>Santana Row (3)</w:t>
            </w:r>
          </w:p>
        </w:tc>
        <w:tc>
          <w:tcPr>
            <w:tcW w:w="3960" w:type="dxa"/>
            <w:vAlign w:val="bottom"/>
          </w:tcPr>
          <w:p>
            <w:pPr>
              <w:ind w:left="160"/>
              <w:spacing w:after="0"/>
              <w:rPr>
                <w:sz w:val="20"/>
                <w:szCs w:val="20"/>
                <w:color w:val="auto"/>
              </w:rPr>
            </w:pPr>
            <w:r>
              <w:rPr>
                <w:rFonts w:ascii="Arial" w:cs="Arial" w:eastAsia="Arial" w:hAnsi="Arial"/>
                <w:sz w:val="16"/>
                <w:szCs w:val="16"/>
                <w:color w:val="auto"/>
              </w:rPr>
              <w:t>San Jose, CA</w:t>
            </w:r>
          </w:p>
        </w:tc>
      </w:tr>
      <w:tr>
        <w:trPr>
          <w:trHeight w:val="219"/>
        </w:trPr>
        <w:tc>
          <w:tcPr>
            <w:tcW w:w="2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Pike 7 Plaza</w:t>
            </w:r>
          </w:p>
        </w:tc>
        <w:tc>
          <w:tcPr>
            <w:tcW w:w="2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Vienna, VA</w:t>
            </w:r>
          </w:p>
        </w:tc>
        <w:tc>
          <w:tcPr>
            <w:tcW w:w="29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w w:val="97"/>
              </w:rPr>
              <w:t>Santana Row - Santana West (3)</w:t>
            </w:r>
          </w:p>
        </w:tc>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San Jose, 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ectPr>
          <w:pgSz w:w="11900" w:h="16838" w:orient="portrait"/>
          <w:cols w:equalWidth="0" w:num="1">
            <w:col w:w="11200"/>
          </w:cols>
          <w:pgMar w:left="340" w:top="1030" w:right="359" w:bottom="1440" w:gutter="0" w:footer="0" w:header="0"/>
        </w:sectPr>
      </w:pPr>
    </w:p>
    <w:p>
      <w:pPr>
        <w:spacing w:after="0" w:line="32" w:lineRule="exact"/>
        <w:rPr>
          <w:sz w:val="20"/>
          <w:szCs w:val="20"/>
          <w:color w:val="auto"/>
        </w:rPr>
      </w:pPr>
    </w:p>
    <w:p>
      <w:pPr>
        <w:ind w:left="420" w:hanging="401"/>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Assembly Row</w:t>
      </w:r>
    </w:p>
    <w:p>
      <w:pPr>
        <w:spacing w:after="0" w:line="55" w:lineRule="exact"/>
        <w:rPr>
          <w:rFonts w:ascii="Arial" w:cs="Arial" w:eastAsia="Arial" w:hAnsi="Arial"/>
          <w:sz w:val="14"/>
          <w:szCs w:val="14"/>
          <w:color w:val="auto"/>
        </w:rPr>
      </w:pPr>
    </w:p>
    <w:p>
      <w:pPr>
        <w:ind w:left="420" w:hanging="401"/>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Pike &amp; Rose</w:t>
      </w:r>
    </w:p>
    <w:p>
      <w:pPr>
        <w:spacing w:after="0" w:line="32" w:lineRule="exact"/>
        <w:rPr>
          <w:rFonts w:ascii="Arial" w:cs="Arial" w:eastAsia="Arial" w:hAnsi="Arial"/>
          <w:sz w:val="16"/>
          <w:szCs w:val="16"/>
          <w:color w:val="auto"/>
        </w:rPr>
      </w:pPr>
    </w:p>
    <w:p>
      <w:pPr>
        <w:ind w:left="420" w:hanging="401"/>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Santana Row</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II include approximately 1.5 million square feet of commercial-use buildings and 329 residential units.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II include approximately 740,000 square feet of commercial-use buildings, and 741 residential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-98425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5"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Remaining entitlements include approximately 321,000 square feet of commercial space and 395 residential units, as well as approximately 604,000 square feet of commercial space on land we control across from Santana Row.</w:t>
      </w:r>
    </w:p>
    <w:p>
      <w:pPr>
        <w:spacing w:after="0" w:line="200" w:lineRule="exact"/>
        <w:rPr>
          <w:sz w:val="20"/>
          <w:szCs w:val="20"/>
          <w:color w:val="auto"/>
        </w:rPr>
      </w:pPr>
    </w:p>
    <w:p>
      <w:pPr>
        <w:sectPr>
          <w:pgSz w:w="11900" w:h="16838" w:orient="portrait"/>
          <w:cols w:equalWidth="0" w:num="2">
            <w:col w:w="1860" w:space="720"/>
            <w:col w:w="8620"/>
          </w:cols>
          <w:pgMar w:left="340" w:top="1030" w:right="35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340" w:top="1030" w:right="35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Property Acquisitions, Dispositions, and Other Transactions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Significant Acquisitions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City/State</w:t>
            </w:r>
          </w:p>
        </w:tc>
        <w:tc>
          <w:tcPr>
            <w:tcW w:w="15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GLA</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8"/>
              </w:rPr>
              <w:t>Purchase Price</w:t>
            </w: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Tenants</w:t>
            </w:r>
          </w:p>
        </w:tc>
        <w:tc>
          <w:tcPr>
            <w:tcW w:w="620" w:type="dxa"/>
            <w:vAlign w:val="bottom"/>
            <w:tcBorders>
              <w:bottom w:val="single" w:sz="8" w:color="auto"/>
            </w:tcBorders>
          </w:tcPr>
          <w:p>
            <w:pPr>
              <w:spacing w:after="0"/>
              <w:rPr>
                <w:sz w:val="18"/>
                <w:szCs w:val="18"/>
                <w:color w:val="auto"/>
              </w:rPr>
            </w:pPr>
          </w:p>
        </w:tc>
      </w:tr>
      <w:tr>
        <w:trPr>
          <w:trHeight w:val="180"/>
        </w:trPr>
        <w:tc>
          <w:tcPr>
            <w:tcW w:w="1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60" w:type="dxa"/>
            <w:vAlign w:val="bottom"/>
          </w:tcPr>
          <w:p>
            <w:pPr>
              <w:jc w:val="right"/>
              <w:ind w:right="62"/>
              <w:spacing w:after="0"/>
              <w:rPr>
                <w:sz w:val="20"/>
                <w:szCs w:val="20"/>
                <w:color w:val="auto"/>
              </w:rPr>
            </w:pPr>
            <w:r>
              <w:rPr>
                <w:rFonts w:ascii="Arial" w:cs="Arial" w:eastAsia="Arial" w:hAnsi="Arial"/>
                <w:sz w:val="14"/>
                <w:szCs w:val="14"/>
                <w:b w:val="1"/>
                <w:bCs w:val="1"/>
                <w:color w:val="auto"/>
              </w:rPr>
              <w:t>(in square feet)</w:t>
            </w:r>
          </w:p>
        </w:tc>
        <w:tc>
          <w:tcPr>
            <w:tcW w:w="160" w:type="dxa"/>
            <w:vAlign w:val="bottom"/>
          </w:tcPr>
          <w:p>
            <w:pPr>
              <w:spacing w:after="0"/>
              <w:rPr>
                <w:sz w:val="15"/>
                <w:szCs w:val="15"/>
                <w:color w:val="auto"/>
              </w:rPr>
            </w:pPr>
          </w:p>
        </w:tc>
        <w:tc>
          <w:tcPr>
            <w:tcW w:w="1180" w:type="dxa"/>
            <w:vAlign w:val="bottom"/>
          </w:tcPr>
          <w:p>
            <w:pPr>
              <w:jc w:val="right"/>
              <w:ind w:right="202"/>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0"/>
        </w:trPr>
        <w:tc>
          <w:tcPr>
            <w:tcW w:w="1700" w:type="dxa"/>
            <w:vAlign w:val="bottom"/>
          </w:tcPr>
          <w:p>
            <w:pPr>
              <w:ind w:left="20"/>
              <w:spacing w:after="0"/>
              <w:rPr>
                <w:sz w:val="20"/>
                <w:szCs w:val="20"/>
                <w:color w:val="auto"/>
              </w:rPr>
            </w:pPr>
            <w:r>
              <w:rPr>
                <w:rFonts w:ascii="Arial" w:cs="Arial" w:eastAsia="Arial" w:hAnsi="Arial"/>
                <w:sz w:val="16"/>
                <w:szCs w:val="16"/>
                <w:color w:val="auto"/>
              </w:rPr>
              <w:t>January 10, 2020</w:t>
            </w:r>
          </w:p>
        </w:tc>
        <w:tc>
          <w:tcPr>
            <w:tcW w:w="2120" w:type="dxa"/>
            <w:vAlign w:val="bottom"/>
          </w:tcPr>
          <w:p>
            <w:pPr>
              <w:ind w:left="20"/>
              <w:spacing w:after="0"/>
              <w:rPr>
                <w:sz w:val="20"/>
                <w:szCs w:val="20"/>
                <w:color w:val="auto"/>
              </w:rPr>
            </w:pPr>
            <w:r>
              <w:rPr>
                <w:rFonts w:ascii="Arial" w:cs="Arial" w:eastAsia="Arial" w:hAnsi="Arial"/>
                <w:sz w:val="16"/>
                <w:szCs w:val="16"/>
                <w:color w:val="auto"/>
              </w:rPr>
              <w:t>Westfair Shopping Center</w:t>
            </w:r>
          </w:p>
        </w:tc>
        <w:tc>
          <w:tcPr>
            <w:tcW w:w="2380" w:type="dxa"/>
            <w:vAlign w:val="bottom"/>
          </w:tcPr>
          <w:p>
            <w:pPr>
              <w:ind w:left="440"/>
              <w:spacing w:after="0"/>
              <w:rPr>
                <w:sz w:val="20"/>
                <w:szCs w:val="20"/>
                <w:color w:val="auto"/>
              </w:rPr>
            </w:pPr>
            <w:r>
              <w:rPr>
                <w:rFonts w:ascii="Arial" w:cs="Arial" w:eastAsia="Arial" w:hAnsi="Arial"/>
                <w:sz w:val="16"/>
                <w:szCs w:val="16"/>
                <w:color w:val="auto"/>
              </w:rPr>
              <w:t>Fairfax, Virginia</w:t>
            </w:r>
          </w:p>
        </w:tc>
        <w:tc>
          <w:tcPr>
            <w:tcW w:w="1560" w:type="dxa"/>
            <w:vAlign w:val="bottom"/>
          </w:tcPr>
          <w:p>
            <w:pPr>
              <w:jc w:val="right"/>
              <w:spacing w:after="0"/>
              <w:rPr>
                <w:sz w:val="20"/>
                <w:szCs w:val="20"/>
                <w:color w:val="auto"/>
              </w:rPr>
            </w:pPr>
            <w:r>
              <w:rPr>
                <w:rFonts w:ascii="Arial" w:cs="Arial" w:eastAsia="Arial" w:hAnsi="Arial"/>
                <w:sz w:val="16"/>
                <w:szCs w:val="16"/>
                <w:color w:val="auto"/>
              </w:rPr>
              <w:t>49,000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c>
          <w:tcPr>
            <w:tcW w:w="1520" w:type="dxa"/>
            <w:vAlign w:val="bottom"/>
          </w:tcPr>
          <w:p>
            <w:pPr>
              <w:ind w:left="60"/>
              <w:spacing w:after="0"/>
              <w:rPr>
                <w:sz w:val="20"/>
                <w:szCs w:val="20"/>
                <w:color w:val="auto"/>
              </w:rPr>
            </w:pPr>
            <w:r>
              <w:rPr>
                <w:rFonts w:ascii="Arial" w:cs="Arial" w:eastAsia="Arial" w:hAnsi="Arial"/>
                <w:sz w:val="16"/>
                <w:szCs w:val="16"/>
                <w:color w:val="auto"/>
              </w:rPr>
              <w:t>Guitar Center</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216"/>
        </w:trPr>
        <w:tc>
          <w:tcPr>
            <w:tcW w:w="1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February 12, 2020</w:t>
            </w:r>
          </w:p>
        </w:tc>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Hoboken (2 buildings)</w:t>
            </w:r>
          </w:p>
        </w:tc>
        <w:tc>
          <w:tcPr>
            <w:tcW w:w="23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Hoboken, New Jersey</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bl>
    <w:p>
      <w:pPr>
        <w:spacing w:after="0" w:line="77" w:lineRule="exact"/>
        <w:rPr>
          <w:sz w:val="20"/>
          <w:szCs w:val="20"/>
          <w:color w:val="auto"/>
        </w:rPr>
      </w:pPr>
    </w:p>
    <w:p>
      <w:pPr>
        <w:ind w:left="260" w:hanging="252"/>
        <w:spacing w:after="0" w:line="274" w:lineRule="auto"/>
        <w:tabs>
          <w:tab w:leader="none" w:pos="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acquisition was funded by 163,322 downREIT operating partnership units. This property is adjacent to, and will be operated as, part of our Fairfax Junction property.</w:t>
      </w:r>
    </w:p>
    <w:p>
      <w:pPr>
        <w:spacing w:after="0" w:line="12" w:lineRule="exact"/>
        <w:rPr>
          <w:rFonts w:ascii="Arial" w:cs="Arial" w:eastAsia="Arial" w:hAnsi="Arial"/>
          <w:sz w:val="17"/>
          <w:szCs w:val="17"/>
          <w:color w:val="auto"/>
        </w:rPr>
      </w:pPr>
    </w:p>
    <w:p>
      <w:pPr>
        <w:ind w:left="260" w:right="20" w:hanging="252"/>
        <w:spacing w:after="0" w:line="261" w:lineRule="auto"/>
        <w:tabs>
          <w:tab w:leader="none" w:pos="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acquisition is in addition to the 37 buildings previously acquired, and was completed through the joint venture that was founded in 2019, for which we own a 90% interest. The purchase price includes the assumption of $8.9 million of mortgage debt. These buildings include 6 residential units in addition to the commercial GLA listed above.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Significant Dispositions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w:t>
            </w:r>
          </w:p>
        </w:tc>
        <w:tc>
          <w:tcPr>
            <w:tcW w:w="25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City/State</w:t>
            </w:r>
          </w:p>
        </w:tc>
        <w:tc>
          <w:tcPr>
            <w:tcW w:w="14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GLA</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w w:val="95"/>
              </w:rPr>
              <w:t>Sales Price</w:t>
            </w:r>
          </w:p>
        </w:tc>
        <w:tc>
          <w:tcPr>
            <w:tcW w:w="2040" w:type="dxa"/>
            <w:vAlign w:val="bottom"/>
            <w:tcBorders>
              <w:bottom w:val="single" w:sz="8" w:color="auto"/>
            </w:tcBorders>
          </w:tcPr>
          <w:p>
            <w:pPr>
              <w:spacing w:after="0"/>
              <w:rPr>
                <w:sz w:val="18"/>
                <w:szCs w:val="18"/>
                <w:color w:val="auto"/>
              </w:rPr>
            </w:pPr>
          </w:p>
        </w:tc>
      </w:tr>
      <w:tr>
        <w:trPr>
          <w:trHeight w:val="18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00" w:type="dxa"/>
            <w:vAlign w:val="bottom"/>
          </w:tcPr>
          <w:p>
            <w:pPr>
              <w:jc w:val="right"/>
              <w:ind w:right="81"/>
              <w:spacing w:after="0"/>
              <w:rPr>
                <w:sz w:val="20"/>
                <w:szCs w:val="20"/>
                <w:color w:val="auto"/>
              </w:rPr>
            </w:pPr>
            <w:r>
              <w:rPr>
                <w:rFonts w:ascii="Arial" w:cs="Arial" w:eastAsia="Arial" w:hAnsi="Arial"/>
                <w:sz w:val="14"/>
                <w:szCs w:val="14"/>
                <w:b w:val="1"/>
                <w:bCs w:val="1"/>
                <w:color w:val="auto"/>
              </w:rPr>
              <w:t>(in square feet)</w:t>
            </w:r>
          </w:p>
        </w:tc>
        <w:tc>
          <w:tcPr>
            <w:tcW w:w="240" w:type="dxa"/>
            <w:vAlign w:val="bottom"/>
          </w:tcPr>
          <w:p>
            <w:pPr>
              <w:spacing w:after="0"/>
              <w:rPr>
                <w:sz w:val="15"/>
                <w:szCs w:val="15"/>
                <w:color w:val="auto"/>
              </w:rPr>
            </w:pPr>
          </w:p>
        </w:tc>
        <w:tc>
          <w:tcPr>
            <w:tcW w:w="1140" w:type="dxa"/>
            <w:vAlign w:val="bottom"/>
          </w:tcPr>
          <w:p>
            <w:pPr>
              <w:jc w:val="right"/>
              <w:ind w:right="221"/>
              <w:spacing w:after="0"/>
              <w:rPr>
                <w:sz w:val="20"/>
                <w:szCs w:val="20"/>
                <w:color w:val="auto"/>
              </w:rPr>
            </w:pPr>
            <w:r>
              <w:rPr>
                <w:rFonts w:ascii="Arial" w:cs="Arial" w:eastAsia="Arial" w:hAnsi="Arial"/>
                <w:sz w:val="14"/>
                <w:szCs w:val="14"/>
                <w:b w:val="1"/>
                <w:bCs w:val="1"/>
                <w:color w:val="auto"/>
              </w:rPr>
              <w:t>(in millions)</w:t>
            </w:r>
          </w:p>
        </w:tc>
        <w:tc>
          <w:tcPr>
            <w:tcW w:w="2040" w:type="dxa"/>
            <w:vAlign w:val="bottom"/>
          </w:tcPr>
          <w:p>
            <w:pPr>
              <w:spacing w:after="0"/>
              <w:rPr>
                <w:sz w:val="15"/>
                <w:szCs w:val="15"/>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21, 2020</w:t>
            </w:r>
          </w:p>
        </w:tc>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Colorado Blvd (1 building)</w:t>
            </w:r>
          </w:p>
        </w:tc>
        <w:tc>
          <w:tcPr>
            <w:tcW w:w="2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Pasadena, California</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040" w:type="dxa"/>
            <w:vAlign w:val="bottom"/>
            <w:shd w:val="clear" w:color="auto" w:fill="CCEEFF"/>
          </w:tcPr>
          <w:p>
            <w:pPr>
              <w:jc w:val="right"/>
              <w:ind w:right="1739"/>
              <w:spacing w:after="0"/>
              <w:rPr>
                <w:sz w:val="20"/>
                <w:szCs w:val="20"/>
                <w:color w:val="auto"/>
              </w:rPr>
            </w:pPr>
            <w:r>
              <w:rPr>
                <w:rFonts w:ascii="Arial" w:cs="Arial" w:eastAsia="Arial" w:hAnsi="Arial"/>
                <w:sz w:val="16"/>
                <w:szCs w:val="16"/>
                <w:color w:val="auto"/>
              </w:rPr>
              <w:t>(3)</w:t>
            </w:r>
          </w:p>
        </w:tc>
      </w:tr>
      <w:tr>
        <w:trPr>
          <w:trHeight w:val="213"/>
        </w:trPr>
        <w:tc>
          <w:tcPr>
            <w:tcW w:w="1700" w:type="dxa"/>
            <w:vAlign w:val="bottom"/>
          </w:tcPr>
          <w:p>
            <w:pPr>
              <w:ind w:left="20"/>
              <w:spacing w:after="0"/>
              <w:rPr>
                <w:sz w:val="20"/>
                <w:szCs w:val="20"/>
                <w:color w:val="auto"/>
              </w:rPr>
            </w:pPr>
            <w:r>
              <w:rPr>
                <w:rFonts w:ascii="Arial" w:cs="Arial" w:eastAsia="Arial" w:hAnsi="Arial"/>
                <w:sz w:val="16"/>
                <w:szCs w:val="16"/>
                <w:color w:val="auto"/>
              </w:rPr>
              <w:t>December 17, 2020</w:t>
            </w:r>
          </w:p>
        </w:tc>
        <w:tc>
          <w:tcPr>
            <w:tcW w:w="2160" w:type="dxa"/>
            <w:vAlign w:val="bottom"/>
          </w:tcPr>
          <w:p>
            <w:pPr>
              <w:ind w:left="20"/>
              <w:spacing w:after="0"/>
              <w:rPr>
                <w:sz w:val="20"/>
                <w:szCs w:val="20"/>
                <w:color w:val="auto"/>
              </w:rPr>
            </w:pPr>
            <w:r>
              <w:rPr>
                <w:rFonts w:ascii="Arial" w:cs="Arial" w:eastAsia="Arial" w:hAnsi="Arial"/>
                <w:sz w:val="16"/>
                <w:szCs w:val="16"/>
                <w:color w:val="auto"/>
              </w:rPr>
              <w:t>Sam's Park &amp; Shop</w:t>
            </w:r>
          </w:p>
        </w:tc>
        <w:tc>
          <w:tcPr>
            <w:tcW w:w="2560" w:type="dxa"/>
            <w:vAlign w:val="bottom"/>
          </w:tcPr>
          <w:p>
            <w:pPr>
              <w:ind w:left="400"/>
              <w:spacing w:after="0"/>
              <w:rPr>
                <w:sz w:val="20"/>
                <w:szCs w:val="20"/>
                <w:color w:val="auto"/>
              </w:rPr>
            </w:pPr>
            <w:r>
              <w:rPr>
                <w:rFonts w:ascii="Arial" w:cs="Arial" w:eastAsia="Arial" w:hAnsi="Arial"/>
                <w:sz w:val="16"/>
                <w:szCs w:val="16"/>
                <w:color w:val="auto"/>
              </w:rPr>
              <w:t>Washington, DC</w:t>
            </w:r>
          </w:p>
        </w:tc>
        <w:tc>
          <w:tcPr>
            <w:tcW w:w="1400" w:type="dxa"/>
            <w:vAlign w:val="bottom"/>
          </w:tcPr>
          <w:p>
            <w:pPr>
              <w:jc w:val="right"/>
              <w:spacing w:after="0"/>
              <w:rPr>
                <w:sz w:val="20"/>
                <w:szCs w:val="20"/>
                <w:color w:val="auto"/>
              </w:rPr>
            </w:pPr>
            <w:r>
              <w:rPr>
                <w:rFonts w:ascii="Arial" w:cs="Arial" w:eastAsia="Arial" w:hAnsi="Arial"/>
                <w:sz w:val="16"/>
                <w:szCs w:val="16"/>
                <w:color w:val="auto"/>
              </w:rPr>
              <w:t>51,000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39.0</w:t>
            </w:r>
          </w:p>
        </w:tc>
        <w:tc>
          <w:tcPr>
            <w:tcW w:w="2040" w:type="dxa"/>
            <w:vAlign w:val="bottom"/>
          </w:tcPr>
          <w:p>
            <w:pPr>
              <w:spacing w:after="0"/>
              <w:rPr>
                <w:sz w:val="18"/>
                <w:szCs w:val="18"/>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28, 2020</w:t>
            </w:r>
          </w:p>
        </w:tc>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Eastgate Crossing</w:t>
            </w:r>
          </w:p>
        </w:tc>
        <w:tc>
          <w:tcPr>
            <w:tcW w:w="2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Chapel Hill, North Carolina</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158,000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204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December 31, 2020</w:t>
            </w:r>
          </w:p>
        </w:tc>
        <w:tc>
          <w:tcPr>
            <w:tcW w:w="2160" w:type="dxa"/>
            <w:vAlign w:val="bottom"/>
          </w:tcPr>
          <w:p>
            <w:pPr>
              <w:ind w:left="20"/>
              <w:spacing w:after="0"/>
              <w:rPr>
                <w:sz w:val="20"/>
                <w:szCs w:val="20"/>
                <w:color w:val="auto"/>
              </w:rPr>
            </w:pPr>
            <w:r>
              <w:rPr>
                <w:rFonts w:ascii="Arial" w:cs="Arial" w:eastAsia="Arial" w:hAnsi="Arial"/>
                <w:sz w:val="16"/>
                <w:szCs w:val="16"/>
                <w:color w:val="auto"/>
              </w:rPr>
              <w:t>The Shops at Sunset Place</w:t>
            </w:r>
          </w:p>
        </w:tc>
        <w:tc>
          <w:tcPr>
            <w:tcW w:w="2560" w:type="dxa"/>
            <w:vAlign w:val="bottom"/>
          </w:tcPr>
          <w:p>
            <w:pPr>
              <w:ind w:left="400"/>
              <w:spacing w:after="0"/>
              <w:rPr>
                <w:sz w:val="20"/>
                <w:szCs w:val="20"/>
                <w:color w:val="auto"/>
              </w:rPr>
            </w:pPr>
            <w:r>
              <w:rPr>
                <w:rFonts w:ascii="Arial" w:cs="Arial" w:eastAsia="Arial" w:hAnsi="Arial"/>
                <w:sz w:val="16"/>
                <w:szCs w:val="16"/>
                <w:color w:val="auto"/>
              </w:rPr>
              <w:t>Miami, Florida</w:t>
            </w:r>
          </w:p>
        </w:tc>
        <w:tc>
          <w:tcPr>
            <w:tcW w:w="1400" w:type="dxa"/>
            <w:vAlign w:val="bottom"/>
          </w:tcPr>
          <w:p>
            <w:pPr>
              <w:jc w:val="right"/>
              <w:spacing w:after="0"/>
              <w:rPr>
                <w:sz w:val="20"/>
                <w:szCs w:val="20"/>
                <w:color w:val="auto"/>
              </w:rPr>
            </w:pPr>
            <w:r>
              <w:rPr>
                <w:rFonts w:ascii="Arial" w:cs="Arial" w:eastAsia="Arial" w:hAnsi="Arial"/>
                <w:sz w:val="16"/>
                <w:szCs w:val="16"/>
                <w:color w:val="auto"/>
              </w:rPr>
              <w:t>516,000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65.5</w:t>
            </w:r>
          </w:p>
        </w:tc>
        <w:tc>
          <w:tcPr>
            <w:tcW w:w="2040" w:type="dxa"/>
            <w:vAlign w:val="bottom"/>
          </w:tcPr>
          <w:p>
            <w:pPr>
              <w:spacing w:after="0"/>
              <w:rPr>
                <w:sz w:val="18"/>
                <w:szCs w:val="18"/>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(3) This building included 12 residential units in addition to the commercial GLA listed above.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and 2021 Other Transactions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Type</w:t>
            </w:r>
          </w:p>
        </w:tc>
        <w:tc>
          <w:tcPr>
            <w:tcW w:w="21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Property</w:t>
            </w:r>
          </w:p>
        </w:tc>
        <w:tc>
          <w:tcPr>
            <w:tcW w:w="24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City/State</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Purchase Price</w:t>
            </w:r>
          </w:p>
        </w:tc>
        <w:tc>
          <w:tcPr>
            <w:tcW w:w="360" w:type="dxa"/>
            <w:vAlign w:val="bottom"/>
          </w:tcPr>
          <w:p>
            <w:pPr>
              <w:spacing w:after="0"/>
              <w:rPr>
                <w:sz w:val="18"/>
                <w:szCs w:val="18"/>
                <w:color w:val="auto"/>
              </w:rPr>
            </w:pPr>
          </w:p>
        </w:tc>
      </w:tr>
      <w:tr>
        <w:trPr>
          <w:trHeight w:val="183"/>
        </w:trPr>
        <w:tc>
          <w:tcPr>
            <w:tcW w:w="1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jc w:val="right"/>
              <w:ind w:right="262"/>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18, 2020</w:t>
            </w: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mortgage loans</w:t>
            </w:r>
          </w:p>
        </w:tc>
        <w:tc>
          <w:tcPr>
            <w:tcW w:w="21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2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Rockville, Maryland</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60" w:type="dxa"/>
            <w:vAlign w:val="bottom"/>
            <w:shd w:val="clear" w:color="auto" w:fill="CCEEFF"/>
          </w:tcPr>
          <w:p>
            <w:pPr>
              <w:spacing w:after="0"/>
              <w:rPr>
                <w:sz w:val="19"/>
                <w:szCs w:val="19"/>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color w:val="auto"/>
              </w:rPr>
              <w:t>December 17, 2020</w:t>
            </w:r>
          </w:p>
        </w:tc>
        <w:tc>
          <w:tcPr>
            <w:tcW w:w="2520" w:type="dxa"/>
            <w:vAlign w:val="bottom"/>
          </w:tcPr>
          <w:p>
            <w:pPr>
              <w:ind w:left="20"/>
              <w:spacing w:after="0"/>
              <w:rPr>
                <w:sz w:val="20"/>
                <w:szCs w:val="20"/>
                <w:color w:val="auto"/>
              </w:rPr>
            </w:pPr>
            <w:r>
              <w:rPr>
                <w:rFonts w:ascii="Arial" w:cs="Arial" w:eastAsia="Arial" w:hAnsi="Arial"/>
                <w:sz w:val="16"/>
                <w:szCs w:val="16"/>
                <w:color w:val="auto"/>
              </w:rPr>
              <w:t>Acquisition of partner interest</w:t>
            </w:r>
          </w:p>
        </w:tc>
        <w:tc>
          <w:tcPr>
            <w:tcW w:w="2180" w:type="dxa"/>
            <w:vAlign w:val="bottom"/>
          </w:tcPr>
          <w:p>
            <w:pPr>
              <w:ind w:left="560"/>
              <w:spacing w:after="0"/>
              <w:rPr>
                <w:sz w:val="20"/>
                <w:szCs w:val="20"/>
                <w:color w:val="auto"/>
              </w:rPr>
            </w:pPr>
            <w:r>
              <w:rPr>
                <w:rFonts w:ascii="Arial" w:cs="Arial" w:eastAsia="Arial" w:hAnsi="Arial"/>
                <w:sz w:val="16"/>
                <w:szCs w:val="16"/>
                <w:color w:val="auto"/>
              </w:rPr>
              <w:t>Plaza El Segundo</w:t>
            </w:r>
          </w:p>
        </w:tc>
        <w:tc>
          <w:tcPr>
            <w:tcW w:w="2440" w:type="dxa"/>
            <w:vAlign w:val="bottom"/>
          </w:tcPr>
          <w:p>
            <w:pPr>
              <w:ind w:left="340"/>
              <w:spacing w:after="0"/>
              <w:rPr>
                <w:sz w:val="20"/>
                <w:szCs w:val="20"/>
                <w:color w:val="auto"/>
              </w:rPr>
            </w:pPr>
            <w:r>
              <w:rPr>
                <w:rFonts w:ascii="Arial" w:cs="Arial" w:eastAsia="Arial" w:hAnsi="Arial"/>
                <w:sz w:val="16"/>
                <w:szCs w:val="16"/>
                <w:color w:val="auto"/>
              </w:rPr>
              <w:t>El Segundo, California</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216"/>
        </w:trPr>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4, 2021</w:t>
            </w: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partner interest</w:t>
            </w:r>
          </w:p>
        </w:tc>
        <w:tc>
          <w:tcPr>
            <w:tcW w:w="21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Pike &amp; Rose (hotel)</w:t>
            </w:r>
          </w:p>
        </w:tc>
        <w:tc>
          <w:tcPr>
            <w:tcW w:w="2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North Bethesda, Maryland</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r>
    </w:tbl>
    <w:p>
      <w:pPr>
        <w:spacing w:after="0" w:line="98"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result of this transaction, our ownership in this partnership is now 78.2%.</w:t>
      </w:r>
    </w:p>
    <w:p>
      <w:pPr>
        <w:spacing w:after="0" w:line="59" w:lineRule="exact"/>
        <w:rPr>
          <w:rFonts w:ascii="Arial" w:cs="Arial" w:eastAsia="Arial" w:hAnsi="Arial"/>
          <w:sz w:val="16"/>
          <w:szCs w:val="16"/>
          <w:color w:val="auto"/>
        </w:rPr>
      </w:pPr>
    </w:p>
    <w:p>
      <w:pPr>
        <w:ind w:left="180" w:right="300" w:hanging="172"/>
        <w:spacing w:after="0" w:line="275" w:lineRule="auto"/>
        <w:tabs>
          <w:tab w:leader="none" w:pos="2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of our partner's 20% interest included the repayment of the $31.5 million mortgage loan. As a result of the transaction, we gained control of the hotel portion of this property, and effective January 4, 2021, we have consolidated this asset.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2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160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Acreage</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GLA (3)</w:t>
            </w:r>
          </w:p>
        </w:tc>
        <w:tc>
          <w:tcPr>
            <w:tcW w:w="54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89"/>
              </w:rPr>
              <w:t>Leased</w:t>
            </w:r>
          </w:p>
        </w:tc>
        <w:tc>
          <w:tcPr>
            <w:tcW w:w="660" w:type="dxa"/>
            <w:vAlign w:val="bottom"/>
          </w:tcPr>
          <w:p>
            <w:pPr>
              <w:jc w:val="right"/>
              <w:ind w:right="37"/>
              <w:spacing w:after="0" w:line="122" w:lineRule="exact"/>
              <w:rPr>
                <w:sz w:val="20"/>
                <w:szCs w:val="20"/>
                <w:color w:val="auto"/>
              </w:rPr>
            </w:pPr>
            <w:r>
              <w:rPr>
                <w:rFonts w:ascii="Arial" w:cs="Arial" w:eastAsia="Arial" w:hAnsi="Arial"/>
                <w:sz w:val="13"/>
                <w:szCs w:val="13"/>
                <w:b w:val="1"/>
                <w:bCs w:val="1"/>
                <w:color w:val="auto"/>
                <w:w w:val="91"/>
              </w:rPr>
              <w:t>Occupied</w:t>
            </w:r>
          </w:p>
        </w:tc>
        <w:tc>
          <w:tcPr>
            <w:tcW w:w="4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8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40" w:type="dxa"/>
            <w:vAlign w:val="bottom"/>
            <w:vMerge w:val="continue"/>
          </w:tcPr>
          <w:p>
            <w:pPr>
              <w:spacing w:after="0"/>
              <w:rPr>
                <w:sz w:val="10"/>
                <w:szCs w:val="10"/>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gridSpan w:val="2"/>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4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8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Washington Metropolitan Area</w:t>
            </w:r>
          </w:p>
        </w:tc>
        <w:tc>
          <w:tcPr>
            <w:tcW w:w="6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Barcroft Plaza</w:t>
            </w:r>
          </w:p>
        </w:tc>
        <w:tc>
          <w:tcPr>
            <w:tcW w:w="2200" w:type="dxa"/>
            <w:vAlign w:val="bottom"/>
            <w:gridSpan w:val="3"/>
          </w:tcPr>
          <w:p>
            <w:pPr>
              <w:ind w:left="360"/>
              <w:spacing w:after="0" w:line="122" w:lineRule="exact"/>
              <w:rPr>
                <w:sz w:val="20"/>
                <w:szCs w:val="20"/>
                <w:color w:val="auto"/>
              </w:rPr>
            </w:pPr>
            <w:r>
              <w:rPr>
                <w:rFonts w:ascii="Arial" w:cs="Arial" w:eastAsia="Arial" w:hAnsi="Arial"/>
                <w:sz w:val="13"/>
                <w:szCs w:val="13"/>
                <w:color w:val="auto"/>
                <w:w w:val="95"/>
              </w:rPr>
              <w:t>Washington-Arlington-  $  49,455</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113,000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$27.15</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2"/>
              </w:rPr>
              <w:t>Harris Teeter</w:t>
            </w: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2200" w:type="dxa"/>
            <w:vAlign w:val="bottom"/>
            <w:gridSpan w:val="3"/>
            <w:shd w:val="clear" w:color="auto" w:fill="CCEEFF"/>
          </w:tcPr>
          <w:p>
            <w:pPr>
              <w:ind w:left="360"/>
              <w:spacing w:after="0" w:line="129" w:lineRule="exact"/>
              <w:rPr>
                <w:sz w:val="20"/>
                <w:szCs w:val="20"/>
                <w:color w:val="auto"/>
              </w:rPr>
            </w:pPr>
            <w:r>
              <w:rPr>
                <w:rFonts w:ascii="Arial" w:cs="Arial" w:eastAsia="Arial" w:hAnsi="Arial"/>
                <w:sz w:val="13"/>
                <w:szCs w:val="13"/>
                <w:color w:val="auto"/>
                <w:w w:val="95"/>
              </w:rPr>
              <w:t>Washington-Arlington-    244,352</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529,000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55.08</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180</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40,000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9"/>
              </w:rPr>
              <w:t>Apple / Equinox / Anthropologie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Congressional Plaza</w:t>
            </w:r>
          </w:p>
        </w:tc>
        <w:tc>
          <w:tcPr>
            <w:tcW w:w="16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(5)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105,822</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323,000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85 %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83 %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43.15</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194</w:t>
            </w: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25,000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The Fresh</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Buy Buy Baby / Ulta / Barnes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Market</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Courthouse Center</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7,064</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37,000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21.61</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Fairfax Junction</w:t>
            </w:r>
          </w:p>
        </w:tc>
        <w:tc>
          <w:tcPr>
            <w:tcW w:w="16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(6)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41,168</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124,000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25.75</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23,000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Aldi</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CVS / Planet Fitness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1"/>
              </w:rPr>
              <w:t>Falls Plaza/Falls Plaza-</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16,112</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144,000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36.66</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51,000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East</w:t>
            </w: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Federal Plaza</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70,846</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18</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249,000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39.02</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14,000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7"/>
              </w:rPr>
              <w:t>Trader Joe's</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TJ Maxx / Micro Center / Ross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Dress For 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Friendship Center</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38,218</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119,000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30.41</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0"/>
              </w:rPr>
              <w:t>Marshalls / Nordstrom Rack / DSW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Maggiano's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Gaithersburg Square</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29,669</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208,000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30.13</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Ross Dress For Less / Ashley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Furniture HomeStore / 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Graham Park Plaza</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36,652</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132,000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38.42</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58,000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Idylwood Plaza</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17,423</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7</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73,000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51.66</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30,000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1"/>
              </w:rPr>
              <w:t>Whole Foods</w:t>
            </w: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Laurel</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60,645</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360,000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22.90</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61,000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Marshalls / L.A. Fitness</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Leesburg Plaza</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37,322</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26</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236,000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83 %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83 %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23.40</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Giant Food</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Petsmart / Office Depot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Montrose Crossing</w:t>
            </w:r>
          </w:p>
        </w:tc>
        <w:tc>
          <w:tcPr>
            <w:tcW w:w="2200" w:type="dxa"/>
            <w:vAlign w:val="bottom"/>
            <w:gridSpan w:val="3"/>
            <w:shd w:val="clear" w:color="auto" w:fill="CCEEFF"/>
          </w:tcPr>
          <w:p>
            <w:pPr>
              <w:ind w:left="360"/>
              <w:spacing w:after="0" w:line="129" w:lineRule="exact"/>
              <w:rPr>
                <w:sz w:val="20"/>
                <w:szCs w:val="20"/>
                <w:color w:val="auto"/>
              </w:rPr>
            </w:pPr>
            <w:r>
              <w:rPr>
                <w:rFonts w:ascii="Arial" w:cs="Arial" w:eastAsia="Arial" w:hAnsi="Arial"/>
                <w:sz w:val="13"/>
                <w:szCs w:val="13"/>
                <w:color w:val="auto"/>
                <w:w w:val="95"/>
              </w:rPr>
              <w:t>Washington-Arlington-    164,982</w:t>
            </w:r>
          </w:p>
        </w:tc>
        <w:tc>
          <w:tcPr>
            <w:tcW w:w="10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65,596</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368,000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32.99</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73,000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Marshalls / Home Depot Design</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w w:val="93"/>
              </w:rPr>
              <w:t>Center / Old Navy / Bob's Discount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ind w:left="6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Mount Vernon/South</w:t>
            </w:r>
          </w:p>
        </w:tc>
        <w:tc>
          <w:tcPr>
            <w:tcW w:w="16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(6)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86,966</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29</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564,000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19.23</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62,000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Shoppers</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w w:val="93"/>
              </w:rPr>
              <w:t>TJ Maxx / Home Depot / Bed, Bath</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w w:val="95"/>
              </w:rPr>
              <w:t>Valley/7770 Richmond</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Food</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&amp; Beyond / Results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Hwy</w:t>
            </w: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Warehouse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Old Keene Mill</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13,061</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91,000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36.34</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24,000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Whole Foods</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Walgreens / Planet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Pan Am</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30,047</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25</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228,000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27.75</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65,000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Safeway</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Micro Center / CVS / Michaels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Pentagon Row</w:t>
            </w:r>
          </w:p>
        </w:tc>
        <w:tc>
          <w:tcPr>
            <w:tcW w:w="2200" w:type="dxa"/>
            <w:vAlign w:val="bottom"/>
            <w:gridSpan w:val="3"/>
            <w:shd w:val="clear" w:color="auto" w:fill="CCEEFF"/>
          </w:tcPr>
          <w:p>
            <w:pPr>
              <w:ind w:left="360"/>
              <w:spacing w:after="0" w:line="129" w:lineRule="exact"/>
              <w:rPr>
                <w:sz w:val="20"/>
                <w:szCs w:val="20"/>
                <w:color w:val="auto"/>
              </w:rPr>
            </w:pPr>
            <w:r>
              <w:rPr>
                <w:rFonts w:ascii="Arial" w:cs="Arial" w:eastAsia="Arial" w:hAnsi="Arial"/>
                <w:sz w:val="13"/>
                <w:szCs w:val="13"/>
                <w:color w:val="auto"/>
                <w:w w:val="95"/>
              </w:rPr>
              <w:t>Washington-Arlington-    107,177</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297,000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37.47</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45,000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Harris Teeter</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TJ Maxx / Bed, Bath &amp; Beyond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Pike &amp; Rose</w:t>
            </w:r>
          </w:p>
        </w:tc>
        <w:tc>
          <w:tcPr>
            <w:tcW w:w="16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(7)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650,469</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24</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525,000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37.78</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765</w:t>
            </w: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w w:val="90"/>
              </w:rPr>
              <w:t>iPic Theater / Porsche / Uniqlo / REI</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w w:val="97"/>
              </w:rPr>
              <w:t>/ Pinstripes / Multiple 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Pike 7 Plaza</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49,544</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172,000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49.62</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6"/>
              </w:rPr>
              <w:t>TJ Maxx / DSW / Crunch Fitness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rPr>
              <w:t>Plaza del Mercado</w:t>
            </w: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46,895</w:t>
            </w:r>
          </w:p>
        </w:tc>
        <w:tc>
          <w:tcPr>
            <w:tcW w:w="10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116,000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32.04</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Aldi</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Quince Orchard</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41,104</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64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268,000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25.15</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19,000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Aldi</w:t>
            </w:r>
          </w:p>
        </w:tc>
        <w:tc>
          <w:tcPr>
            <w:tcW w:w="196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0"/>
              </w:rPr>
              <w:t>HomeGoods / L.A. Fitness / Staples</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tcPr>
          <w:p>
            <w:pPr>
              <w:spacing w:after="0" w:line="122" w:lineRule="exact"/>
              <w:rPr>
                <w:sz w:val="20"/>
                <w:szCs w:val="20"/>
                <w:color w:val="auto"/>
              </w:rPr>
            </w:pPr>
            <w:r>
              <w:rPr>
                <w:rFonts w:ascii="Arial" w:cs="Arial" w:eastAsia="Arial" w:hAnsi="Arial"/>
                <w:sz w:val="13"/>
                <w:szCs w:val="13"/>
                <w:color w:val="auto"/>
                <w:w w:val="93"/>
              </w:rPr>
              <w:t>Rockville Town Square</w:t>
            </w:r>
          </w:p>
        </w:tc>
        <w:tc>
          <w:tcPr>
            <w:tcW w:w="16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(8)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49,839</w:t>
            </w:r>
          </w:p>
        </w:tc>
        <w:tc>
          <w:tcPr>
            <w:tcW w:w="1040" w:type="dxa"/>
            <w:vAlign w:val="bottom"/>
          </w:tcPr>
          <w:p>
            <w:pPr>
              <w:jc w:val="center"/>
              <w:spacing w:after="0" w:line="122" w:lineRule="exact"/>
              <w:rPr>
                <w:sz w:val="20"/>
                <w:szCs w:val="20"/>
                <w:color w:val="auto"/>
              </w:rPr>
            </w:pPr>
            <w:r>
              <w:rPr>
                <w:rFonts w:ascii="Arial" w:cs="Arial" w:eastAsia="Arial" w:hAnsi="Arial"/>
                <w:sz w:val="13"/>
                <w:szCs w:val="13"/>
                <w:color w:val="auto"/>
                <w:w w:val="85"/>
              </w:rPr>
              <w:t>4,392</w:t>
            </w:r>
          </w:p>
        </w:tc>
        <w:tc>
          <w:tcPr>
            <w:tcW w:w="52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187,000</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75 %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75 %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28.65</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25,000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Dawson's</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CVS / Gold's Gym / Multiple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gridSpan w:val="2"/>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Market</w:t>
            </w:r>
          </w:p>
        </w:tc>
        <w:tc>
          <w:tcPr>
            <w:tcW w:w="1960" w:type="dxa"/>
            <w:vAlign w:val="bottom"/>
          </w:tcPr>
          <w:p>
            <w:pPr>
              <w:ind w:left="60"/>
              <w:spacing w:after="0" w:line="122" w:lineRule="exact"/>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Rollingwood</w:t>
            </w:r>
          </w:p>
        </w:tc>
        <w:tc>
          <w:tcPr>
            <w:tcW w:w="16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11,603</w:t>
            </w: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N/A</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N/A</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282</w:t>
            </w: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Apartments</w:t>
            </w:r>
          </w:p>
        </w:tc>
        <w:tc>
          <w:tcPr>
            <w:tcW w:w="160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747"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Pr>
          <w:p>
            <w:pPr>
              <w:spacing w:after="0"/>
              <w:rPr>
                <w:sz w:val="10"/>
                <w:szCs w:val="10"/>
                <w:color w:val="auto"/>
              </w:rPr>
            </w:pPr>
          </w:p>
        </w:tc>
        <w:tc>
          <w:tcPr>
            <w:tcW w:w="1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Acreage</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3"/>
              </w:rPr>
              <w:t>Leased</w:t>
            </w:r>
          </w:p>
        </w:tc>
        <w:tc>
          <w:tcPr>
            <w:tcW w:w="660" w:type="dxa"/>
            <w:vAlign w:val="bottom"/>
          </w:tcPr>
          <w:p>
            <w:pPr>
              <w:jc w:val="right"/>
              <w:ind w:right="37"/>
              <w:spacing w:after="0" w:line="122" w:lineRule="exact"/>
              <w:rPr>
                <w:sz w:val="20"/>
                <w:szCs w:val="20"/>
                <w:color w:val="auto"/>
              </w:rPr>
            </w:pPr>
            <w:r>
              <w:rPr>
                <w:rFonts w:ascii="Arial" w:cs="Arial" w:eastAsia="Arial" w:hAnsi="Arial"/>
                <w:sz w:val="13"/>
                <w:szCs w:val="13"/>
                <w:b w:val="1"/>
                <w:bCs w:val="1"/>
                <w:color w:val="auto"/>
                <w:w w:val="91"/>
              </w:rPr>
              <w:t>Occupied</w:t>
            </w:r>
          </w:p>
        </w:tc>
        <w:tc>
          <w:tcPr>
            <w:tcW w:w="4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8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60" w:type="dxa"/>
            <w:vAlign w:val="bottom"/>
            <w:vMerge w:val="continue"/>
          </w:tcPr>
          <w:p>
            <w:pPr>
              <w:spacing w:after="0"/>
              <w:rPr>
                <w:sz w:val="10"/>
                <w:szCs w:val="10"/>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Cost (1)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0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line="144" w:lineRule="exact"/>
              <w:rPr>
                <w:sz w:val="20"/>
                <w:szCs w:val="20"/>
                <w:color w:val="auto"/>
              </w:rPr>
            </w:pPr>
            <w:r>
              <w:rPr>
                <w:rFonts w:ascii="Arial" w:cs="Arial" w:eastAsia="Arial" w:hAnsi="Arial"/>
                <w:sz w:val="13"/>
                <w:szCs w:val="13"/>
                <w:color w:val="auto"/>
              </w:rPr>
              <w:t>Tower Shopping</w:t>
            </w:r>
          </w:p>
        </w:tc>
        <w:tc>
          <w:tcPr>
            <w:tcW w:w="400" w:type="dxa"/>
            <w:vAlign w:val="bottom"/>
          </w:tcPr>
          <w:p>
            <w:pPr>
              <w:spacing w:after="0"/>
              <w:rPr>
                <w:sz w:val="12"/>
                <w:szCs w:val="12"/>
                <w:color w:val="auto"/>
              </w:rPr>
            </w:pPr>
          </w:p>
        </w:tc>
        <w:tc>
          <w:tcPr>
            <w:tcW w:w="1280" w:type="dxa"/>
            <w:vAlign w:val="bottom"/>
          </w:tcPr>
          <w:p>
            <w:pPr>
              <w:ind w:left="20"/>
              <w:spacing w:after="0" w:line="144" w:lineRule="exact"/>
              <w:rPr>
                <w:sz w:val="20"/>
                <w:szCs w:val="20"/>
                <w:color w:val="auto"/>
              </w:rPr>
            </w:pPr>
            <w:r>
              <w:rPr>
                <w:rFonts w:ascii="Arial" w:cs="Arial" w:eastAsia="Arial" w:hAnsi="Arial"/>
                <w:sz w:val="13"/>
                <w:szCs w:val="13"/>
                <w:color w:val="auto"/>
                <w:w w:val="96"/>
              </w:rPr>
              <w:t>Washington-Arlington-</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22,726</w:t>
            </w:r>
          </w:p>
        </w:tc>
        <w:tc>
          <w:tcPr>
            <w:tcW w:w="100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111,000</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88 %</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88 %</w:t>
            </w:r>
          </w:p>
        </w:tc>
        <w:tc>
          <w:tcPr>
            <w:tcW w:w="480" w:type="dxa"/>
            <w:vAlign w:val="bottom"/>
          </w:tcPr>
          <w:p>
            <w:pPr>
              <w:jc w:val="right"/>
              <w:spacing w:after="0" w:line="144" w:lineRule="exact"/>
              <w:rPr>
                <w:sz w:val="20"/>
                <w:szCs w:val="20"/>
                <w:color w:val="auto"/>
              </w:rPr>
            </w:pPr>
            <w:r>
              <w:rPr>
                <w:rFonts w:ascii="Arial" w:cs="Arial" w:eastAsia="Arial" w:hAnsi="Arial"/>
                <w:sz w:val="13"/>
                <w:szCs w:val="13"/>
                <w:color w:val="auto"/>
              </w:rPr>
              <w:t>26.11</w:t>
            </w:r>
          </w:p>
        </w:tc>
        <w:tc>
          <w:tcPr>
            <w:tcW w:w="680" w:type="dxa"/>
            <w:vAlign w:val="bottom"/>
          </w:tcPr>
          <w:p>
            <w:pPr>
              <w:spacing w:after="0"/>
              <w:rPr>
                <w:sz w:val="12"/>
                <w:szCs w:val="12"/>
                <w:color w:val="auto"/>
              </w:rPr>
            </w:pPr>
          </w:p>
        </w:tc>
        <w:tc>
          <w:tcPr>
            <w:tcW w:w="500" w:type="dxa"/>
            <w:vAlign w:val="bottom"/>
          </w:tcPr>
          <w:p>
            <w:pPr>
              <w:jc w:val="center"/>
              <w:spacing w:after="0" w:line="144" w:lineRule="exact"/>
              <w:rPr>
                <w:sz w:val="20"/>
                <w:szCs w:val="20"/>
                <w:color w:val="auto"/>
              </w:rPr>
            </w:pPr>
            <w:r>
              <w:rPr>
                <w:rFonts w:ascii="Arial" w:cs="Arial" w:eastAsia="Arial" w:hAnsi="Arial"/>
                <w:sz w:val="13"/>
                <w:szCs w:val="13"/>
                <w:color w:val="auto"/>
                <w:w w:val="85"/>
              </w:rPr>
              <w:t>26,000</w:t>
            </w:r>
          </w:p>
        </w:tc>
        <w:tc>
          <w:tcPr>
            <w:tcW w:w="760" w:type="dxa"/>
            <w:vAlign w:val="bottom"/>
          </w:tcPr>
          <w:p>
            <w:pPr>
              <w:ind w:left="20"/>
              <w:spacing w:after="0" w:line="144" w:lineRule="exact"/>
              <w:rPr>
                <w:sz w:val="20"/>
                <w:szCs w:val="20"/>
                <w:color w:val="auto"/>
              </w:rPr>
            </w:pPr>
            <w:r>
              <w:rPr>
                <w:rFonts w:ascii="Arial" w:cs="Arial" w:eastAsia="Arial" w:hAnsi="Arial"/>
                <w:sz w:val="13"/>
                <w:szCs w:val="13"/>
                <w:color w:val="auto"/>
              </w:rPr>
              <w:t>L.A. Mart</w:t>
            </w:r>
          </w:p>
        </w:tc>
        <w:tc>
          <w:tcPr>
            <w:tcW w:w="1940" w:type="dxa"/>
            <w:vAlign w:val="bottom"/>
          </w:tcPr>
          <w:p>
            <w:pPr>
              <w:ind w:left="40"/>
              <w:spacing w:after="0" w:line="144" w:lineRule="exact"/>
              <w:rPr>
                <w:sz w:val="20"/>
                <w:szCs w:val="20"/>
                <w:color w:val="auto"/>
              </w:rPr>
            </w:pPr>
            <w:r>
              <w:rPr>
                <w:rFonts w:ascii="Arial" w:cs="Arial" w:eastAsia="Arial" w:hAnsi="Arial"/>
                <w:sz w:val="13"/>
                <w:szCs w:val="13"/>
                <w:color w:val="auto"/>
              </w:rPr>
              <w:t>Talbots / Total Wine &amp; More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Center</w:t>
            </w: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Tyson's Station</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5,732</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50,000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47.97</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11,000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Trader Joe's</w:t>
            </w: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w w:val="97"/>
              </w:rPr>
              <w:t>Village at Shirlington</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(8)</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w w:val="96"/>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69,950</w:t>
            </w:r>
          </w:p>
        </w:tc>
        <w:tc>
          <w:tcPr>
            <w:tcW w:w="1000" w:type="dxa"/>
            <w:vAlign w:val="bottom"/>
          </w:tcPr>
          <w:p>
            <w:pPr>
              <w:jc w:val="center"/>
              <w:spacing w:after="0" w:line="122" w:lineRule="exact"/>
              <w:rPr>
                <w:sz w:val="20"/>
                <w:szCs w:val="20"/>
                <w:color w:val="auto"/>
              </w:rPr>
            </w:pPr>
            <w:r>
              <w:rPr>
                <w:rFonts w:ascii="Arial" w:cs="Arial" w:eastAsia="Arial" w:hAnsi="Arial"/>
                <w:sz w:val="13"/>
                <w:szCs w:val="13"/>
                <w:color w:val="auto"/>
                <w:w w:val="85"/>
              </w:rPr>
              <w:t>6,833</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262,000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39.92</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28,000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w w:val="94"/>
              </w:rPr>
              <w:t>Harris Teeter</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AMC / Carlyle Grand Café</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Wildwood Shopping</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27,443</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88,000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102.39</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20,000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Balducci's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Flower Child</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Center</w:t>
            </w: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MD-WV</w:t>
            </w:r>
          </w:p>
        </w:tc>
        <w:tc>
          <w:tcPr>
            <w:tcW w:w="600" w:type="dxa"/>
            <w:vAlign w:val="bottom"/>
            <w:tcBorders>
              <w:bottom w:val="single" w:sz="8" w:color="auto"/>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gridSpan w:val="3"/>
          </w:tcPr>
          <w:p>
            <w:pPr>
              <w:ind w:left="300"/>
              <w:spacing w:after="0" w:line="144" w:lineRule="exact"/>
              <w:rPr>
                <w:sz w:val="20"/>
                <w:szCs w:val="20"/>
                <w:color w:val="auto"/>
              </w:rPr>
            </w:pPr>
            <w:r>
              <w:rPr>
                <w:rFonts w:ascii="Arial" w:cs="Arial" w:eastAsia="Arial" w:hAnsi="Arial"/>
                <w:sz w:val="13"/>
                <w:szCs w:val="13"/>
                <w:b w:val="1"/>
                <w:bCs w:val="1"/>
                <w:color w:val="auto"/>
                <w:w w:val="88"/>
              </w:rPr>
              <w:t>Total Washington Metropolitan Area</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2,132,286</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432</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5,974,000</w:t>
            </w:r>
          </w:p>
        </w:tc>
        <w:tc>
          <w:tcPr>
            <w:tcW w:w="560" w:type="dxa"/>
            <w:vAlign w:val="bottom"/>
          </w:tcPr>
          <w:p>
            <w:pPr>
              <w:jc w:val="right"/>
              <w:spacing w:after="0"/>
              <w:rPr>
                <w:sz w:val="20"/>
                <w:szCs w:val="20"/>
                <w:color w:val="auto"/>
              </w:rPr>
            </w:pPr>
            <w:r>
              <w:rPr>
                <w:rFonts w:ascii="Arial" w:cs="Arial" w:eastAsia="Arial" w:hAnsi="Arial"/>
                <w:sz w:val="13"/>
                <w:szCs w:val="13"/>
                <w:color w:val="auto"/>
              </w:rPr>
              <w:t>93 %</w:t>
            </w:r>
          </w:p>
        </w:tc>
        <w:tc>
          <w:tcPr>
            <w:tcW w:w="660" w:type="dxa"/>
            <w:vAlign w:val="bottom"/>
          </w:tcPr>
          <w:p>
            <w:pPr>
              <w:jc w:val="right"/>
              <w:spacing w:after="0"/>
              <w:rPr>
                <w:sz w:val="20"/>
                <w:szCs w:val="20"/>
                <w:color w:val="auto"/>
              </w:rPr>
            </w:pPr>
            <w:r>
              <w:rPr>
                <w:rFonts w:ascii="Arial" w:cs="Arial" w:eastAsia="Arial" w:hAnsi="Arial"/>
                <w:sz w:val="13"/>
                <w:szCs w:val="13"/>
                <w:color w:val="auto"/>
              </w:rPr>
              <w:t>91 %</w:t>
            </w:r>
          </w:p>
        </w:tc>
        <w:tc>
          <w:tcPr>
            <w:tcW w:w="480" w:type="dxa"/>
            <w:vAlign w:val="bottom"/>
          </w:tcPr>
          <w:p>
            <w:pPr>
              <w:jc w:val="right"/>
              <w:spacing w:after="0"/>
              <w:rPr>
                <w:sz w:val="20"/>
                <w:szCs w:val="20"/>
                <w:color w:val="auto"/>
              </w:rPr>
            </w:pPr>
            <w:r>
              <w:rPr>
                <w:rFonts w:ascii="Arial" w:cs="Arial" w:eastAsia="Arial" w:hAnsi="Arial"/>
                <w:sz w:val="13"/>
                <w:szCs w:val="13"/>
                <w:color w:val="auto"/>
              </w:rPr>
              <w:t>35.26</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California</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Azalea</w:t>
            </w:r>
          </w:p>
        </w:tc>
        <w:tc>
          <w:tcPr>
            <w:tcW w:w="4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7"/>
              </w:rPr>
              <w:t>(5)</w:t>
            </w:r>
          </w:p>
        </w:tc>
        <w:tc>
          <w:tcPr>
            <w:tcW w:w="1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107,329</w:t>
            </w:r>
          </w:p>
        </w:tc>
        <w:tc>
          <w:tcPr>
            <w:tcW w:w="10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40,000</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22</w:t>
            </w:r>
          </w:p>
        </w:tc>
        <w:tc>
          <w:tcPr>
            <w:tcW w:w="6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223,000</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99 %</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99 %</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29.15</w:t>
            </w: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8"/>
              </w:rPr>
              <w:t>Marshalls / Ross Dress for Less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Ulta / Michaels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Bell Gardens</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(5)</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111,024</w:t>
            </w:r>
          </w:p>
        </w:tc>
        <w:tc>
          <w:tcPr>
            <w:tcW w:w="1000" w:type="dxa"/>
            <w:vAlign w:val="bottom"/>
          </w:tcPr>
          <w:p>
            <w:pPr>
              <w:jc w:val="center"/>
              <w:spacing w:after="0" w:line="122" w:lineRule="exact"/>
              <w:rPr>
                <w:sz w:val="20"/>
                <w:szCs w:val="20"/>
                <w:color w:val="auto"/>
              </w:rPr>
            </w:pPr>
            <w:r>
              <w:rPr>
                <w:rFonts w:ascii="Arial" w:cs="Arial" w:eastAsia="Arial" w:hAnsi="Arial"/>
                <w:sz w:val="13"/>
                <w:szCs w:val="13"/>
                <w:color w:val="auto"/>
                <w:w w:val="85"/>
              </w:rPr>
              <w:t>12,408</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32</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330,000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22.77</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67,000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Food 4 Less</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w w:val="98"/>
              </w:rPr>
              <w:t>Marshalls / Ross Dress for Less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Bob's Discount Furniture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Colorado Blvd</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13,284</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42,000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55.34</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Banana Republic / True Foods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Kitchen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Crow Canyon</w:t>
            </w: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w w:val="88"/>
              </w:rPr>
              <w:t>San Francisco-Oakland-</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90,731</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243,000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29.89</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32,000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Sprouts</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Total Wine &amp; More / Rite Aid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Commons</w:t>
            </w: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Hayward,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East Bay Bridge</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San Francisco-Oakland-</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179,227</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440,000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19.04</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59,000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Pak-N-Save</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Home Depot / Target / Nordstrom</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Hayward,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w w:val="88"/>
              </w:rPr>
              <w:t>Escondido Promenade</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(5)</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San Diego-Carlsbad,</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53,573</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18</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298,000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28.44</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w w:val="96"/>
              </w:rPr>
              <w:t>TJ Maxx / Dick’s Sporting Goods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CA</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Ross Dress For Less / Bob's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Discount Furniture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Fourth Street</w:t>
            </w:r>
          </w:p>
        </w:tc>
        <w:tc>
          <w:tcPr>
            <w:tcW w:w="4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(5)</w:t>
            </w: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San Francisco-Oakland-</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26,972</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71,000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78 %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31.61</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CB2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Hayward,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Freedom Plaza</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90"/>
              </w:rPr>
              <w:t>(5) (7)</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40,497</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100,000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29.54</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31,000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w w:val="91"/>
              </w:rPr>
              <w:t>Smart &amp; Final</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w w:val="88"/>
              </w:rPr>
              <w:t>Nike / Blink Fitness / Ross Dress For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(formerly known as</w:t>
            </w: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w w:val="93"/>
              </w:rPr>
              <w:t>Jordan Downs Plaza)</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0"/>
              </w:rPr>
              <w:t>Hastings Ranch Plaza</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25,266</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273,000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7.88</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HomeGoods / CVS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Hollywood Blvd</w:t>
            </w: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61,379</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181,000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35.64</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Target / Marshalls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Kings Court</w:t>
            </w:r>
          </w:p>
        </w:tc>
        <w:tc>
          <w:tcPr>
            <w:tcW w:w="4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(6)</w:t>
            </w: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San Jose-Sunnyvale-</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11,608</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81,000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40.93</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31,000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Lunardi's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Santa Clara,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Old Town Center</w:t>
            </w:r>
          </w:p>
        </w:tc>
        <w:tc>
          <w:tcPr>
            <w:tcW w:w="400" w:type="dxa"/>
            <w:vAlign w:val="bottom"/>
          </w:tcPr>
          <w:p>
            <w:pPr>
              <w:spacing w:after="0"/>
              <w:rPr>
                <w:sz w:val="10"/>
                <w:szCs w:val="10"/>
                <w:color w:val="auto"/>
              </w:rPr>
            </w:pP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San Jose-Sunnyvale-</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37,869</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98,000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84 %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43.07</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w w:val="95"/>
              </w:rPr>
              <w:t>Anthropologie / Banana Republic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Santa Clara,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Gap</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Olivo at Mission Hills</w:t>
            </w:r>
          </w:p>
        </w:tc>
        <w:tc>
          <w:tcPr>
            <w:tcW w:w="4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(5)</w:t>
            </w: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81,283</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155,000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31.13</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6"/>
              </w:rPr>
              <w:t>Target / 24 Hour Fitness / Ross Dress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Plaza Del Sol</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(5)</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17,910</w:t>
            </w:r>
          </w:p>
        </w:tc>
        <w:tc>
          <w:tcPr>
            <w:tcW w:w="1000" w:type="dxa"/>
            <w:vAlign w:val="bottom"/>
          </w:tcPr>
          <w:p>
            <w:pPr>
              <w:jc w:val="center"/>
              <w:spacing w:after="0" w:line="122" w:lineRule="exact"/>
              <w:rPr>
                <w:sz w:val="20"/>
                <w:szCs w:val="20"/>
                <w:color w:val="auto"/>
              </w:rPr>
            </w:pPr>
            <w:r>
              <w:rPr>
                <w:rFonts w:ascii="Arial" w:cs="Arial" w:eastAsia="Arial" w:hAnsi="Arial"/>
                <w:sz w:val="13"/>
                <w:szCs w:val="13"/>
                <w:color w:val="auto"/>
                <w:w w:val="85"/>
              </w:rPr>
              <w:t>8,041</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48,000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24.01</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Plaza El Segundo /</w:t>
            </w:r>
          </w:p>
        </w:tc>
        <w:tc>
          <w:tcPr>
            <w:tcW w:w="4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(5)</w:t>
            </w: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296,886</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125,000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500,000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46.02</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66,000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Whole Foods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Point</w:t>
            </w: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Dick's Sporting Goods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rPr>
              <w:t>San Antonio Center</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(6)</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San Jose-Sunnyvale-</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46,576</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211,000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15.71</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11,000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Trader Joe's</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Walmart / 24 Hour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Santa Clara,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Santana Row</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San Jose-Sunnyvale-</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1,151,098</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93"/>
              </w:rPr>
              <w:t>1,197,000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53.60</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662</w:t>
            </w: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Crate &amp; Barrel / H&amp;M / Best Buy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Santa Clara,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tcPr>
          <w:p>
            <w:pPr>
              <w:spacing w:after="0" w:line="122" w:lineRule="exact"/>
              <w:rPr>
                <w:sz w:val="20"/>
                <w:szCs w:val="20"/>
                <w:color w:val="auto"/>
              </w:rPr>
            </w:pPr>
            <w:r>
              <w:rPr>
                <w:rFonts w:ascii="Arial" w:cs="Arial" w:eastAsia="Arial" w:hAnsi="Arial"/>
                <w:sz w:val="13"/>
                <w:szCs w:val="13"/>
                <w:color w:val="auto"/>
                <w:w w:val="92"/>
              </w:rPr>
              <w:t>Sylmar Towne Center</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(5)</w:t>
            </w:r>
          </w:p>
        </w:tc>
        <w:tc>
          <w:tcPr>
            <w:tcW w:w="1280" w:type="dxa"/>
            <w:vAlign w:val="bottom"/>
          </w:tcPr>
          <w:p>
            <w:pPr>
              <w:ind w:left="2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45,660</w:t>
            </w:r>
          </w:p>
        </w:tc>
        <w:tc>
          <w:tcPr>
            <w:tcW w:w="1000" w:type="dxa"/>
            <w:vAlign w:val="bottom"/>
          </w:tcPr>
          <w:p>
            <w:pPr>
              <w:jc w:val="center"/>
              <w:spacing w:after="0" w:line="122" w:lineRule="exact"/>
              <w:rPr>
                <w:sz w:val="20"/>
                <w:szCs w:val="20"/>
                <w:color w:val="auto"/>
              </w:rPr>
            </w:pPr>
            <w:r>
              <w:rPr>
                <w:rFonts w:ascii="Arial" w:cs="Arial" w:eastAsia="Arial" w:hAnsi="Arial"/>
                <w:sz w:val="13"/>
                <w:szCs w:val="13"/>
                <w:color w:val="auto"/>
                <w:w w:val="85"/>
              </w:rPr>
              <w:t>16,236</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148,000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16.11</w:t>
            </w:r>
          </w:p>
        </w:tc>
        <w:tc>
          <w:tcPr>
            <w:tcW w:w="68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43,000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Food 4 Less</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Third Street</w:t>
            </w: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79,021</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209,000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65 %</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65 %</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85.20</w:t>
            </w: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adidas / Old Navy / J. Crew</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Promenade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47"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Pr>
          <w:p>
            <w:pPr>
              <w:spacing w:after="0"/>
              <w:rPr>
                <w:sz w:val="10"/>
                <w:szCs w:val="10"/>
                <w:color w:val="auto"/>
              </w:rPr>
            </w:pPr>
          </w:p>
        </w:tc>
        <w:tc>
          <w:tcPr>
            <w:tcW w:w="1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MSA Description</w:t>
            </w:r>
          </w:p>
        </w:tc>
        <w:tc>
          <w:tcPr>
            <w:tcW w:w="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1"/>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80" w:type="dxa"/>
            <w:vAlign w:val="bottom"/>
            <w:vMerge w:val="continue"/>
          </w:tcPr>
          <w:p>
            <w:pPr>
              <w:spacing w:after="0"/>
              <w:rPr>
                <w:sz w:val="10"/>
                <w:szCs w:val="10"/>
                <w:color w:val="auto"/>
              </w:rPr>
            </w:pPr>
          </w:p>
        </w:tc>
        <w:tc>
          <w:tcPr>
            <w:tcW w:w="19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3"/>
          </w:tcPr>
          <w:p>
            <w:pPr>
              <w:spacing w:after="0" w:line="144" w:lineRule="exact"/>
              <w:rPr>
                <w:sz w:val="20"/>
                <w:szCs w:val="20"/>
                <w:color w:val="auto"/>
              </w:rPr>
            </w:pPr>
            <w:r>
              <w:rPr>
                <w:rFonts w:ascii="Arial" w:cs="Arial" w:eastAsia="Arial" w:hAnsi="Arial"/>
                <w:sz w:val="13"/>
                <w:szCs w:val="13"/>
                <w:color w:val="auto"/>
              </w:rPr>
              <w:t>Westgate Center</w:t>
            </w:r>
          </w:p>
        </w:tc>
        <w:tc>
          <w:tcPr>
            <w:tcW w:w="500" w:type="dxa"/>
            <w:vAlign w:val="bottom"/>
          </w:tcPr>
          <w:p>
            <w:pPr>
              <w:spacing w:after="0"/>
              <w:rPr>
                <w:sz w:val="12"/>
                <w:szCs w:val="12"/>
                <w:color w:val="auto"/>
              </w:rPr>
            </w:pPr>
          </w:p>
        </w:tc>
        <w:tc>
          <w:tcPr>
            <w:tcW w:w="1300" w:type="dxa"/>
            <w:vAlign w:val="bottom"/>
          </w:tcPr>
          <w:p>
            <w:pPr>
              <w:ind w:left="20"/>
              <w:spacing w:after="0" w:line="144" w:lineRule="exact"/>
              <w:rPr>
                <w:sz w:val="20"/>
                <w:szCs w:val="20"/>
                <w:color w:val="auto"/>
              </w:rPr>
            </w:pPr>
            <w:r>
              <w:rPr>
                <w:rFonts w:ascii="Arial" w:cs="Arial" w:eastAsia="Arial" w:hAnsi="Arial"/>
                <w:sz w:val="13"/>
                <w:szCs w:val="13"/>
                <w:color w:val="auto"/>
              </w:rPr>
              <w:t>San Jose-Sunnyvale-</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157,454</w:t>
            </w:r>
          </w:p>
        </w:tc>
        <w:tc>
          <w:tcPr>
            <w:tcW w:w="1020" w:type="dxa"/>
            <w:vAlign w:val="bottom"/>
          </w:tcPr>
          <w:p>
            <w:pPr>
              <w:spacing w:after="0"/>
              <w:rPr>
                <w:sz w:val="12"/>
                <w:szCs w:val="12"/>
                <w:color w:val="auto"/>
              </w:rPr>
            </w:pP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44</w:t>
            </w:r>
          </w:p>
        </w:tc>
        <w:tc>
          <w:tcPr>
            <w:tcW w:w="6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648,000</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97 %</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97 %</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19.78</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ind w:left="40"/>
              <w:spacing w:after="0" w:line="144" w:lineRule="exact"/>
              <w:rPr>
                <w:sz w:val="20"/>
                <w:szCs w:val="20"/>
                <w:color w:val="auto"/>
              </w:rPr>
            </w:pPr>
            <w:r>
              <w:rPr>
                <w:rFonts w:ascii="Arial" w:cs="Arial" w:eastAsia="Arial" w:hAnsi="Arial"/>
                <w:sz w:val="13"/>
                <w:szCs w:val="13"/>
                <w:color w:val="auto"/>
              </w:rPr>
              <w:t>Target / Nordstrom Rack / Nike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Santa Clara, CA</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Factory / TJ Maxx</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w w:val="90"/>
              </w:rPr>
              <w:t>Total California</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2,634,647</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5,496,000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34.06</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NY Metro/New</w:t>
            </w: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Jersey</w:t>
            </w:r>
          </w:p>
        </w:tc>
        <w:tc>
          <w:tcPr>
            <w:tcW w:w="2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Brick Plaza</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102,848</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46</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408,000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91 %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22.83</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14,000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Trader Joe's</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AMC / HomeGoods / Ulta / L.A.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Brook 35</w:t>
            </w:r>
          </w:p>
        </w:tc>
        <w:tc>
          <w:tcPr>
            <w:tcW w:w="500" w:type="dxa"/>
            <w:vAlign w:val="bottom"/>
            <w:shd w:val="clear" w:color="auto" w:fill="CCEEFF"/>
          </w:tcPr>
          <w:p>
            <w:pPr>
              <w:jc w:val="center"/>
              <w:ind w:left="37"/>
              <w:spacing w:after="0" w:line="129" w:lineRule="exact"/>
              <w:rPr>
                <w:sz w:val="20"/>
                <w:szCs w:val="20"/>
                <w:color w:val="auto"/>
              </w:rPr>
            </w:pPr>
            <w:r>
              <w:rPr>
                <w:rFonts w:ascii="Arial" w:cs="Arial" w:eastAsia="Arial" w:hAnsi="Arial"/>
                <w:sz w:val="13"/>
                <w:szCs w:val="13"/>
                <w:color w:val="auto"/>
                <w:w w:val="90"/>
              </w:rPr>
              <w:t>(5) (6)</w:t>
            </w: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48,586</w:t>
            </w:r>
          </w:p>
        </w:tc>
        <w:tc>
          <w:tcPr>
            <w:tcW w:w="10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11,500</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99,000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38.59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2"/>
              </w:rPr>
              <w:t>Banana Republic / Gap / Williams-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Sonoma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Fresh Meadows</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93,753</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17</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409,000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36.04</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15,000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w w:val="92"/>
              </w:rPr>
              <w:t>Island of Gold</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AMC / Kohl's / Michaels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Georgetowne</w:t>
            </w: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83,257</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147,000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40.34</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43,000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Foodway</w:t>
            </w: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Five Below / IHOP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Shopping Center</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Greenlawn Plaza</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32,272</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13</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102,000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18.97</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Greenlawn</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w w:val="95"/>
              </w:rPr>
              <w:t>Tuesday Morning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Farms</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8"/>
              </w:rPr>
              <w:t>Greenwich Avenue</w:t>
            </w: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Bridgeport-Stamford-</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23,748</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35,000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96.19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Norwalk, CT</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Hauppauge</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29,882</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133,000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74 %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34.78</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61,000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Shop Rite</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Hoboken</w:t>
            </w:r>
          </w:p>
        </w:tc>
        <w:tc>
          <w:tcPr>
            <w:tcW w:w="500" w:type="dxa"/>
            <w:vAlign w:val="bottom"/>
            <w:shd w:val="clear" w:color="auto" w:fill="CCEEFF"/>
          </w:tcPr>
          <w:p>
            <w:pPr>
              <w:jc w:val="center"/>
              <w:ind w:left="57"/>
              <w:spacing w:after="0" w:line="129" w:lineRule="exact"/>
              <w:rPr>
                <w:sz w:val="20"/>
                <w:szCs w:val="20"/>
                <w:color w:val="auto"/>
              </w:rPr>
            </w:pPr>
            <w:r>
              <w:rPr>
                <w:rFonts w:ascii="Arial" w:cs="Arial" w:eastAsia="Arial" w:hAnsi="Arial"/>
                <w:sz w:val="13"/>
                <w:szCs w:val="13"/>
                <w:color w:val="auto"/>
                <w:w w:val="87"/>
              </w:rPr>
              <w:t>(5)</w:t>
            </w: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215,841</w:t>
            </w:r>
          </w:p>
        </w:tc>
        <w:tc>
          <w:tcPr>
            <w:tcW w:w="10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105,715</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171,000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55.76</w:t>
            </w:r>
          </w:p>
        </w:tc>
        <w:tc>
          <w:tcPr>
            <w:tcW w:w="660" w:type="dxa"/>
            <w:vAlign w:val="bottom"/>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rPr>
              <w:t>129</w:t>
            </w: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New York Sports Club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jc w:val="center"/>
              <w:ind w:left="57"/>
              <w:spacing w:after="0"/>
              <w:rPr>
                <w:sz w:val="20"/>
                <w:szCs w:val="20"/>
                <w:color w:val="auto"/>
              </w:rPr>
            </w:pPr>
            <w:r>
              <w:rPr>
                <w:rFonts w:ascii="Arial" w:cs="Arial" w:eastAsia="Arial" w:hAnsi="Arial"/>
                <w:sz w:val="13"/>
                <w:szCs w:val="13"/>
                <w:color w:val="auto"/>
                <w:w w:val="94"/>
              </w:rPr>
              <w:t>(10)</w:t>
            </w: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Sephora / 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Huntington</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47,806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266,000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73 %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23.74</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w w:val="95"/>
              </w:rPr>
              <w:t>Nordstrom Rack / Buy Buy Baby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Michaels / Ulta</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9"/>
              </w:rPr>
              <w:t>Huntington Square</w:t>
            </w: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13,612</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18</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74,000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29.63</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Melville Mall</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103,665</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27.30</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53,000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Uncle</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w w:val="91"/>
              </w:rPr>
              <w:t>Marshalls / Dick's Sporting Goods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Giuseppe's</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w w:val="91"/>
              </w:rPr>
              <w:t>Field &amp; Stream / Macy's Backstage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Marketplace</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Mercer Mall</w:t>
            </w:r>
          </w:p>
        </w:tc>
        <w:tc>
          <w:tcPr>
            <w:tcW w:w="500" w:type="dxa"/>
            <w:vAlign w:val="bottom"/>
            <w:shd w:val="clear" w:color="auto" w:fill="CCEEFF"/>
          </w:tcPr>
          <w:p>
            <w:pPr>
              <w:jc w:val="center"/>
              <w:ind w:left="57"/>
              <w:spacing w:after="0" w:line="129" w:lineRule="exact"/>
              <w:rPr>
                <w:sz w:val="20"/>
                <w:szCs w:val="20"/>
                <w:color w:val="auto"/>
              </w:rPr>
            </w:pPr>
            <w:r>
              <w:rPr>
                <w:rFonts w:ascii="Arial" w:cs="Arial" w:eastAsia="Arial" w:hAnsi="Arial"/>
                <w:sz w:val="13"/>
                <w:szCs w:val="13"/>
                <w:color w:val="auto"/>
                <w:w w:val="87"/>
              </w:rPr>
              <w:t>(8)</w:t>
            </w: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Trenton, NJ</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128,305</w:t>
            </w:r>
          </w:p>
        </w:tc>
        <w:tc>
          <w:tcPr>
            <w:tcW w:w="10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55,300</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50</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551,000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26.13</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75,000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Shop Rite</w:t>
            </w: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Ross Dress For Less / Nordstrom</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Rack / Bed, Bath &amp; Beyond / REI</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The Commons at</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Bridgeport-Stamford-</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75,928</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58,000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35.70</w:t>
            </w:r>
          </w:p>
        </w:tc>
        <w:tc>
          <w:tcPr>
            <w:tcW w:w="660" w:type="dxa"/>
            <w:vAlign w:val="bottom"/>
          </w:tcPr>
          <w:p>
            <w:pPr>
              <w:jc w:val="right"/>
              <w:ind w:right="257"/>
              <w:spacing w:after="0" w:line="122" w:lineRule="exact"/>
              <w:rPr>
                <w:sz w:val="20"/>
                <w:szCs w:val="20"/>
                <w:color w:val="auto"/>
              </w:rPr>
            </w:pPr>
            <w:r>
              <w:rPr>
                <w:rFonts w:ascii="Arial" w:cs="Arial" w:eastAsia="Arial" w:hAnsi="Arial"/>
                <w:sz w:val="13"/>
                <w:szCs w:val="13"/>
                <w:color w:val="auto"/>
              </w:rPr>
              <w:t>2</w:t>
            </w: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Equinox / 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3"/>
                <w:szCs w:val="13"/>
                <w:color w:val="auto"/>
              </w:rPr>
              <w:t>Darien</w:t>
            </w:r>
          </w:p>
        </w:tc>
        <w:tc>
          <w:tcPr>
            <w:tcW w:w="50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rPr>
              <w:t>Norwalk, CT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Grove at</w:t>
            </w:r>
          </w:p>
        </w:tc>
        <w:tc>
          <w:tcPr>
            <w:tcW w:w="500" w:type="dxa"/>
            <w:vAlign w:val="bottom"/>
            <w:shd w:val="clear" w:color="auto" w:fill="CCEEFF"/>
          </w:tcPr>
          <w:p>
            <w:pPr>
              <w:jc w:val="center"/>
              <w:ind w:left="37"/>
              <w:spacing w:after="0" w:line="129" w:lineRule="exact"/>
              <w:rPr>
                <w:sz w:val="20"/>
                <w:szCs w:val="20"/>
                <w:color w:val="auto"/>
              </w:rPr>
            </w:pPr>
            <w:r>
              <w:rPr>
                <w:rFonts w:ascii="Arial" w:cs="Arial" w:eastAsia="Arial" w:hAnsi="Arial"/>
                <w:sz w:val="13"/>
                <w:szCs w:val="13"/>
                <w:color w:val="auto"/>
                <w:w w:val="90"/>
              </w:rPr>
              <w:t>(5) (6)</w:t>
            </w:r>
          </w:p>
        </w:tc>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127,133</w:t>
            </w:r>
          </w:p>
        </w:tc>
        <w:tc>
          <w:tcPr>
            <w:tcW w:w="10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43,600</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192,000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48.35</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Lululemon / Anthropologie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Shrewsbury</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Pottery Barn / Williams-Sonoma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Troy</w:t>
            </w:r>
          </w:p>
        </w:tc>
        <w:tc>
          <w:tcPr>
            <w:tcW w:w="500" w:type="dxa"/>
            <w:vAlign w:val="bottom"/>
          </w:tcPr>
          <w:p>
            <w:pPr>
              <w:spacing w:after="0"/>
              <w:rPr>
                <w:sz w:val="10"/>
                <w:szCs w:val="10"/>
                <w:color w:val="auto"/>
              </w:rPr>
            </w:pPr>
          </w:p>
        </w:tc>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41,019</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211,000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23.21</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Target / L.A. Fitness / Michaels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2000" w:type="dxa"/>
            <w:vAlign w:val="bottom"/>
            <w:gridSpan w:val="2"/>
          </w:tcPr>
          <w:p>
            <w:pPr>
              <w:ind w:left="480"/>
              <w:spacing w:after="0"/>
              <w:rPr>
                <w:sz w:val="20"/>
                <w:szCs w:val="20"/>
                <w:color w:val="auto"/>
              </w:rPr>
            </w:pPr>
            <w:r>
              <w:rPr>
                <w:rFonts w:ascii="Arial" w:cs="Arial" w:eastAsia="Arial" w:hAnsi="Arial"/>
                <w:sz w:val="13"/>
                <w:szCs w:val="13"/>
                <w:b w:val="1"/>
                <w:bCs w:val="1"/>
                <w:color w:val="auto"/>
                <w:w w:val="89"/>
              </w:rPr>
              <w:t>Total NY Metro/New Jersey</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1,167,655</w:t>
            </w:r>
          </w:p>
        </w:tc>
      </w:tr>
      <w:tr>
        <w:trPr>
          <w:trHeight w:val="297"/>
        </w:trPr>
        <w:tc>
          <w:tcPr>
            <w:tcW w:w="2900" w:type="dxa"/>
            <w:vAlign w:val="bottom"/>
            <w:gridSpan w:val="3"/>
          </w:tcPr>
          <w:p>
            <w:pPr>
              <w:spacing w:after="0"/>
              <w:rPr>
                <w:sz w:val="20"/>
                <w:szCs w:val="20"/>
                <w:color w:val="auto"/>
              </w:rPr>
            </w:pPr>
            <w:r>
              <w:rPr>
                <w:rFonts w:ascii="Arial" w:cs="Arial" w:eastAsia="Arial" w:hAnsi="Arial"/>
                <w:sz w:val="13"/>
                <w:szCs w:val="13"/>
                <w:b w:val="1"/>
                <w:bCs w:val="1"/>
                <w:color w:val="auto"/>
              </w:rPr>
              <w:t>Philadelphia Metropolitan Area</w:t>
            </w:r>
          </w:p>
        </w:tc>
        <w:tc>
          <w:tcPr>
            <w:tcW w:w="58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900" w:type="dxa"/>
            <w:vAlign w:val="bottom"/>
          </w:tcPr>
          <w:p>
            <w:pPr>
              <w:spacing w:after="0" w:line="142" w:lineRule="exact"/>
              <w:rPr>
                <w:sz w:val="20"/>
                <w:szCs w:val="20"/>
                <w:color w:val="auto"/>
              </w:rPr>
            </w:pPr>
            <w:r>
              <w:rPr>
                <w:rFonts w:ascii="Arial" w:cs="Arial" w:eastAsia="Arial" w:hAnsi="Arial"/>
                <w:sz w:val="13"/>
                <w:szCs w:val="13"/>
                <w:color w:val="auto"/>
              </w:rPr>
              <w:t>Andorra</w:t>
            </w:r>
          </w:p>
        </w:tc>
        <w:tc>
          <w:tcPr>
            <w:tcW w:w="2000" w:type="dxa"/>
            <w:vAlign w:val="bottom"/>
            <w:gridSpan w:val="2"/>
          </w:tcPr>
          <w:p>
            <w:pPr>
              <w:ind w:left="720"/>
              <w:spacing w:after="0" w:line="14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30,926</w:t>
            </w:r>
          </w:p>
        </w:tc>
      </w:tr>
      <w:tr>
        <w:trPr>
          <w:trHeight w:val="122"/>
        </w:trPr>
        <w:tc>
          <w:tcPr>
            <w:tcW w:w="900" w:type="dxa"/>
            <w:vAlign w:val="bottom"/>
          </w:tcPr>
          <w:p>
            <w:pPr>
              <w:spacing w:after="0"/>
              <w:rPr>
                <w:sz w:val="10"/>
                <w:szCs w:val="10"/>
                <w:color w:val="auto"/>
              </w:rPr>
            </w:pPr>
          </w:p>
        </w:tc>
        <w:tc>
          <w:tcPr>
            <w:tcW w:w="2000" w:type="dxa"/>
            <w:vAlign w:val="bottom"/>
            <w:gridSpan w:val="2"/>
          </w:tcPr>
          <w:p>
            <w:pPr>
              <w:ind w:left="720"/>
              <w:spacing w:after="0" w:line="122" w:lineRule="exact"/>
              <w:rPr>
                <w:sz w:val="20"/>
                <w:szCs w:val="20"/>
                <w:color w:val="auto"/>
              </w:rPr>
            </w:pPr>
            <w:r>
              <w:rPr>
                <w:rFonts w:ascii="Arial" w:cs="Arial" w:eastAsia="Arial" w:hAnsi="Arial"/>
                <w:sz w:val="13"/>
                <w:szCs w:val="13"/>
                <w:color w:val="auto"/>
              </w:rPr>
              <w:t>Wilmington, PA-NJ-</w:t>
            </w:r>
          </w:p>
        </w:tc>
        <w:tc>
          <w:tcPr>
            <w:tcW w:w="580" w:type="dxa"/>
            <w:vAlign w:val="bottom"/>
          </w:tcPr>
          <w:p>
            <w:pPr>
              <w:spacing w:after="0"/>
              <w:rPr>
                <w:sz w:val="10"/>
                <w:szCs w:val="10"/>
                <w:color w:val="auto"/>
              </w:rPr>
            </w:pPr>
          </w:p>
        </w:tc>
      </w:tr>
      <w:tr>
        <w:trPr>
          <w:trHeight w:val="160"/>
        </w:trPr>
        <w:tc>
          <w:tcPr>
            <w:tcW w:w="900" w:type="dxa"/>
            <w:vAlign w:val="bottom"/>
          </w:tcPr>
          <w:p>
            <w:pPr>
              <w:spacing w:after="0"/>
              <w:rPr>
                <w:sz w:val="13"/>
                <w:szCs w:val="13"/>
                <w:color w:val="auto"/>
              </w:rPr>
            </w:pPr>
          </w:p>
        </w:tc>
        <w:tc>
          <w:tcPr>
            <w:tcW w:w="2000" w:type="dxa"/>
            <w:vAlign w:val="bottom"/>
            <w:gridSpan w:val="2"/>
          </w:tcPr>
          <w:p>
            <w:pPr>
              <w:ind w:left="720"/>
              <w:spacing w:after="0"/>
              <w:rPr>
                <w:sz w:val="20"/>
                <w:szCs w:val="20"/>
                <w:color w:val="auto"/>
              </w:rPr>
            </w:pPr>
            <w:r>
              <w:rPr>
                <w:rFonts w:ascii="Arial" w:cs="Arial" w:eastAsia="Arial" w:hAnsi="Arial"/>
                <w:sz w:val="13"/>
                <w:szCs w:val="13"/>
                <w:color w:val="auto"/>
              </w:rPr>
              <w:t>DE-MD</w:t>
            </w:r>
          </w:p>
        </w:tc>
        <w:tc>
          <w:tcPr>
            <w:tcW w:w="5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274</w:t>
            </w:r>
          </w:p>
        </w:tc>
        <w:tc>
          <w:tcPr>
            <w:tcW w:w="72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93"/>
              </w:rPr>
              <w:t>3,099,000</w:t>
            </w:r>
          </w:p>
        </w:tc>
        <w:tc>
          <w:tcPr>
            <w:tcW w:w="64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91 %</w:t>
            </w: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88 %</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32.32</w:t>
            </w:r>
          </w:p>
        </w:tc>
        <w:tc>
          <w:tcPr>
            <w:tcW w:w="3020" w:type="dxa"/>
            <w:vAlign w:val="bottom"/>
          </w:tcPr>
          <w:p>
            <w:pPr>
              <w:spacing w:after="0"/>
              <w:rPr>
                <w:sz w:val="14"/>
                <w:szCs w:val="14"/>
                <w:color w:val="auto"/>
              </w:rPr>
            </w:pPr>
          </w:p>
        </w:tc>
      </w:tr>
      <w:tr>
        <w:trPr>
          <w:trHeight w:val="512"/>
        </w:trPr>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270,000</w:t>
            </w:r>
          </w:p>
        </w:tc>
        <w:tc>
          <w:tcPr>
            <w:tcW w:w="640" w:type="dxa"/>
            <w:vAlign w:val="bottom"/>
          </w:tcPr>
          <w:p>
            <w:pPr>
              <w:jc w:val="right"/>
              <w:ind w:right="137"/>
              <w:spacing w:after="0"/>
              <w:rPr>
                <w:sz w:val="20"/>
                <w:szCs w:val="20"/>
                <w:color w:val="auto"/>
              </w:rPr>
            </w:pPr>
            <w:r>
              <w:rPr>
                <w:rFonts w:ascii="Arial" w:cs="Arial" w:eastAsia="Arial" w:hAnsi="Arial"/>
                <w:sz w:val="13"/>
                <w:szCs w:val="13"/>
                <w:color w:val="auto"/>
              </w:rPr>
              <w:t>88 %</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79 %</w:t>
            </w:r>
          </w:p>
        </w:tc>
        <w:tc>
          <w:tcPr>
            <w:tcW w:w="440" w:type="dxa"/>
            <w:vAlign w:val="bottom"/>
          </w:tcPr>
          <w:p>
            <w:pPr>
              <w:jc w:val="right"/>
              <w:spacing w:after="0"/>
              <w:rPr>
                <w:sz w:val="20"/>
                <w:szCs w:val="20"/>
                <w:color w:val="auto"/>
              </w:rPr>
            </w:pPr>
            <w:r>
              <w:rPr>
                <w:rFonts w:ascii="Arial" w:cs="Arial" w:eastAsia="Arial" w:hAnsi="Arial"/>
                <w:sz w:val="13"/>
                <w:szCs w:val="13"/>
                <w:color w:val="auto"/>
              </w:rPr>
              <w:t>14.34</w:t>
            </w:r>
          </w:p>
        </w:tc>
        <w:tc>
          <w:tcPr>
            <w:tcW w:w="3020" w:type="dxa"/>
            <w:vAlign w:val="bottom"/>
          </w:tcPr>
          <w:p>
            <w:pPr>
              <w:ind w:left="740"/>
              <w:spacing w:after="0"/>
              <w:rPr>
                <w:sz w:val="20"/>
                <w:szCs w:val="20"/>
                <w:color w:val="auto"/>
              </w:rPr>
            </w:pPr>
            <w:r>
              <w:rPr>
                <w:rFonts w:ascii="Arial" w:cs="Arial" w:eastAsia="Arial" w:hAnsi="Arial"/>
                <w:sz w:val="13"/>
                <w:szCs w:val="13"/>
                <w:color w:val="auto"/>
                <w:w w:val="91"/>
              </w:rPr>
              <w:t>24,000  Acme Markets Kohl's / L.A. Fitness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-212090</wp:posOffset>
            </wp:positionV>
            <wp:extent cx="71323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800" w:space="720"/>
            <w:col w:w="6720"/>
          </w:cols>
          <w:pgMar w:left="320" w:top="747"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13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Bala Cynwyd</w:t>
            </w:r>
          </w:p>
        </w:tc>
        <w:tc>
          <w:tcPr>
            <w:tcW w:w="1640" w:type="dxa"/>
            <w:vAlign w:val="bottom"/>
            <w:shd w:val="clear" w:color="auto" w:fill="CCEEFF"/>
          </w:tcPr>
          <w:p>
            <w:pPr>
              <w:ind w:left="340"/>
              <w:spacing w:after="0" w:line="137" w:lineRule="exact"/>
              <w:rPr>
                <w:sz w:val="20"/>
                <w:szCs w:val="20"/>
                <w:color w:val="auto"/>
              </w:rPr>
            </w:pPr>
            <w:r>
              <w:rPr>
                <w:rFonts w:ascii="Arial" w:cs="Arial" w:eastAsia="Arial" w:hAnsi="Arial"/>
                <w:sz w:val="13"/>
                <w:szCs w:val="13"/>
                <w:color w:val="auto"/>
                <w:w w:val="99"/>
              </w:rPr>
              <w:t>Philadelphia-Camden-</w:t>
            </w:r>
          </w:p>
        </w:tc>
        <w:tc>
          <w:tcPr>
            <w:tcW w:w="1220" w:type="dxa"/>
            <w:vAlign w:val="bottom"/>
            <w:shd w:val="clear" w:color="auto" w:fill="CCEEFF"/>
          </w:tcPr>
          <w:p>
            <w:pPr>
              <w:jc w:val="right"/>
              <w:ind w:right="657"/>
              <w:spacing w:after="0" w:line="137" w:lineRule="exact"/>
              <w:rPr>
                <w:sz w:val="20"/>
                <w:szCs w:val="20"/>
                <w:color w:val="auto"/>
              </w:rPr>
            </w:pPr>
            <w:r>
              <w:rPr>
                <w:rFonts w:ascii="Arial" w:cs="Arial" w:eastAsia="Arial" w:hAnsi="Arial"/>
                <w:sz w:val="13"/>
                <w:szCs w:val="13"/>
                <w:color w:val="auto"/>
              </w:rPr>
              <w:t>64,478</w:t>
            </w:r>
          </w:p>
        </w:tc>
        <w:tc>
          <w:tcPr>
            <w:tcW w:w="940" w:type="dxa"/>
            <w:vAlign w:val="bottom"/>
            <w:shd w:val="clear" w:color="auto" w:fill="CCEEFF"/>
          </w:tcPr>
          <w:p>
            <w:pPr>
              <w:jc w:val="right"/>
              <w:ind w:right="57"/>
              <w:spacing w:after="0" w:line="137" w:lineRule="exact"/>
              <w:rPr>
                <w:sz w:val="20"/>
                <w:szCs w:val="20"/>
                <w:color w:val="auto"/>
              </w:rPr>
            </w:pPr>
            <w:r>
              <w:rPr>
                <w:rFonts w:ascii="Arial" w:cs="Arial" w:eastAsia="Arial" w:hAnsi="Arial"/>
                <w:sz w:val="13"/>
                <w:szCs w:val="13"/>
                <w:color w:val="auto"/>
              </w:rPr>
              <w:t>23</w:t>
            </w:r>
          </w:p>
        </w:tc>
        <w:tc>
          <w:tcPr>
            <w:tcW w:w="660" w:type="dxa"/>
            <w:vAlign w:val="bottom"/>
            <w:shd w:val="clear" w:color="auto" w:fill="CCEEFF"/>
          </w:tcPr>
          <w:p>
            <w:pPr>
              <w:jc w:val="right"/>
              <w:ind w:right="97"/>
              <w:spacing w:after="0" w:line="137" w:lineRule="exact"/>
              <w:rPr>
                <w:sz w:val="20"/>
                <w:szCs w:val="20"/>
                <w:color w:val="auto"/>
              </w:rPr>
            </w:pPr>
            <w:r>
              <w:rPr>
                <w:rFonts w:ascii="Arial" w:cs="Arial" w:eastAsia="Arial" w:hAnsi="Arial"/>
                <w:sz w:val="13"/>
                <w:szCs w:val="13"/>
                <w:color w:val="auto"/>
              </w:rPr>
              <w:t>294,000</w:t>
            </w:r>
          </w:p>
        </w:tc>
        <w:tc>
          <w:tcPr>
            <w:tcW w:w="640" w:type="dxa"/>
            <w:vAlign w:val="bottom"/>
            <w:shd w:val="clear" w:color="auto" w:fill="CCEEFF"/>
          </w:tcPr>
          <w:p>
            <w:pPr>
              <w:jc w:val="right"/>
              <w:ind w:right="137"/>
              <w:spacing w:after="0" w:line="137" w:lineRule="exact"/>
              <w:rPr>
                <w:sz w:val="20"/>
                <w:szCs w:val="20"/>
                <w:color w:val="auto"/>
              </w:rPr>
            </w:pPr>
            <w:r>
              <w:rPr>
                <w:rFonts w:ascii="Arial" w:cs="Arial" w:eastAsia="Arial" w:hAnsi="Arial"/>
                <w:sz w:val="13"/>
                <w:szCs w:val="13"/>
                <w:color w:val="auto"/>
              </w:rPr>
              <w:t>97 %</w:t>
            </w:r>
          </w:p>
        </w:tc>
        <w:tc>
          <w:tcPr>
            <w:tcW w:w="560" w:type="dxa"/>
            <w:vAlign w:val="bottom"/>
            <w:shd w:val="clear" w:color="auto" w:fill="CCEEFF"/>
          </w:tcPr>
          <w:p>
            <w:pPr>
              <w:jc w:val="right"/>
              <w:ind w:right="17"/>
              <w:spacing w:after="0" w:line="137" w:lineRule="exact"/>
              <w:rPr>
                <w:sz w:val="20"/>
                <w:szCs w:val="20"/>
                <w:color w:val="auto"/>
              </w:rPr>
            </w:pPr>
            <w:r>
              <w:rPr>
                <w:rFonts w:ascii="Arial" w:cs="Arial" w:eastAsia="Arial" w:hAnsi="Arial"/>
                <w:sz w:val="13"/>
                <w:szCs w:val="13"/>
                <w:color w:val="auto"/>
              </w:rPr>
              <w:t>97 %</w:t>
            </w:r>
          </w:p>
        </w:tc>
        <w:tc>
          <w:tcPr>
            <w:tcW w:w="540" w:type="dxa"/>
            <w:vAlign w:val="bottom"/>
            <w:shd w:val="clear" w:color="auto" w:fill="CCEEFF"/>
          </w:tcPr>
          <w:p>
            <w:pPr>
              <w:jc w:val="right"/>
              <w:ind w:right="97"/>
              <w:spacing w:after="0" w:line="137" w:lineRule="exact"/>
              <w:rPr>
                <w:sz w:val="20"/>
                <w:szCs w:val="20"/>
                <w:color w:val="auto"/>
              </w:rPr>
            </w:pPr>
            <w:r>
              <w:rPr>
                <w:rFonts w:ascii="Arial" w:cs="Arial" w:eastAsia="Arial" w:hAnsi="Arial"/>
                <w:sz w:val="13"/>
                <w:szCs w:val="13"/>
                <w:color w:val="auto"/>
              </w:rPr>
              <w:t>25.72</w:t>
            </w:r>
          </w:p>
        </w:tc>
        <w:tc>
          <w:tcPr>
            <w:tcW w:w="460" w:type="dxa"/>
            <w:vAlign w:val="bottom"/>
            <w:shd w:val="clear" w:color="auto" w:fill="CCEEFF"/>
          </w:tcPr>
          <w:p>
            <w:pPr>
              <w:jc w:val="right"/>
              <w:ind w:right="117"/>
              <w:spacing w:after="0" w:line="137" w:lineRule="exact"/>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45,000</w:t>
            </w:r>
          </w:p>
        </w:tc>
        <w:tc>
          <w:tcPr>
            <w:tcW w:w="270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3"/>
                <w:szCs w:val="13"/>
                <w:color w:val="auto"/>
              </w:rPr>
              <w:t>Acme Markets Lord &amp; Taylor / Michaels / L.A.</w:t>
            </w:r>
          </w:p>
        </w:tc>
      </w:tr>
      <w:tr>
        <w:trPr>
          <w:trHeight w:val="122"/>
        </w:trPr>
        <w:tc>
          <w:tcPr>
            <w:tcW w:w="1300" w:type="dxa"/>
            <w:vAlign w:val="bottom"/>
            <w:shd w:val="clear" w:color="auto" w:fill="CCEEFF"/>
          </w:tcPr>
          <w:p>
            <w:pPr>
              <w:spacing w:after="0"/>
              <w:rPr>
                <w:sz w:val="10"/>
                <w:szCs w:val="10"/>
                <w:color w:val="auto"/>
              </w:rPr>
            </w:pPr>
          </w:p>
        </w:tc>
        <w:tc>
          <w:tcPr>
            <w:tcW w:w="1640" w:type="dxa"/>
            <w:vAlign w:val="bottom"/>
            <w:shd w:val="clear" w:color="auto" w:fill="CCEEFF"/>
          </w:tcPr>
          <w:p>
            <w:pPr>
              <w:ind w:left="340"/>
              <w:spacing w:after="0" w:line="122" w:lineRule="exact"/>
              <w:rPr>
                <w:sz w:val="20"/>
                <w:szCs w:val="20"/>
                <w:color w:val="auto"/>
              </w:rPr>
            </w:pPr>
            <w:r>
              <w:rPr>
                <w:rFonts w:ascii="Arial" w:cs="Arial" w:eastAsia="Arial" w:hAnsi="Arial"/>
                <w:sz w:val="13"/>
                <w:szCs w:val="13"/>
                <w:color w:val="auto"/>
              </w:rPr>
              <w:t>Wilmington, PA-NJ-</w:t>
            </w:r>
          </w:p>
        </w:tc>
        <w:tc>
          <w:tcPr>
            <w:tcW w:w="1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92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Fitness</w:t>
            </w:r>
          </w:p>
        </w:tc>
      </w:tr>
      <w:tr>
        <w:trPr>
          <w:trHeight w:val="175"/>
        </w:trPr>
        <w:tc>
          <w:tcPr>
            <w:tcW w:w="1300" w:type="dxa"/>
            <w:vAlign w:val="bottom"/>
            <w:shd w:val="clear" w:color="auto" w:fill="CCEEFF"/>
          </w:tcPr>
          <w:p>
            <w:pPr>
              <w:spacing w:after="0"/>
              <w:rPr>
                <w:sz w:val="15"/>
                <w:szCs w:val="15"/>
                <w:color w:val="auto"/>
              </w:rPr>
            </w:pPr>
          </w:p>
        </w:tc>
        <w:tc>
          <w:tcPr>
            <w:tcW w:w="16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DE-MD</w:t>
            </w:r>
          </w:p>
        </w:tc>
        <w:tc>
          <w:tcPr>
            <w:tcW w:w="1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Ellisburg</w:t>
            </w:r>
          </w:p>
        </w:tc>
        <w:tc>
          <w:tcPr>
            <w:tcW w:w="1640" w:type="dxa"/>
            <w:vAlign w:val="bottom"/>
          </w:tcPr>
          <w:p>
            <w:pPr>
              <w:ind w:left="340"/>
              <w:spacing w:after="0" w:line="122" w:lineRule="exact"/>
              <w:rPr>
                <w:sz w:val="20"/>
                <w:szCs w:val="20"/>
                <w:color w:val="auto"/>
              </w:rPr>
            </w:pPr>
            <w:r>
              <w:rPr>
                <w:rFonts w:ascii="Arial" w:cs="Arial" w:eastAsia="Arial" w:hAnsi="Arial"/>
                <w:sz w:val="13"/>
                <w:szCs w:val="13"/>
                <w:color w:val="auto"/>
                <w:w w:val="99"/>
              </w:rPr>
              <w:t>Philadelphia-Camden-</w:t>
            </w:r>
          </w:p>
        </w:tc>
        <w:tc>
          <w:tcPr>
            <w:tcW w:w="1220" w:type="dxa"/>
            <w:vAlign w:val="bottom"/>
          </w:tcPr>
          <w:p>
            <w:pPr>
              <w:jc w:val="right"/>
              <w:ind w:right="657"/>
              <w:spacing w:after="0" w:line="122" w:lineRule="exact"/>
              <w:rPr>
                <w:sz w:val="20"/>
                <w:szCs w:val="20"/>
                <w:color w:val="auto"/>
              </w:rPr>
            </w:pPr>
            <w:r>
              <w:rPr>
                <w:rFonts w:ascii="Arial" w:cs="Arial" w:eastAsia="Arial" w:hAnsi="Arial"/>
                <w:sz w:val="13"/>
                <w:szCs w:val="13"/>
                <w:color w:val="auto"/>
              </w:rPr>
              <w:t>34,209</w:t>
            </w:r>
          </w:p>
        </w:tc>
        <w:tc>
          <w:tcPr>
            <w:tcW w:w="940" w:type="dxa"/>
            <w:vAlign w:val="bottom"/>
          </w:tcPr>
          <w:p>
            <w:pPr>
              <w:jc w:val="right"/>
              <w:ind w:right="57"/>
              <w:spacing w:after="0" w:line="122" w:lineRule="exact"/>
              <w:rPr>
                <w:sz w:val="20"/>
                <w:szCs w:val="20"/>
                <w:color w:val="auto"/>
              </w:rPr>
            </w:pPr>
            <w:r>
              <w:rPr>
                <w:rFonts w:ascii="Arial" w:cs="Arial" w:eastAsia="Arial" w:hAnsi="Arial"/>
                <w:sz w:val="13"/>
                <w:szCs w:val="13"/>
                <w:color w:val="auto"/>
              </w:rPr>
              <w:t>28</w:t>
            </w:r>
          </w:p>
        </w:tc>
        <w:tc>
          <w:tcPr>
            <w:tcW w:w="660" w:type="dxa"/>
            <w:vAlign w:val="bottom"/>
          </w:tcPr>
          <w:p>
            <w:pPr>
              <w:jc w:val="right"/>
              <w:ind w:right="97"/>
              <w:spacing w:after="0" w:line="122" w:lineRule="exact"/>
              <w:rPr>
                <w:sz w:val="20"/>
                <w:szCs w:val="20"/>
                <w:color w:val="auto"/>
              </w:rPr>
            </w:pPr>
            <w:r>
              <w:rPr>
                <w:rFonts w:ascii="Arial" w:cs="Arial" w:eastAsia="Arial" w:hAnsi="Arial"/>
                <w:sz w:val="13"/>
                <w:szCs w:val="13"/>
                <w:color w:val="auto"/>
              </w:rPr>
              <w:t>261,000</w:t>
            </w:r>
          </w:p>
        </w:tc>
        <w:tc>
          <w:tcPr>
            <w:tcW w:w="640" w:type="dxa"/>
            <w:vAlign w:val="bottom"/>
          </w:tcPr>
          <w:p>
            <w:pPr>
              <w:jc w:val="right"/>
              <w:ind w:right="137"/>
              <w:spacing w:after="0" w:line="122" w:lineRule="exact"/>
              <w:rPr>
                <w:sz w:val="20"/>
                <w:szCs w:val="20"/>
                <w:color w:val="auto"/>
              </w:rPr>
            </w:pPr>
            <w:r>
              <w:rPr>
                <w:rFonts w:ascii="Arial" w:cs="Arial" w:eastAsia="Arial" w:hAnsi="Arial"/>
                <w:sz w:val="13"/>
                <w:szCs w:val="13"/>
                <w:color w:val="auto"/>
              </w:rPr>
              <w:t>79 %</w:t>
            </w:r>
          </w:p>
        </w:tc>
        <w:tc>
          <w:tcPr>
            <w:tcW w:w="560" w:type="dxa"/>
            <w:vAlign w:val="bottom"/>
          </w:tcPr>
          <w:p>
            <w:pPr>
              <w:jc w:val="right"/>
              <w:ind w:right="17"/>
              <w:spacing w:after="0" w:line="122" w:lineRule="exact"/>
              <w:rPr>
                <w:sz w:val="20"/>
                <w:szCs w:val="20"/>
                <w:color w:val="auto"/>
              </w:rPr>
            </w:pPr>
            <w:r>
              <w:rPr>
                <w:rFonts w:ascii="Arial" w:cs="Arial" w:eastAsia="Arial" w:hAnsi="Arial"/>
                <w:sz w:val="13"/>
                <w:szCs w:val="13"/>
                <w:color w:val="auto"/>
              </w:rPr>
              <w:t>78 %</w:t>
            </w:r>
          </w:p>
        </w:tc>
        <w:tc>
          <w:tcPr>
            <w:tcW w:w="540" w:type="dxa"/>
            <w:vAlign w:val="bottom"/>
          </w:tcPr>
          <w:p>
            <w:pPr>
              <w:jc w:val="right"/>
              <w:ind w:right="97"/>
              <w:spacing w:after="0" w:line="122" w:lineRule="exact"/>
              <w:rPr>
                <w:sz w:val="20"/>
                <w:szCs w:val="20"/>
                <w:color w:val="auto"/>
              </w:rPr>
            </w:pPr>
            <w:r>
              <w:rPr>
                <w:rFonts w:ascii="Arial" w:cs="Arial" w:eastAsia="Arial" w:hAnsi="Arial"/>
                <w:sz w:val="13"/>
                <w:szCs w:val="13"/>
                <w:color w:val="auto"/>
              </w:rPr>
              <w:t>17.93</w:t>
            </w:r>
          </w:p>
        </w:tc>
        <w:tc>
          <w:tcPr>
            <w:tcW w:w="4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47,000</w:t>
            </w:r>
          </w:p>
        </w:tc>
        <w:tc>
          <w:tcPr>
            <w:tcW w:w="780" w:type="dxa"/>
            <w:vAlign w:val="bottom"/>
          </w:tcPr>
          <w:p>
            <w:pPr>
              <w:ind w:left="40"/>
              <w:spacing w:after="0" w:line="122" w:lineRule="exact"/>
              <w:rPr>
                <w:sz w:val="20"/>
                <w:szCs w:val="20"/>
                <w:color w:val="auto"/>
              </w:rPr>
            </w:pPr>
            <w:r>
              <w:rPr>
                <w:rFonts w:ascii="Arial" w:cs="Arial" w:eastAsia="Arial" w:hAnsi="Arial"/>
                <w:sz w:val="13"/>
                <w:szCs w:val="13"/>
                <w:color w:val="auto"/>
                <w:w w:val="93"/>
              </w:rPr>
              <w:t>Whole Foods</w:t>
            </w:r>
          </w:p>
        </w:tc>
        <w:tc>
          <w:tcPr>
            <w:tcW w:w="1920" w:type="dxa"/>
            <w:vAlign w:val="bottom"/>
          </w:tcPr>
          <w:p>
            <w:pPr>
              <w:ind w:left="60"/>
              <w:spacing w:after="0" w:line="122" w:lineRule="exact"/>
              <w:rPr>
                <w:sz w:val="20"/>
                <w:szCs w:val="20"/>
                <w:color w:val="auto"/>
              </w:rPr>
            </w:pPr>
            <w:r>
              <w:rPr>
                <w:rFonts w:ascii="Arial" w:cs="Arial" w:eastAsia="Arial" w:hAnsi="Arial"/>
                <w:sz w:val="13"/>
                <w:szCs w:val="13"/>
                <w:color w:val="auto"/>
              </w:rPr>
              <w:t>Buy Buy Baby</w:t>
            </w:r>
          </w:p>
        </w:tc>
      </w:tr>
      <w:tr>
        <w:trPr>
          <w:trHeight w:val="121"/>
        </w:trPr>
        <w:tc>
          <w:tcPr>
            <w:tcW w:w="1300" w:type="dxa"/>
            <w:vAlign w:val="bottom"/>
          </w:tcPr>
          <w:p>
            <w:pPr>
              <w:spacing w:after="0"/>
              <w:rPr>
                <w:sz w:val="10"/>
                <w:szCs w:val="10"/>
                <w:color w:val="auto"/>
              </w:rPr>
            </w:pPr>
          </w:p>
        </w:tc>
        <w:tc>
          <w:tcPr>
            <w:tcW w:w="1640" w:type="dxa"/>
            <w:vAlign w:val="bottom"/>
          </w:tcPr>
          <w:p>
            <w:pPr>
              <w:ind w:left="340"/>
              <w:spacing w:after="0" w:line="122" w:lineRule="exact"/>
              <w:rPr>
                <w:sz w:val="20"/>
                <w:szCs w:val="20"/>
                <w:color w:val="auto"/>
              </w:rPr>
            </w:pPr>
            <w:r>
              <w:rPr>
                <w:rFonts w:ascii="Arial" w:cs="Arial" w:eastAsia="Arial" w:hAnsi="Arial"/>
                <w:sz w:val="13"/>
                <w:szCs w:val="13"/>
                <w:color w:val="auto"/>
              </w:rPr>
              <w:t>Wilmington, PA-NJ-</w:t>
            </w:r>
          </w:p>
        </w:tc>
        <w:tc>
          <w:tcPr>
            <w:tcW w:w="1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20" w:type="dxa"/>
            <w:vAlign w:val="bottom"/>
          </w:tcPr>
          <w:p>
            <w:pPr>
              <w:spacing w:after="0"/>
              <w:rPr>
                <w:sz w:val="10"/>
                <w:szCs w:val="10"/>
                <w:color w:val="auto"/>
              </w:rPr>
            </w:pPr>
          </w:p>
        </w:tc>
      </w:tr>
      <w:tr>
        <w:trPr>
          <w:trHeight w:val="168"/>
        </w:trPr>
        <w:tc>
          <w:tcPr>
            <w:tcW w:w="1300" w:type="dxa"/>
            <w:vAlign w:val="bottom"/>
          </w:tcPr>
          <w:p>
            <w:pPr>
              <w:spacing w:after="0"/>
              <w:rPr>
                <w:sz w:val="14"/>
                <w:szCs w:val="14"/>
                <w:color w:val="auto"/>
              </w:rPr>
            </w:pPr>
          </w:p>
        </w:tc>
        <w:tc>
          <w:tcPr>
            <w:tcW w:w="1640" w:type="dxa"/>
            <w:vAlign w:val="bottom"/>
          </w:tcPr>
          <w:p>
            <w:pPr>
              <w:ind w:left="340"/>
              <w:spacing w:after="0"/>
              <w:rPr>
                <w:sz w:val="20"/>
                <w:szCs w:val="20"/>
                <w:color w:val="auto"/>
              </w:rPr>
            </w:pPr>
            <w:r>
              <w:rPr>
                <w:rFonts w:ascii="Arial" w:cs="Arial" w:eastAsia="Arial" w:hAnsi="Arial"/>
                <w:sz w:val="13"/>
                <w:szCs w:val="13"/>
                <w:color w:val="auto"/>
              </w:rPr>
              <w:t>DE-MD</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Flourtown</w:t>
            </w:r>
          </w:p>
        </w:tc>
        <w:tc>
          <w:tcPr>
            <w:tcW w:w="164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color w:val="auto"/>
                <w:w w:val="99"/>
              </w:rPr>
              <w:t>Philadelphia-Camden-</w:t>
            </w:r>
          </w:p>
        </w:tc>
        <w:tc>
          <w:tcPr>
            <w:tcW w:w="1220" w:type="dxa"/>
            <w:vAlign w:val="bottom"/>
            <w:shd w:val="clear" w:color="auto" w:fill="CCEEFF"/>
          </w:tcPr>
          <w:p>
            <w:pPr>
              <w:jc w:val="right"/>
              <w:ind w:right="657"/>
              <w:spacing w:after="0" w:line="129" w:lineRule="exact"/>
              <w:rPr>
                <w:sz w:val="20"/>
                <w:szCs w:val="20"/>
                <w:color w:val="auto"/>
              </w:rPr>
            </w:pPr>
            <w:r>
              <w:rPr>
                <w:rFonts w:ascii="Arial" w:cs="Arial" w:eastAsia="Arial" w:hAnsi="Arial"/>
                <w:sz w:val="13"/>
                <w:szCs w:val="13"/>
                <w:color w:val="auto"/>
              </w:rPr>
              <w:t>16,933</w:t>
            </w:r>
          </w:p>
        </w:tc>
        <w:tc>
          <w:tcPr>
            <w:tcW w:w="94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24</w:t>
            </w:r>
          </w:p>
        </w:tc>
        <w:tc>
          <w:tcPr>
            <w:tcW w:w="660" w:type="dxa"/>
            <w:vAlign w:val="bottom"/>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156,000</w:t>
            </w:r>
          </w:p>
        </w:tc>
        <w:tc>
          <w:tcPr>
            <w:tcW w:w="640" w:type="dxa"/>
            <w:vAlign w:val="bottom"/>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rPr>
              <w:t>98 %</w:t>
            </w:r>
          </w:p>
        </w:tc>
        <w:tc>
          <w:tcPr>
            <w:tcW w:w="5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98 %</w:t>
            </w:r>
          </w:p>
        </w:tc>
        <w:tc>
          <w:tcPr>
            <w:tcW w:w="540" w:type="dxa"/>
            <w:vAlign w:val="bottom"/>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23.61</w:t>
            </w:r>
          </w:p>
        </w:tc>
        <w:tc>
          <w:tcPr>
            <w:tcW w:w="4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75,000</w:t>
            </w:r>
          </w:p>
        </w:tc>
        <w:tc>
          <w:tcPr>
            <w:tcW w:w="7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Giant Food</w:t>
            </w:r>
          </w:p>
        </w:tc>
        <w:tc>
          <w:tcPr>
            <w:tcW w:w="19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Movie Tavern</w:t>
            </w:r>
          </w:p>
        </w:tc>
      </w:tr>
      <w:tr>
        <w:trPr>
          <w:trHeight w:val="122"/>
        </w:trPr>
        <w:tc>
          <w:tcPr>
            <w:tcW w:w="1300" w:type="dxa"/>
            <w:vAlign w:val="bottom"/>
            <w:shd w:val="clear" w:color="auto" w:fill="CCEEFF"/>
          </w:tcPr>
          <w:p>
            <w:pPr>
              <w:spacing w:after="0"/>
              <w:rPr>
                <w:sz w:val="10"/>
                <w:szCs w:val="10"/>
                <w:color w:val="auto"/>
              </w:rPr>
            </w:pPr>
          </w:p>
        </w:tc>
        <w:tc>
          <w:tcPr>
            <w:tcW w:w="1640" w:type="dxa"/>
            <w:vAlign w:val="bottom"/>
            <w:shd w:val="clear" w:color="auto" w:fill="CCEEFF"/>
          </w:tcPr>
          <w:p>
            <w:pPr>
              <w:ind w:left="340"/>
              <w:spacing w:after="0" w:line="122" w:lineRule="exact"/>
              <w:rPr>
                <w:sz w:val="20"/>
                <w:szCs w:val="20"/>
                <w:color w:val="auto"/>
              </w:rPr>
            </w:pPr>
            <w:r>
              <w:rPr>
                <w:rFonts w:ascii="Arial" w:cs="Arial" w:eastAsia="Arial" w:hAnsi="Arial"/>
                <w:sz w:val="13"/>
                <w:szCs w:val="13"/>
                <w:color w:val="auto"/>
              </w:rPr>
              <w:t>Wilmington, PA-NJ-</w:t>
            </w:r>
          </w:p>
        </w:tc>
        <w:tc>
          <w:tcPr>
            <w:tcW w:w="1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r>
      <w:tr>
        <w:trPr>
          <w:trHeight w:val="175"/>
        </w:trPr>
        <w:tc>
          <w:tcPr>
            <w:tcW w:w="1300" w:type="dxa"/>
            <w:vAlign w:val="bottom"/>
            <w:shd w:val="clear" w:color="auto" w:fill="CCEEFF"/>
          </w:tcPr>
          <w:p>
            <w:pPr>
              <w:spacing w:after="0"/>
              <w:rPr>
                <w:sz w:val="15"/>
                <w:szCs w:val="15"/>
                <w:color w:val="auto"/>
              </w:rPr>
            </w:pPr>
          </w:p>
        </w:tc>
        <w:tc>
          <w:tcPr>
            <w:tcW w:w="16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DE-MD</w:t>
            </w:r>
          </w:p>
        </w:tc>
        <w:tc>
          <w:tcPr>
            <w:tcW w:w="1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Langhorne Square</w:t>
            </w:r>
          </w:p>
        </w:tc>
        <w:tc>
          <w:tcPr>
            <w:tcW w:w="1640" w:type="dxa"/>
            <w:vAlign w:val="bottom"/>
          </w:tcPr>
          <w:p>
            <w:pPr>
              <w:ind w:left="340"/>
              <w:spacing w:after="0" w:line="122" w:lineRule="exact"/>
              <w:rPr>
                <w:sz w:val="20"/>
                <w:szCs w:val="20"/>
                <w:color w:val="auto"/>
              </w:rPr>
            </w:pPr>
            <w:r>
              <w:rPr>
                <w:rFonts w:ascii="Arial" w:cs="Arial" w:eastAsia="Arial" w:hAnsi="Arial"/>
                <w:sz w:val="13"/>
                <w:szCs w:val="13"/>
                <w:color w:val="auto"/>
                <w:w w:val="99"/>
              </w:rPr>
              <w:t>Philadelphia-Camden-</w:t>
            </w:r>
          </w:p>
        </w:tc>
        <w:tc>
          <w:tcPr>
            <w:tcW w:w="1220" w:type="dxa"/>
            <w:vAlign w:val="bottom"/>
          </w:tcPr>
          <w:p>
            <w:pPr>
              <w:jc w:val="right"/>
              <w:ind w:right="657"/>
              <w:spacing w:after="0" w:line="122" w:lineRule="exact"/>
              <w:rPr>
                <w:sz w:val="20"/>
                <w:szCs w:val="20"/>
                <w:color w:val="auto"/>
              </w:rPr>
            </w:pPr>
            <w:r>
              <w:rPr>
                <w:rFonts w:ascii="Arial" w:cs="Arial" w:eastAsia="Arial" w:hAnsi="Arial"/>
                <w:sz w:val="13"/>
                <w:szCs w:val="13"/>
                <w:color w:val="auto"/>
              </w:rPr>
              <w:t>22,662</w:t>
            </w:r>
          </w:p>
        </w:tc>
        <w:tc>
          <w:tcPr>
            <w:tcW w:w="940" w:type="dxa"/>
            <w:vAlign w:val="bottom"/>
          </w:tcPr>
          <w:p>
            <w:pPr>
              <w:jc w:val="right"/>
              <w:ind w:right="57"/>
              <w:spacing w:after="0" w:line="122" w:lineRule="exact"/>
              <w:rPr>
                <w:sz w:val="20"/>
                <w:szCs w:val="20"/>
                <w:color w:val="auto"/>
              </w:rPr>
            </w:pPr>
            <w:r>
              <w:rPr>
                <w:rFonts w:ascii="Arial" w:cs="Arial" w:eastAsia="Arial" w:hAnsi="Arial"/>
                <w:sz w:val="13"/>
                <w:szCs w:val="13"/>
                <w:color w:val="auto"/>
              </w:rPr>
              <w:t>21</w:t>
            </w:r>
          </w:p>
        </w:tc>
        <w:tc>
          <w:tcPr>
            <w:tcW w:w="660" w:type="dxa"/>
            <w:vAlign w:val="bottom"/>
          </w:tcPr>
          <w:p>
            <w:pPr>
              <w:jc w:val="right"/>
              <w:ind w:right="97"/>
              <w:spacing w:after="0" w:line="122" w:lineRule="exact"/>
              <w:rPr>
                <w:sz w:val="20"/>
                <w:szCs w:val="20"/>
                <w:color w:val="auto"/>
              </w:rPr>
            </w:pPr>
            <w:r>
              <w:rPr>
                <w:rFonts w:ascii="Arial" w:cs="Arial" w:eastAsia="Arial" w:hAnsi="Arial"/>
                <w:sz w:val="13"/>
                <w:szCs w:val="13"/>
                <w:color w:val="auto"/>
              </w:rPr>
              <w:t>223,000</w:t>
            </w:r>
          </w:p>
        </w:tc>
        <w:tc>
          <w:tcPr>
            <w:tcW w:w="640" w:type="dxa"/>
            <w:vAlign w:val="bottom"/>
          </w:tcPr>
          <w:p>
            <w:pPr>
              <w:jc w:val="right"/>
              <w:ind w:right="137"/>
              <w:spacing w:after="0" w:line="122" w:lineRule="exact"/>
              <w:rPr>
                <w:sz w:val="20"/>
                <w:szCs w:val="20"/>
                <w:color w:val="auto"/>
              </w:rPr>
            </w:pPr>
            <w:r>
              <w:rPr>
                <w:rFonts w:ascii="Arial" w:cs="Arial" w:eastAsia="Arial" w:hAnsi="Arial"/>
                <w:sz w:val="13"/>
                <w:szCs w:val="13"/>
                <w:color w:val="auto"/>
              </w:rPr>
              <w:t>94 %</w:t>
            </w:r>
          </w:p>
        </w:tc>
        <w:tc>
          <w:tcPr>
            <w:tcW w:w="56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91 %</w:t>
            </w:r>
          </w:p>
        </w:tc>
        <w:tc>
          <w:tcPr>
            <w:tcW w:w="540" w:type="dxa"/>
            <w:vAlign w:val="bottom"/>
          </w:tcPr>
          <w:p>
            <w:pPr>
              <w:jc w:val="right"/>
              <w:ind w:right="97"/>
              <w:spacing w:after="0" w:line="122" w:lineRule="exact"/>
              <w:rPr>
                <w:sz w:val="20"/>
                <w:szCs w:val="20"/>
                <w:color w:val="auto"/>
              </w:rPr>
            </w:pPr>
            <w:r>
              <w:rPr>
                <w:rFonts w:ascii="Arial" w:cs="Arial" w:eastAsia="Arial" w:hAnsi="Arial"/>
                <w:sz w:val="13"/>
                <w:szCs w:val="13"/>
                <w:color w:val="auto"/>
              </w:rPr>
              <w:t>16.69</w:t>
            </w:r>
          </w:p>
        </w:tc>
        <w:tc>
          <w:tcPr>
            <w:tcW w:w="4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55,000</w:t>
            </w:r>
          </w:p>
        </w:tc>
        <w:tc>
          <w:tcPr>
            <w:tcW w:w="780" w:type="dxa"/>
            <w:vAlign w:val="bottom"/>
          </w:tcPr>
          <w:p>
            <w:pPr>
              <w:ind w:left="40"/>
              <w:spacing w:after="0" w:line="122" w:lineRule="exact"/>
              <w:rPr>
                <w:sz w:val="20"/>
                <w:szCs w:val="20"/>
                <w:color w:val="auto"/>
              </w:rPr>
            </w:pPr>
            <w:r>
              <w:rPr>
                <w:rFonts w:ascii="Arial" w:cs="Arial" w:eastAsia="Arial" w:hAnsi="Arial"/>
                <w:sz w:val="13"/>
                <w:szCs w:val="13"/>
                <w:color w:val="auto"/>
              </w:rPr>
              <w:t>Redner's</w:t>
            </w:r>
          </w:p>
        </w:tc>
        <w:tc>
          <w:tcPr>
            <w:tcW w:w="1920" w:type="dxa"/>
            <w:vAlign w:val="bottom"/>
          </w:tcPr>
          <w:p>
            <w:pPr>
              <w:ind w:left="60"/>
              <w:spacing w:after="0" w:line="122" w:lineRule="exact"/>
              <w:rPr>
                <w:sz w:val="20"/>
                <w:szCs w:val="20"/>
                <w:color w:val="auto"/>
              </w:rPr>
            </w:pPr>
            <w:r>
              <w:rPr>
                <w:rFonts w:ascii="Arial" w:cs="Arial" w:eastAsia="Arial" w:hAnsi="Arial"/>
                <w:sz w:val="13"/>
                <w:szCs w:val="13"/>
                <w:color w:val="auto"/>
              </w:rPr>
              <w:t>Marshalls / Planet Fitness</w:t>
            </w:r>
          </w:p>
        </w:tc>
      </w:tr>
      <w:tr>
        <w:trPr>
          <w:trHeight w:val="122"/>
        </w:trPr>
        <w:tc>
          <w:tcPr>
            <w:tcW w:w="1300" w:type="dxa"/>
            <w:vAlign w:val="bottom"/>
          </w:tcPr>
          <w:p>
            <w:pPr>
              <w:spacing w:after="0"/>
              <w:rPr>
                <w:sz w:val="10"/>
                <w:szCs w:val="10"/>
                <w:color w:val="auto"/>
              </w:rPr>
            </w:pPr>
          </w:p>
        </w:tc>
        <w:tc>
          <w:tcPr>
            <w:tcW w:w="1640" w:type="dxa"/>
            <w:vAlign w:val="bottom"/>
          </w:tcPr>
          <w:p>
            <w:pPr>
              <w:ind w:left="340"/>
              <w:spacing w:after="0" w:line="122" w:lineRule="exact"/>
              <w:rPr>
                <w:sz w:val="20"/>
                <w:szCs w:val="20"/>
                <w:color w:val="auto"/>
              </w:rPr>
            </w:pPr>
            <w:r>
              <w:rPr>
                <w:rFonts w:ascii="Arial" w:cs="Arial" w:eastAsia="Arial" w:hAnsi="Arial"/>
                <w:sz w:val="13"/>
                <w:szCs w:val="13"/>
                <w:color w:val="auto"/>
              </w:rPr>
              <w:t>Wilmington, PA-NJ-</w:t>
            </w:r>
          </w:p>
        </w:tc>
        <w:tc>
          <w:tcPr>
            <w:tcW w:w="1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40"/>
              <w:spacing w:after="0" w:line="122" w:lineRule="exact"/>
              <w:rPr>
                <w:sz w:val="20"/>
                <w:szCs w:val="20"/>
                <w:color w:val="auto"/>
              </w:rPr>
            </w:pPr>
            <w:r>
              <w:rPr>
                <w:rFonts w:ascii="Arial" w:cs="Arial" w:eastAsia="Arial" w:hAnsi="Arial"/>
                <w:sz w:val="13"/>
                <w:szCs w:val="13"/>
                <w:color w:val="auto"/>
              </w:rPr>
              <w:t>Warehouse</w:t>
            </w:r>
          </w:p>
        </w:tc>
        <w:tc>
          <w:tcPr>
            <w:tcW w:w="1920" w:type="dxa"/>
            <w:vAlign w:val="bottom"/>
          </w:tcPr>
          <w:p>
            <w:pPr>
              <w:spacing w:after="0"/>
              <w:rPr>
                <w:sz w:val="10"/>
                <w:szCs w:val="10"/>
                <w:color w:val="auto"/>
              </w:rPr>
            </w:pPr>
          </w:p>
        </w:tc>
      </w:tr>
      <w:tr>
        <w:trPr>
          <w:trHeight w:val="160"/>
        </w:trPr>
        <w:tc>
          <w:tcPr>
            <w:tcW w:w="1300" w:type="dxa"/>
            <w:vAlign w:val="bottom"/>
          </w:tcPr>
          <w:p>
            <w:pPr>
              <w:spacing w:after="0"/>
              <w:rPr>
                <w:sz w:val="13"/>
                <w:szCs w:val="13"/>
                <w:color w:val="auto"/>
              </w:rPr>
            </w:pPr>
          </w:p>
        </w:tc>
        <w:tc>
          <w:tcPr>
            <w:tcW w:w="1640" w:type="dxa"/>
            <w:vAlign w:val="bottom"/>
          </w:tcPr>
          <w:p>
            <w:pPr>
              <w:ind w:left="340"/>
              <w:spacing w:after="0"/>
              <w:rPr>
                <w:sz w:val="20"/>
                <w:szCs w:val="20"/>
                <w:color w:val="auto"/>
              </w:rPr>
            </w:pPr>
            <w:r>
              <w:rPr>
                <w:rFonts w:ascii="Arial" w:cs="Arial" w:eastAsia="Arial" w:hAnsi="Arial"/>
                <w:sz w:val="13"/>
                <w:szCs w:val="13"/>
                <w:color w:val="auto"/>
              </w:rPr>
              <w:t>DE-MD</w:t>
            </w: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Markets</w:t>
            </w:r>
          </w:p>
        </w:tc>
        <w:tc>
          <w:tcPr>
            <w:tcW w:w="1920" w:type="dxa"/>
            <w:vAlign w:val="bottom"/>
          </w:tcPr>
          <w:p>
            <w:pPr>
              <w:spacing w:after="0"/>
              <w:rPr>
                <w:sz w:val="13"/>
                <w:szCs w:val="13"/>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47" w:right="339" w:bottom="1440" w:gutter="0" w:footer="0" w:header="0"/>
          <w:type w:val="continuous"/>
        </w:sectPr>
      </w:pPr>
    </w:p>
    <w:bookmarkStart w:id="28" w:name="page29"/>
    <w:bookmarkEnd w:id="2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170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MSA Description</w:t>
            </w:r>
          </w:p>
        </w:tc>
        <w:tc>
          <w:tcPr>
            <w:tcW w:w="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1"/>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60" w:type="dxa"/>
            <w:vAlign w:val="bottom"/>
            <w:vMerge w:val="continue"/>
          </w:tcPr>
          <w:p>
            <w:pPr>
              <w:spacing w:after="0"/>
              <w:rPr>
                <w:sz w:val="10"/>
                <w:szCs w:val="10"/>
                <w:color w:val="auto"/>
              </w:rPr>
            </w:pPr>
          </w:p>
        </w:tc>
        <w:tc>
          <w:tcPr>
            <w:tcW w:w="1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Lawrence Park</w:t>
            </w:r>
          </w:p>
        </w:tc>
        <w:tc>
          <w:tcPr>
            <w:tcW w:w="170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41,197</w:t>
            </w: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29</w:t>
            </w:r>
          </w:p>
        </w:tc>
        <w:tc>
          <w:tcPr>
            <w:tcW w:w="62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363,000</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98 %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85 %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22.81</w:t>
            </w: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53,000</w:t>
            </w:r>
          </w:p>
        </w:tc>
        <w:tc>
          <w:tcPr>
            <w:tcW w:w="26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2"/>
              </w:rPr>
              <w:t>Acme Markets TJ Maxx / HomeGoods / Barnes &amp;</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70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Northeast</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33,636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227,000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18.82</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w w:val="89"/>
              </w:rPr>
              <w:t>Marshalls / Ulta / Skechers / Crunch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3"/>
                <w:szCs w:val="13"/>
                <w:color w:val="auto"/>
              </w:rPr>
              <w:t>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9"/>
              </w:rPr>
              <w:t>Town Center of New</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16,582</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125,000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9.18</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36,000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Rite Aid / Dollar Tree</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Britain</w:t>
            </w:r>
          </w:p>
        </w:tc>
        <w:tc>
          <w:tcPr>
            <w:tcW w:w="170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Willow Grove</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29,273</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13</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78 %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18.44</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w w:val="91"/>
              </w:rPr>
              <w:t>Marshalls / HomeGoods / Barnes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3"/>
                <w:szCs w:val="13"/>
                <w:color w:val="auto"/>
              </w:rPr>
              <w:t>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Wynnewood</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42,636</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249,000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28.81</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9</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98,000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8"/>
              </w:rPr>
              <w:t>Bed, Bath &amp; Beyond / Old Navy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70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MD</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4"/>
              </w:rPr>
              <w:t>Total Philadelphia Metropolitan Area</w:t>
            </w:r>
          </w:p>
        </w:tc>
        <w:tc>
          <w:tcPr>
            <w:tcW w:w="580" w:type="dxa"/>
            <w:vAlign w:val="bottom"/>
          </w:tcPr>
          <w:p>
            <w:pPr>
              <w:jc w:val="right"/>
              <w:spacing w:after="0"/>
              <w:rPr>
                <w:sz w:val="20"/>
                <w:szCs w:val="20"/>
                <w:color w:val="auto"/>
              </w:rPr>
            </w:pPr>
            <w:r>
              <w:rPr>
                <w:rFonts w:ascii="Arial" w:cs="Arial" w:eastAsia="Arial" w:hAnsi="Arial"/>
                <w:sz w:val="13"/>
                <w:szCs w:val="13"/>
                <w:color w:val="auto"/>
              </w:rPr>
              <w:t>332,532</w:t>
            </w:r>
          </w:p>
        </w:tc>
        <w:tc>
          <w:tcPr>
            <w:tcW w:w="10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206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2,351,000</w:t>
            </w:r>
          </w:p>
        </w:tc>
        <w:tc>
          <w:tcPr>
            <w:tcW w:w="580" w:type="dxa"/>
            <w:vAlign w:val="bottom"/>
          </w:tcPr>
          <w:p>
            <w:pPr>
              <w:jc w:val="right"/>
              <w:spacing w:after="0"/>
              <w:rPr>
                <w:sz w:val="20"/>
                <w:szCs w:val="20"/>
                <w:color w:val="auto"/>
              </w:rPr>
            </w:pPr>
            <w:r>
              <w:rPr>
                <w:rFonts w:ascii="Arial" w:cs="Arial" w:eastAsia="Arial" w:hAnsi="Arial"/>
                <w:sz w:val="13"/>
                <w:szCs w:val="13"/>
                <w:color w:val="auto"/>
              </w:rPr>
              <w:t>90 %</w:t>
            </w:r>
          </w:p>
        </w:tc>
        <w:tc>
          <w:tcPr>
            <w:tcW w:w="640" w:type="dxa"/>
            <w:vAlign w:val="bottom"/>
          </w:tcPr>
          <w:p>
            <w:pPr>
              <w:jc w:val="right"/>
              <w:spacing w:after="0"/>
              <w:rPr>
                <w:sz w:val="20"/>
                <w:szCs w:val="20"/>
                <w:color w:val="auto"/>
              </w:rPr>
            </w:pPr>
            <w:r>
              <w:rPr>
                <w:rFonts w:ascii="Arial" w:cs="Arial" w:eastAsia="Arial" w:hAnsi="Arial"/>
                <w:sz w:val="13"/>
                <w:szCs w:val="13"/>
                <w:color w:val="auto"/>
              </w:rPr>
              <w:t>87 %</w:t>
            </w:r>
          </w:p>
        </w:tc>
        <w:tc>
          <w:tcPr>
            <w:tcW w:w="500" w:type="dxa"/>
            <w:vAlign w:val="bottom"/>
          </w:tcPr>
          <w:p>
            <w:pPr>
              <w:jc w:val="right"/>
              <w:spacing w:after="0"/>
              <w:rPr>
                <w:sz w:val="20"/>
                <w:szCs w:val="20"/>
                <w:color w:val="auto"/>
              </w:rPr>
            </w:pPr>
            <w:r>
              <w:rPr>
                <w:rFonts w:ascii="Arial" w:cs="Arial" w:eastAsia="Arial" w:hAnsi="Arial"/>
                <w:sz w:val="13"/>
                <w:szCs w:val="13"/>
                <w:color w:val="auto"/>
              </w:rPr>
              <w:t>20.60</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New England</w:t>
            </w:r>
          </w:p>
        </w:tc>
        <w:tc>
          <w:tcPr>
            <w:tcW w:w="1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Assembly Row /</w:t>
            </w:r>
          </w:p>
        </w:tc>
        <w:tc>
          <w:tcPr>
            <w:tcW w:w="1700" w:type="dxa"/>
            <w:vAlign w:val="bottom"/>
            <w:shd w:val="clear" w:color="auto" w:fill="CCEEFF"/>
          </w:tcPr>
          <w:p>
            <w:pPr>
              <w:ind w:left="120"/>
              <w:spacing w:after="0" w:line="122" w:lineRule="exact"/>
              <w:rPr>
                <w:sz w:val="20"/>
                <w:szCs w:val="20"/>
                <w:color w:val="auto"/>
              </w:rPr>
            </w:pPr>
            <w:r>
              <w:rPr>
                <w:rFonts w:ascii="Arial" w:cs="Arial" w:eastAsia="Arial" w:hAnsi="Arial"/>
                <w:sz w:val="13"/>
                <w:szCs w:val="13"/>
                <w:color w:val="auto"/>
              </w:rPr>
              <w:t>(7)   Boston-Cambridge-</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960,329</w:t>
            </w: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65</w:t>
            </w:r>
          </w:p>
        </w:tc>
        <w:tc>
          <w:tcPr>
            <w:tcW w:w="62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824,000</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94 %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32.45</w:t>
            </w: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2"/>
              </w:rPr>
              <w:t>447</w:t>
            </w:r>
          </w:p>
        </w:tc>
        <w:tc>
          <w:tcPr>
            <w:tcW w:w="5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7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Trader Joe's</w:t>
            </w: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TJ Maxx / AMC / LEGOLAND</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Assembly Square</w:t>
            </w:r>
          </w:p>
        </w:tc>
        <w:tc>
          <w:tcPr>
            <w:tcW w:w="170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Discovery Center / Multiple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Marketplace</w:t>
            </w:r>
          </w:p>
        </w:tc>
        <w:tc>
          <w:tcPr>
            <w:tcW w:w="1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Campus Plaza</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Boston-Cambridge-</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30,448</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114,000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17.21</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Roche Bros.</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3"/>
                <w:szCs w:val="13"/>
                <w:color w:val="auto"/>
              </w:rPr>
              <w:t>Newton, MA-NH</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Chelsea Commons</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30,565</w:t>
            </w:r>
          </w:p>
        </w:tc>
        <w:tc>
          <w:tcPr>
            <w:tcW w:w="10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5,234</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222,000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12.92</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Home Depot / Planet Fitness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Dedham Plaza</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Boston-Cambridge-</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47,143</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245,000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16.56</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80,000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Star Market</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3"/>
                <w:szCs w:val="13"/>
                <w:color w:val="auto"/>
              </w:rPr>
              <w:t>Newton, MA-NH</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Linden Square</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150,356</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19</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220,000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50.21</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7</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50,000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Roche Bros.</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North Dartmouth</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Providence-Warwick,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9,369</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28</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15.31</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48,000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w w:val="98"/>
              </w:rPr>
              <w:t>Stop &amp; Shop</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3"/>
                <w:szCs w:val="13"/>
                <w:color w:val="auto"/>
              </w:rPr>
              <w:t>RI-MA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Queen Anne Plaza</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18,430</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19.36</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50,000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Big Y Foods</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TJ Maxx / HomeGoods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Saugus Plaza</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Boston-Cambridge-</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17,254</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166,000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17.22</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w w:val="93"/>
              </w:rPr>
              <w:t>Super Stop &amp;</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Floor &amp; Décor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Newton, MA-NH</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Shop</w:t>
            </w:r>
          </w:p>
        </w:tc>
        <w:tc>
          <w:tcPr>
            <w:tcW w:w="1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 New England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1,263,894</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1,988,000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Baltimore</w:t>
            </w:r>
          </w:p>
        </w:tc>
        <w:tc>
          <w:tcPr>
            <w:tcW w:w="1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Governor Plaza</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26,245</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242,000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79 %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21.26</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16,500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Aldi</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Dick's Sporting Goods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3"/>
                <w:szCs w:val="13"/>
                <w:color w:val="auto"/>
              </w:rPr>
              <w:t>Towson, 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Perring Plaza</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31,898</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29</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397,000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15.50</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58,000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Shoppers</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Home Depot / Micro Center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700" w:type="dxa"/>
            <w:vAlign w:val="bottom"/>
            <w:shd w:val="clear" w:color="auto" w:fill="CCEEFF"/>
          </w:tcPr>
          <w:p>
            <w:pPr>
              <w:ind w:left="420"/>
              <w:spacing w:after="0" w:line="122" w:lineRule="exact"/>
              <w:rPr>
                <w:sz w:val="20"/>
                <w:szCs w:val="20"/>
                <w:color w:val="auto"/>
              </w:rPr>
            </w:pPr>
            <w:r>
              <w:rPr>
                <w:rFonts w:ascii="Arial" w:cs="Arial" w:eastAsia="Arial" w:hAnsi="Arial"/>
                <w:sz w:val="13"/>
                <w:szCs w:val="13"/>
                <w:color w:val="auto"/>
              </w:rPr>
              <w:t>Towson, MD</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Food</w:t>
            </w: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Warehouse</w:t>
            </w: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THE AVENUE at</w:t>
            </w:r>
          </w:p>
        </w:tc>
        <w:tc>
          <w:tcPr>
            <w:tcW w:w="1700" w:type="dxa"/>
            <w:vAlign w:val="bottom"/>
          </w:tcPr>
          <w:p>
            <w:pPr>
              <w:ind w:left="120"/>
              <w:spacing w:after="0" w:line="122" w:lineRule="exact"/>
              <w:rPr>
                <w:sz w:val="20"/>
                <w:szCs w:val="20"/>
                <w:color w:val="auto"/>
              </w:rPr>
            </w:pPr>
            <w:r>
              <w:rPr>
                <w:rFonts w:ascii="Arial" w:cs="Arial" w:eastAsia="Arial" w:hAnsi="Arial"/>
                <w:sz w:val="13"/>
                <w:szCs w:val="13"/>
                <w:color w:val="auto"/>
              </w:rPr>
              <w:t>(6)   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122,453</w:t>
            </w:r>
          </w:p>
        </w:tc>
        <w:tc>
          <w:tcPr>
            <w:tcW w:w="1020" w:type="dxa"/>
            <w:vAlign w:val="bottom"/>
          </w:tcPr>
          <w:p>
            <w:pPr>
              <w:jc w:val="center"/>
              <w:spacing w:after="0" w:line="122" w:lineRule="exact"/>
              <w:rPr>
                <w:sz w:val="20"/>
                <w:szCs w:val="20"/>
                <w:color w:val="auto"/>
              </w:rPr>
            </w:pPr>
            <w:r>
              <w:rPr>
                <w:rFonts w:ascii="Arial" w:cs="Arial" w:eastAsia="Arial" w:hAnsi="Arial"/>
                <w:sz w:val="13"/>
                <w:szCs w:val="13"/>
                <w:color w:val="auto"/>
                <w:w w:val="85"/>
              </w:rPr>
              <w:t>52,705</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315,000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85 %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26.16</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w w:val="97"/>
              </w:rPr>
              <w:t>AMC / Ulta / Old Navy / Barnes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White Marsh</w:t>
            </w:r>
          </w:p>
        </w:tc>
        <w:tc>
          <w:tcPr>
            <w:tcW w:w="1700" w:type="dxa"/>
            <w:vAlign w:val="bottom"/>
          </w:tcPr>
          <w:p>
            <w:pPr>
              <w:ind w:left="420"/>
              <w:spacing w:after="0"/>
              <w:rPr>
                <w:sz w:val="20"/>
                <w:szCs w:val="20"/>
                <w:color w:val="auto"/>
              </w:rPr>
            </w:pPr>
            <w:r>
              <w:rPr>
                <w:rFonts w:ascii="Arial" w:cs="Arial" w:eastAsia="Arial" w:hAnsi="Arial"/>
                <w:sz w:val="13"/>
                <w:szCs w:val="13"/>
                <w:color w:val="auto"/>
              </w:rPr>
              <w:t>Towson, 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Shoppes at</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18,344</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4</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32,000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50.44</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Nottingham Square</w:t>
            </w: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Towson, 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Towson Residential</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22,391</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82.83</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92"/>
              </w:rPr>
              <w:t>105</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(Flats @ 703)</w:t>
            </w:r>
          </w:p>
        </w:tc>
        <w:tc>
          <w:tcPr>
            <w:tcW w:w="1700" w:type="dxa"/>
            <w:vAlign w:val="bottom"/>
          </w:tcPr>
          <w:p>
            <w:pPr>
              <w:ind w:left="420"/>
              <w:spacing w:after="0"/>
              <w:rPr>
                <w:sz w:val="20"/>
                <w:szCs w:val="20"/>
                <w:color w:val="auto"/>
              </w:rPr>
            </w:pPr>
            <w:r>
              <w:rPr>
                <w:rFonts w:ascii="Arial" w:cs="Arial" w:eastAsia="Arial" w:hAnsi="Arial"/>
                <w:sz w:val="13"/>
                <w:szCs w:val="13"/>
                <w:color w:val="auto"/>
              </w:rPr>
              <w:t>Towson, 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White Marsh Plaza</w:t>
            </w:r>
          </w:p>
        </w:tc>
        <w:tc>
          <w:tcPr>
            <w:tcW w:w="170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26,388</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79,000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21.88</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54,000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Towson, 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00" w:type="dxa"/>
            <w:vAlign w:val="bottom"/>
            <w:gridSpan w:val="3"/>
          </w:tcPr>
          <w:p>
            <w:pPr>
              <w:spacing w:after="0" w:line="122" w:lineRule="exact"/>
              <w:rPr>
                <w:sz w:val="20"/>
                <w:szCs w:val="20"/>
                <w:color w:val="auto"/>
              </w:rPr>
            </w:pPr>
            <w:r>
              <w:rPr>
                <w:rFonts w:ascii="Arial" w:cs="Arial" w:eastAsia="Arial" w:hAnsi="Arial"/>
                <w:sz w:val="13"/>
                <w:szCs w:val="13"/>
                <w:color w:val="auto"/>
              </w:rPr>
              <w:t>White Marsh Other</w:t>
            </w:r>
          </w:p>
        </w:tc>
        <w:tc>
          <w:tcPr>
            <w:tcW w:w="1700" w:type="dxa"/>
            <w:vAlign w:val="bottom"/>
          </w:tcPr>
          <w:p>
            <w:pPr>
              <w:ind w:left="42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31,715</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70,000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32.33</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Towson, MD</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 Baltimore</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279,434</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1,139,000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47"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Real Estate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480" w:type="dxa"/>
            <w:vAlign w:val="bottom"/>
          </w:tcPr>
          <w:p>
            <w:pPr>
              <w:spacing w:after="0"/>
              <w:rPr>
                <w:sz w:val="10"/>
                <w:szCs w:val="10"/>
                <w:color w:val="auto"/>
              </w:rPr>
            </w:pPr>
          </w:p>
        </w:tc>
        <w:tc>
          <w:tcPr>
            <w:tcW w:w="13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vMerge w:val="continue"/>
          </w:tcPr>
          <w:p>
            <w:pPr>
              <w:spacing w:after="0"/>
              <w:rPr>
                <w:sz w:val="10"/>
                <w:szCs w:val="10"/>
                <w:color w:val="auto"/>
              </w:rPr>
            </w:pP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gridSpan w:val="2"/>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60" w:type="dxa"/>
            <w:vAlign w:val="bottom"/>
            <w:gridSpan w:val="2"/>
          </w:tcPr>
          <w:p>
            <w:pPr>
              <w:jc w:val="right"/>
              <w:ind w:right="17"/>
              <w:spacing w:after="0" w:line="122" w:lineRule="exact"/>
              <w:rPr>
                <w:sz w:val="20"/>
                <w:szCs w:val="20"/>
                <w:color w:val="auto"/>
              </w:rPr>
            </w:pPr>
            <w:r>
              <w:rPr>
                <w:rFonts w:ascii="Arial" w:cs="Arial" w:eastAsia="Arial" w:hAnsi="Arial"/>
                <w:sz w:val="13"/>
                <w:szCs w:val="13"/>
                <w:b w:val="1"/>
                <w:bCs w:val="1"/>
                <w:color w:val="auto"/>
                <w:w w:val="94"/>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720" w:type="dxa"/>
            <w:vAlign w:val="bottom"/>
            <w:vMerge w:val="continue"/>
          </w:tcPr>
          <w:p>
            <w:pPr>
              <w:spacing w:after="0"/>
              <w:rPr>
                <w:sz w:val="10"/>
                <w:szCs w:val="10"/>
                <w:color w:val="auto"/>
              </w:rPr>
            </w:pPr>
          </w:p>
        </w:tc>
        <w:tc>
          <w:tcPr>
            <w:tcW w:w="18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0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8"/>
              </w:rPr>
              <w:t>South Florida</w:t>
            </w:r>
          </w:p>
        </w:tc>
        <w:tc>
          <w:tcPr>
            <w:tcW w:w="3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Arial" w:cs="Arial" w:eastAsia="Arial" w:hAnsi="Arial"/>
                <w:sz w:val="13"/>
                <w:szCs w:val="13"/>
                <w:color w:val="auto"/>
              </w:rPr>
              <w:t>Cocowalk</w:t>
            </w:r>
          </w:p>
        </w:tc>
        <w:tc>
          <w:tcPr>
            <w:tcW w:w="480" w:type="dxa"/>
            <w:vAlign w:val="bottom"/>
          </w:tcPr>
          <w:p>
            <w:pPr>
              <w:jc w:val="right"/>
              <w:spacing w:after="0" w:line="122" w:lineRule="exact"/>
              <w:rPr>
                <w:sz w:val="20"/>
                <w:szCs w:val="20"/>
                <w:color w:val="auto"/>
              </w:rPr>
            </w:pPr>
            <w:r>
              <w:rPr>
                <w:rFonts w:ascii="Arial" w:cs="Arial" w:eastAsia="Arial" w:hAnsi="Arial"/>
                <w:sz w:val="13"/>
                <w:szCs w:val="13"/>
                <w:color w:val="auto"/>
              </w:rPr>
              <w:t>(5) (9)</w:t>
            </w: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w w:val="91"/>
              </w:rPr>
              <w:t>Miami-Fort Lauderdale-</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180,033</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187,000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87</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72</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38.99</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w w:val="93"/>
              </w:rPr>
              <w:t>Cinepolis Theaters / Youfit Health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3"/>
                <w:szCs w:val="13"/>
                <w:color w:val="auto"/>
                <w:w w:val="98"/>
              </w:rPr>
              <w:t>West Palm Beach, FL</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Arial" w:cs="Arial" w:eastAsia="Arial" w:hAnsi="Arial"/>
                <w:sz w:val="13"/>
                <w:szCs w:val="13"/>
                <w:color w:val="auto"/>
              </w:rPr>
              <w:t>Club / Planta Restaurant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Del Mar Village</w:t>
            </w:r>
          </w:p>
        </w:tc>
        <w:tc>
          <w:tcPr>
            <w:tcW w:w="480" w:type="dxa"/>
            <w:vAlign w:val="bottom"/>
            <w:shd w:val="clear" w:color="auto" w:fill="CCEEFF"/>
          </w:tcPr>
          <w:p>
            <w:pPr>
              <w:spacing w:after="0"/>
              <w:rPr>
                <w:sz w:val="11"/>
                <w:szCs w:val="11"/>
                <w:color w:val="auto"/>
              </w:rPr>
            </w:pPr>
          </w:p>
        </w:tc>
        <w:tc>
          <w:tcPr>
            <w:tcW w:w="13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Miami-Fort Lauderdale-</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73,763</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187,000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20.56</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44,000</w:t>
            </w:r>
          </w:p>
        </w:tc>
        <w:tc>
          <w:tcPr>
            <w:tcW w:w="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Winn Dixie</w:t>
            </w: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West Palm Beach, FL</w:t>
            </w: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Arial" w:cs="Arial" w:eastAsia="Arial" w:hAnsi="Arial"/>
                <w:sz w:val="13"/>
                <w:szCs w:val="13"/>
                <w:color w:val="auto"/>
              </w:rPr>
              <w:t>Tower Shops</w:t>
            </w:r>
          </w:p>
        </w:tc>
        <w:tc>
          <w:tcPr>
            <w:tcW w:w="480" w:type="dxa"/>
            <w:vAlign w:val="bottom"/>
          </w:tcPr>
          <w:p>
            <w:pPr>
              <w:spacing w:after="0"/>
              <w:rPr>
                <w:sz w:val="10"/>
                <w:szCs w:val="10"/>
                <w:color w:val="auto"/>
              </w:rPr>
            </w:pP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w w:val="91"/>
              </w:rPr>
              <w:t>Miami-Fort Lauderdale-</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98,264</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67</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425,000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95</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25.40</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12,000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w w:val="94"/>
              </w:rPr>
              <w:t>Trader Joe's</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w w:val="96"/>
              </w:rPr>
              <w:t>TJ Maxx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8"/>
              </w:rPr>
              <w:t>West Palm Beach, FL</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Best Buy / Ulta</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352,060</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799,000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Chicago</w:t>
            </w:r>
          </w:p>
        </w:tc>
        <w:tc>
          <w:tcPr>
            <w:tcW w:w="4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Arial" w:cs="Arial" w:eastAsia="Arial" w:hAnsi="Arial"/>
                <w:sz w:val="13"/>
                <w:szCs w:val="13"/>
                <w:color w:val="auto"/>
              </w:rPr>
              <w:t>Crossroads</w:t>
            </w:r>
          </w:p>
        </w:tc>
        <w:tc>
          <w:tcPr>
            <w:tcW w:w="480" w:type="dxa"/>
            <w:vAlign w:val="bottom"/>
          </w:tcPr>
          <w:p>
            <w:pPr>
              <w:spacing w:after="0"/>
              <w:rPr>
                <w:sz w:val="10"/>
                <w:szCs w:val="10"/>
                <w:color w:val="auto"/>
              </w:rPr>
            </w:pP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35,895</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168,000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92</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23.37</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rPr>
              <w:t>Elgin, IL-IN-WI</w:t>
            </w: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Ferguson's Bath, Kitchen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Arial" w:cs="Arial" w:eastAsia="Arial" w:hAnsi="Arial"/>
                <w:sz w:val="13"/>
                <w:szCs w:val="13"/>
                <w:color w:val="auto"/>
              </w:rPr>
              <w:t>Lighting Gallery</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Finley Square</w:t>
            </w:r>
          </w:p>
        </w:tc>
        <w:tc>
          <w:tcPr>
            <w:tcW w:w="480" w:type="dxa"/>
            <w:vAlign w:val="bottom"/>
            <w:shd w:val="clear" w:color="auto" w:fill="CCEEFF"/>
          </w:tcPr>
          <w:p>
            <w:pPr>
              <w:spacing w:after="0"/>
              <w:rPr>
                <w:sz w:val="11"/>
                <w:szCs w:val="11"/>
                <w:color w:val="auto"/>
              </w:rPr>
            </w:pPr>
          </w:p>
        </w:tc>
        <w:tc>
          <w:tcPr>
            <w:tcW w:w="13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Chicago-Naperville-</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41,399</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280,000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16.54</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Bed, Bath &amp; Beyond / Buy Buy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Elgin, IL-IN-WI</w:t>
            </w: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Baby / Michaels / Portillo's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Arial" w:cs="Arial" w:eastAsia="Arial" w:hAnsi="Arial"/>
                <w:sz w:val="13"/>
                <w:szCs w:val="13"/>
                <w:color w:val="auto"/>
              </w:rPr>
              <w:t>Garden Market</w:t>
            </w:r>
          </w:p>
        </w:tc>
        <w:tc>
          <w:tcPr>
            <w:tcW w:w="480" w:type="dxa"/>
            <w:vAlign w:val="bottom"/>
          </w:tcPr>
          <w:p>
            <w:pPr>
              <w:spacing w:after="0"/>
              <w:rPr>
                <w:sz w:val="10"/>
                <w:szCs w:val="10"/>
                <w:color w:val="auto"/>
              </w:rPr>
            </w:pP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14,876</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139,000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99</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99</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14.34</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63,000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rPr>
              <w:t>Mariano's</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3"/>
                <w:szCs w:val="13"/>
                <w:color w:val="auto"/>
              </w:rPr>
              <w:t>Elgin, IL-IN-WI</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3"/>
                <w:szCs w:val="13"/>
                <w:color w:val="auto"/>
                <w:w w:val="88"/>
              </w:rPr>
              <w:t>Fresh Market</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Riverpoint Center</w:t>
            </w:r>
          </w:p>
        </w:tc>
        <w:tc>
          <w:tcPr>
            <w:tcW w:w="480" w:type="dxa"/>
            <w:vAlign w:val="bottom"/>
            <w:shd w:val="clear" w:color="auto" w:fill="CCEEFF"/>
          </w:tcPr>
          <w:p>
            <w:pPr>
              <w:spacing w:after="0"/>
              <w:rPr>
                <w:sz w:val="11"/>
                <w:szCs w:val="11"/>
                <w:color w:val="auto"/>
              </w:rPr>
            </w:pPr>
          </w:p>
        </w:tc>
        <w:tc>
          <w:tcPr>
            <w:tcW w:w="13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Chicago-Naperville-</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121,924</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211,000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21.50</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86,000</w:t>
            </w:r>
          </w:p>
        </w:tc>
        <w:tc>
          <w:tcPr>
            <w:tcW w:w="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Jewel Osco</w:t>
            </w: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Old Navy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Elgin, IL-IN-WI</w:t>
            </w:r>
          </w:p>
        </w:tc>
        <w:tc>
          <w:tcPr>
            <w:tcW w:w="680" w:type="dxa"/>
            <w:vAlign w:val="bottom"/>
            <w:tcBorders>
              <w:bottom w:val="single" w:sz="8" w:color="auto"/>
            </w:tcBorders>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 Chicago</w:t>
            </w:r>
          </w:p>
        </w:tc>
        <w:tc>
          <w:tcPr>
            <w:tcW w:w="680" w:type="dxa"/>
            <w:vAlign w:val="bottom"/>
          </w:tcPr>
          <w:p>
            <w:pPr>
              <w:jc w:val="right"/>
              <w:spacing w:after="0"/>
              <w:rPr>
                <w:sz w:val="20"/>
                <w:szCs w:val="20"/>
                <w:color w:val="auto"/>
              </w:rPr>
            </w:pPr>
            <w:r>
              <w:rPr>
                <w:rFonts w:ascii="Arial" w:cs="Arial" w:eastAsia="Arial" w:hAnsi="Arial"/>
                <w:sz w:val="13"/>
                <w:szCs w:val="13"/>
                <w:color w:val="auto"/>
              </w:rPr>
              <w:t>214,094</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798,000</w:t>
            </w:r>
          </w:p>
        </w:tc>
        <w:tc>
          <w:tcPr>
            <w:tcW w:w="400" w:type="dxa"/>
            <w:vAlign w:val="bottom"/>
          </w:tcPr>
          <w:p>
            <w:pPr>
              <w:jc w:val="right"/>
              <w:spacing w:after="0"/>
              <w:rPr>
                <w:sz w:val="20"/>
                <w:szCs w:val="20"/>
                <w:color w:val="auto"/>
              </w:rPr>
            </w:pPr>
            <w:r>
              <w:rPr>
                <w:rFonts w:ascii="Arial" w:cs="Arial" w:eastAsia="Arial" w:hAnsi="Arial"/>
                <w:sz w:val="13"/>
                <w:szCs w:val="13"/>
                <w:color w:val="auto"/>
              </w:rPr>
              <w:t>93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18.85</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Other</w:t>
            </w: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Barracks Road</w:t>
            </w:r>
          </w:p>
        </w:tc>
        <w:tc>
          <w:tcPr>
            <w:tcW w:w="480" w:type="dxa"/>
            <w:vAlign w:val="bottom"/>
            <w:shd w:val="clear" w:color="auto" w:fill="CCEEFF"/>
          </w:tcPr>
          <w:p>
            <w:pPr>
              <w:spacing w:after="0"/>
              <w:rPr>
                <w:sz w:val="10"/>
                <w:szCs w:val="10"/>
                <w:color w:val="auto"/>
              </w:rPr>
            </w:pPr>
          </w:p>
        </w:tc>
        <w:tc>
          <w:tcPr>
            <w:tcW w:w="130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69,596</w:t>
            </w: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40</w:t>
            </w:r>
          </w:p>
        </w:tc>
        <w:tc>
          <w:tcPr>
            <w:tcW w:w="6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497,000</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90</w:t>
            </w: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89</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26.65</w:t>
            </w: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99,000</w:t>
            </w: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89"/>
              </w:rPr>
              <w:t>Harris Teeter</w:t>
            </w:r>
          </w:p>
        </w:tc>
        <w:tc>
          <w:tcPr>
            <w:tcW w:w="188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Anthropologie / Nike / Bed, Bath &amp;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Kroger</w:t>
            </w: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Arial" w:cs="Arial" w:eastAsia="Arial" w:hAnsi="Arial"/>
                <w:sz w:val="13"/>
                <w:szCs w:val="13"/>
                <w:color w:val="auto"/>
              </w:rPr>
              <w:t>Bristol Plaza</w:t>
            </w:r>
          </w:p>
        </w:tc>
        <w:tc>
          <w:tcPr>
            <w:tcW w:w="480" w:type="dxa"/>
            <w:vAlign w:val="bottom"/>
          </w:tcPr>
          <w:p>
            <w:pPr>
              <w:spacing w:after="0"/>
              <w:rPr>
                <w:sz w:val="10"/>
                <w:szCs w:val="10"/>
                <w:color w:val="auto"/>
              </w:rPr>
            </w:pP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w w:val="91"/>
              </w:rPr>
              <w:t>Hartford-West Hartford-</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32,045</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264,000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82</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73</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14.49</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74,000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w w:val="93"/>
              </w:rPr>
              <w:t>Stop &amp; Shop</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3"/>
                <w:szCs w:val="13"/>
                <w:color w:val="auto"/>
              </w:rPr>
              <w:t>East Hartford, CT</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Gratiot Plaza</w:t>
            </w:r>
          </w:p>
        </w:tc>
        <w:tc>
          <w:tcPr>
            <w:tcW w:w="480" w:type="dxa"/>
            <w:vAlign w:val="bottom"/>
            <w:shd w:val="clear" w:color="auto" w:fill="CCEEFF"/>
          </w:tcPr>
          <w:p>
            <w:pPr>
              <w:spacing w:after="0"/>
              <w:rPr>
                <w:sz w:val="11"/>
                <w:szCs w:val="11"/>
                <w:color w:val="auto"/>
              </w:rPr>
            </w:pPr>
          </w:p>
        </w:tc>
        <w:tc>
          <w:tcPr>
            <w:tcW w:w="13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Detroit-Warren-</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20,089</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215,000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12.80</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69,000</w:t>
            </w:r>
          </w:p>
        </w:tc>
        <w:tc>
          <w:tcPr>
            <w:tcW w:w="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Kroger</w:t>
            </w: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Bed, Bath &amp; Beyond / Best Buy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Dearborn, MI</w:t>
            </w: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3"/>
                <w:szCs w:val="13"/>
                <w:color w:val="auto"/>
              </w:rPr>
              <w:t>Lancaster</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300" w:type="dxa"/>
            <w:vAlign w:val="bottom"/>
          </w:tcPr>
          <w:p>
            <w:pPr>
              <w:ind w:left="40"/>
              <w:spacing w:after="0"/>
              <w:rPr>
                <w:sz w:val="20"/>
                <w:szCs w:val="20"/>
                <w:color w:val="auto"/>
              </w:rPr>
            </w:pPr>
            <w:r>
              <w:rPr>
                <w:rFonts w:ascii="Arial" w:cs="Arial" w:eastAsia="Arial" w:hAnsi="Arial"/>
                <w:sz w:val="13"/>
                <w:szCs w:val="13"/>
                <w:color w:val="auto"/>
              </w:rPr>
              <w:t>Lancaster, PA</w:t>
            </w:r>
          </w:p>
        </w:tc>
        <w:tc>
          <w:tcPr>
            <w:tcW w:w="680" w:type="dxa"/>
            <w:vAlign w:val="bottom"/>
          </w:tcPr>
          <w:p>
            <w:pPr>
              <w:jc w:val="right"/>
              <w:spacing w:after="0"/>
              <w:rPr>
                <w:sz w:val="20"/>
                <w:szCs w:val="20"/>
                <w:color w:val="auto"/>
              </w:rPr>
            </w:pPr>
            <w:r>
              <w:rPr>
                <w:rFonts w:ascii="Arial" w:cs="Arial" w:eastAsia="Arial" w:hAnsi="Arial"/>
                <w:sz w:val="13"/>
                <w:szCs w:val="13"/>
                <w:color w:val="auto"/>
              </w:rPr>
              <w:t>12,961</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5,524</w:t>
            </w: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126,000</w:t>
            </w:r>
          </w:p>
        </w:tc>
        <w:tc>
          <w:tcPr>
            <w:tcW w:w="400" w:type="dxa"/>
            <w:vAlign w:val="bottom"/>
          </w:tcPr>
          <w:p>
            <w:pPr>
              <w:jc w:val="right"/>
              <w:spacing w:after="0"/>
              <w:rPr>
                <w:sz w:val="20"/>
                <w:szCs w:val="20"/>
                <w:color w:val="auto"/>
              </w:rPr>
            </w:pPr>
            <w:r>
              <w:rPr>
                <w:rFonts w:ascii="Arial" w:cs="Arial" w:eastAsia="Arial" w:hAnsi="Arial"/>
                <w:sz w:val="13"/>
                <w:szCs w:val="13"/>
                <w:color w:val="auto"/>
              </w:rPr>
              <w:t>81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720" w:type="dxa"/>
            <w:vAlign w:val="bottom"/>
          </w:tcPr>
          <w:p>
            <w:pPr>
              <w:ind w:left="20"/>
              <w:spacing w:after="0"/>
              <w:rPr>
                <w:sz w:val="20"/>
                <w:szCs w:val="20"/>
                <w:color w:val="auto"/>
              </w:rPr>
            </w:pPr>
            <w:r>
              <w:rPr>
                <w:rFonts w:ascii="Arial" w:cs="Arial" w:eastAsia="Arial" w:hAnsi="Arial"/>
                <w:sz w:val="13"/>
                <w:szCs w:val="13"/>
                <w:color w:val="auto"/>
              </w:rPr>
              <w:t>Giant Food</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29th Place</w:t>
            </w: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38,662</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3,625</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HomeGoods / DSW / Staples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gridSpan w:val="4"/>
          </w:tcPr>
          <w:p>
            <w:pPr>
              <w:spacing w:after="0" w:line="122" w:lineRule="exact"/>
              <w:rPr>
                <w:sz w:val="20"/>
                <w:szCs w:val="20"/>
                <w:color w:val="auto"/>
              </w:rPr>
            </w:pPr>
            <w:r>
              <w:rPr>
                <w:rFonts w:ascii="Arial" w:cs="Arial" w:eastAsia="Arial" w:hAnsi="Arial"/>
                <w:sz w:val="13"/>
                <w:szCs w:val="13"/>
                <w:color w:val="auto"/>
              </w:rPr>
              <w:t>Willow Lawn</w:t>
            </w:r>
          </w:p>
        </w:tc>
        <w:tc>
          <w:tcPr>
            <w:tcW w:w="480" w:type="dxa"/>
            <w:vAlign w:val="bottom"/>
          </w:tcPr>
          <w:p>
            <w:pPr>
              <w:spacing w:after="0"/>
              <w:rPr>
                <w:sz w:val="10"/>
                <w:szCs w:val="10"/>
                <w:color w:val="auto"/>
              </w:rPr>
            </w:pPr>
          </w:p>
        </w:tc>
        <w:tc>
          <w:tcPr>
            <w:tcW w:w="1300" w:type="dxa"/>
            <w:vAlign w:val="bottom"/>
          </w:tcPr>
          <w:p>
            <w:pPr>
              <w:ind w:left="40"/>
              <w:spacing w:after="0" w:line="122" w:lineRule="exact"/>
              <w:rPr>
                <w:sz w:val="20"/>
                <w:szCs w:val="20"/>
                <w:color w:val="auto"/>
              </w:rPr>
            </w:pPr>
            <w:r>
              <w:rPr>
                <w:rFonts w:ascii="Arial" w:cs="Arial" w:eastAsia="Arial" w:hAnsi="Arial"/>
                <w:sz w:val="13"/>
                <w:szCs w:val="13"/>
                <w:color w:val="auto"/>
              </w:rPr>
              <w:t>Richmond, VA</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104,774</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37</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464,000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95</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95</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20.49</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66,000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rPr>
              <w:t>Kroger</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w w:val="94"/>
              </w:rPr>
              <w:t>Old Navy / Ross Dress For Less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Gold's Gym / Dick's Sporting</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 Other</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278,127</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1,734,000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4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7"/>
              </w:rPr>
              <w:t>$ 8,654,729</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$561,709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1,904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23,378,000</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92 %</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90 % $ 29.86</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2,869</w:t>
            </w:r>
          </w:p>
        </w:tc>
        <w:tc>
          <w:tcPr>
            <w:tcW w:w="5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spacing w:after="0"/>
        <w:rPr>
          <w:sz w:val="20"/>
          <w:szCs w:val="20"/>
          <w:color w:val="auto"/>
        </w:rPr>
      </w:pPr>
      <w:r>
        <w:rPr>
          <w:rFonts w:ascii="Arial" w:cs="Arial" w:eastAsia="Arial" w:hAnsi="Arial"/>
          <w:sz w:val="13"/>
          <w:szCs w:val="13"/>
          <w:u w:val="single" w:color="auto"/>
          <w:color w:val="auto"/>
        </w:rPr>
        <w:t>Notes:</w:t>
      </w:r>
    </w:p>
    <w:p>
      <w:pPr>
        <w:spacing w:after="0" w:line="26" w:lineRule="exact"/>
        <w:rPr>
          <w:sz w:val="20"/>
          <w:szCs w:val="20"/>
          <w:color w:val="auto"/>
        </w:rPr>
      </w:pPr>
    </w:p>
    <w:p>
      <w:pPr>
        <w:ind w:left="300" w:hanging="182"/>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"Finance lease right of use assets."</w:t>
      </w:r>
    </w:p>
    <w:p>
      <w:pPr>
        <w:spacing w:after="0" w:line="26" w:lineRule="exact"/>
        <w:rPr>
          <w:rFonts w:ascii="Arial" w:cs="Arial" w:eastAsia="Arial" w:hAnsi="Arial"/>
          <w:sz w:val="13"/>
          <w:szCs w:val="13"/>
          <w:color w:val="auto"/>
        </w:rPr>
      </w:pPr>
    </w:p>
    <w:p>
      <w:pPr>
        <w:ind w:left="300" w:hanging="182"/>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mortgage or finance lease liabilities differ from the total reported on the consolidated balance sheet due to the unamortized discount, premium, and/or debt issuance costs on certain mortgages payable.</w:t>
      </w:r>
    </w:p>
    <w:p>
      <w:pPr>
        <w:spacing w:after="0" w:line="37" w:lineRule="exact"/>
        <w:rPr>
          <w:rFonts w:ascii="Arial" w:cs="Arial" w:eastAsia="Arial" w:hAnsi="Arial"/>
          <w:sz w:val="12"/>
          <w:szCs w:val="12"/>
          <w:color w:val="auto"/>
        </w:rPr>
      </w:pPr>
    </w:p>
    <w:p>
      <w:pPr>
        <w:ind w:left="300" w:right="40" w:hanging="182"/>
        <w:spacing w:after="0" w:line="226" w:lineRule="auto"/>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GLA and the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5" w:lineRule="exact"/>
        <w:rPr>
          <w:rFonts w:ascii="Arial" w:cs="Arial" w:eastAsia="Arial" w:hAnsi="Arial"/>
          <w:sz w:val="13"/>
          <w:szCs w:val="13"/>
          <w:color w:val="auto"/>
        </w:rPr>
      </w:pPr>
    </w:p>
    <w:p>
      <w:pPr>
        <w:ind w:left="300" w:hanging="182"/>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Calculated as the aggregate, annualized in-place contractual (defined as cash basis excluding rent abatements) minimum rent for all occupied spaces divided by the aggregate GLA of all occupied spaces.</w:t>
      </w:r>
    </w:p>
    <w:p>
      <w:pPr>
        <w:spacing w:after="0" w:line="37" w:lineRule="exact"/>
        <w:rPr>
          <w:rFonts w:ascii="Arial" w:cs="Arial" w:eastAsia="Arial" w:hAnsi="Arial"/>
          <w:sz w:val="12"/>
          <w:szCs w:val="12"/>
          <w:color w:val="auto"/>
        </w:rPr>
      </w:pPr>
    </w:p>
    <w:p>
      <w:pPr>
        <w:ind w:left="300" w:hanging="182"/>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26" w:lineRule="exact"/>
        <w:rPr>
          <w:rFonts w:ascii="Arial" w:cs="Arial" w:eastAsia="Arial" w:hAnsi="Arial"/>
          <w:sz w:val="13"/>
          <w:szCs w:val="13"/>
          <w:color w:val="auto"/>
        </w:rPr>
      </w:pPr>
    </w:p>
    <w:p>
      <w:pPr>
        <w:ind w:left="300" w:hanging="182"/>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All or a portion of the property is owned in a "downREIT" partnership, of which a wholly owned subsidiary of the Trust is the sole general partner, with third party partners holding operating partnership units.</w:t>
      </w:r>
    </w:p>
    <w:p>
      <w:pPr>
        <w:spacing w:after="0" w:line="37" w:lineRule="exact"/>
        <w:rPr>
          <w:rFonts w:ascii="Arial" w:cs="Arial" w:eastAsia="Arial" w:hAnsi="Arial"/>
          <w:sz w:val="12"/>
          <w:szCs w:val="12"/>
          <w:color w:val="auto"/>
        </w:rPr>
      </w:pPr>
    </w:p>
    <w:p>
      <w:pPr>
        <w:ind w:left="300" w:hanging="182"/>
        <w:spacing w:after="0"/>
        <w:tabs>
          <w:tab w:leader="none" w:pos="3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Portion of property is currently under development. See further discussion in the Assembly Row and Pike &amp; Rose schedules and Summary of Redevelopment Opportunities for Freedom Plaza.</w:t>
      </w:r>
    </w:p>
    <w:p>
      <w:pPr>
        <w:spacing w:after="0" w:line="37" w:lineRule="exact"/>
        <w:rPr>
          <w:rFonts w:ascii="Arial" w:cs="Arial" w:eastAsia="Arial" w:hAnsi="Arial"/>
          <w:sz w:val="12"/>
          <w:szCs w:val="12"/>
          <w:color w:val="auto"/>
        </w:rPr>
      </w:pPr>
    </w:p>
    <w:p>
      <w:pPr>
        <w:ind w:left="300" w:hanging="182"/>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All or a portion of the property is subject to finance lease liabilities.</w:t>
      </w:r>
    </w:p>
    <w:p>
      <w:pPr>
        <w:spacing w:after="0" w:line="26" w:lineRule="exact"/>
        <w:rPr>
          <w:rFonts w:ascii="Arial" w:cs="Arial" w:eastAsia="Arial" w:hAnsi="Arial"/>
          <w:sz w:val="13"/>
          <w:szCs w:val="13"/>
          <w:color w:val="auto"/>
        </w:rPr>
      </w:pPr>
    </w:p>
    <w:p>
      <w:pPr>
        <w:ind w:left="300" w:hanging="182"/>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This property includes interests in five buildings in addition to our initial acquisition.</w:t>
      </w:r>
    </w:p>
    <w:p>
      <w:pPr>
        <w:spacing w:after="0" w:line="26" w:lineRule="exact"/>
        <w:rPr>
          <w:rFonts w:ascii="Arial" w:cs="Arial" w:eastAsia="Arial" w:hAnsi="Arial"/>
          <w:sz w:val="13"/>
          <w:szCs w:val="13"/>
          <w:color w:val="auto"/>
        </w:rPr>
      </w:pPr>
    </w:p>
    <w:p>
      <w:pPr>
        <w:ind w:left="300" w:hanging="245"/>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747"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Straight-lined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0"/>
                <w:szCs w:val="10"/>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6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(4) Per Sq.</w:t>
            </w:r>
          </w:p>
        </w:tc>
        <w:tc>
          <w:tcPr>
            <w:tcW w:w="960" w:type="dxa"/>
            <w:vAlign w:val="bottom"/>
            <w:gridSpan w:val="3"/>
            <w:vMerge w:val="continue"/>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10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449,783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93,635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12,945,573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2020</w:t>
            </w:r>
          </w:p>
        </w:tc>
        <w:tc>
          <w:tcPr>
            <w:tcW w:w="58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471,726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37.38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37.74</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(169,801)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16,274,556</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34.50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277,681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805,618</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8,590,153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466,453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26.78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559,471</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14,633,657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31.37</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1,665,643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9"/>
              </w:rPr>
              <w:t>1,288,923</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52,443,939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31.49</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rPr>
              <w:t>New Lease Summary - Comparable (2)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Straight-lined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1"/>
                <w:szCs w:val="11"/>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6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(4) Per Sq.</w:t>
            </w:r>
          </w:p>
        </w:tc>
        <w:tc>
          <w:tcPr>
            <w:tcW w:w="960" w:type="dxa"/>
            <w:vAlign w:val="bottom"/>
            <w:gridSpan w:val="3"/>
            <w:vMerge w:val="continue"/>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10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156,262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(253,720)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12,731,293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2020</w:t>
            </w: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164,712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36.23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36.84</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(100,451)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15,427,773</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93.67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122,726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789,852</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8,483,168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69.12</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38 %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151,171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32.72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345,686</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13,395,793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88.61</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594,871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781,367</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50,038,027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84.12</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Straight-lined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1"/>
                <w:szCs w:val="11"/>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6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(4) Per Sq.</w:t>
            </w:r>
          </w:p>
        </w:tc>
        <w:tc>
          <w:tcPr>
            <w:tcW w:w="960" w:type="dxa"/>
            <w:vAlign w:val="bottom"/>
            <w:gridSpan w:val="3"/>
            <w:vMerge w:val="continue"/>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10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293,521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347,355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2020</w:t>
            </w:r>
          </w:p>
        </w:tc>
        <w:tc>
          <w:tcPr>
            <w:tcW w:w="5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307,014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38.00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(69,350)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846,783</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154,955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15,766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62 %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315,282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23.93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213,785</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1,237,864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1,070,772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507,556</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2,405,912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5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1"/>
                <w:szCs w:val="11"/>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0"/>
              </w:rPr>
              <w:t>Contractual Rent</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0"/>
              </w:rPr>
              <w:t>Leases</w:t>
            </w:r>
          </w:p>
        </w:tc>
        <w:tc>
          <w:tcPr>
            <w:tcW w:w="160" w:type="dxa"/>
            <w:vAlign w:val="bottom"/>
          </w:tcPr>
          <w:p>
            <w:pPr>
              <w:spacing w:after="0"/>
              <w:rPr>
                <w:sz w:val="9"/>
                <w:szCs w:val="9"/>
                <w:color w:val="auto"/>
              </w:rPr>
            </w:pPr>
          </w:p>
        </w:tc>
        <w:tc>
          <w:tcPr>
            <w:tcW w:w="1720" w:type="dxa"/>
            <w:vAlign w:val="bottom"/>
            <w:gridSpan w:val="4"/>
            <w:vMerge w:val="restart"/>
          </w:tcPr>
          <w:p>
            <w:pPr>
              <w:ind w:left="440"/>
              <w:spacing w:after="0"/>
              <w:rPr>
                <w:sz w:val="20"/>
                <w:szCs w:val="20"/>
                <w:color w:val="auto"/>
              </w:rPr>
            </w:pPr>
            <w:r>
              <w:rPr>
                <w:rFonts w:ascii="Arial" w:cs="Arial" w:eastAsia="Arial" w:hAnsi="Arial"/>
                <w:sz w:val="11"/>
                <w:szCs w:val="11"/>
                <w:b w:val="1"/>
                <w:bCs w:val="1"/>
                <w:color w:val="auto"/>
              </w:rPr>
              <w:t>GLA Signed</w:t>
            </w:r>
          </w:p>
        </w:tc>
        <w:tc>
          <w:tcPr>
            <w:tcW w:w="1020" w:type="dxa"/>
            <w:vAlign w:val="bottom"/>
            <w:gridSpan w:val="3"/>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Signed</w:t>
            </w:r>
          </w:p>
        </w:tc>
        <w:tc>
          <w:tcPr>
            <w:tcW w:w="16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(3) Per Sq. Ft.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2020</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468,901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13,430,989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color w:val="auto"/>
              </w:rPr>
              <w:t>481,105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37.66</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16,304,772</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33.89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2020</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314,679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26.16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9,314,002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2020</w:t>
            </w: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491,003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27.46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17,337,865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w w:val="99"/>
              </w:rPr>
              <w:t>1,755,688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31.41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56,387,628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32.12</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28" w:lineRule="exact"/>
        <w:rPr>
          <w:sz w:val="20"/>
          <w:szCs w:val="20"/>
          <w:color w:val="auto"/>
        </w:rPr>
      </w:pPr>
    </w:p>
    <w:p>
      <w:pPr>
        <w:ind w:left="800" w:hanging="761"/>
        <w:spacing w:after="0"/>
        <w:tabs>
          <w:tab w:leader="none" w:pos="8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 See Glossary of Terms for further discussion of information included above.</w:t>
      </w:r>
    </w:p>
    <w:p>
      <w:pPr>
        <w:spacing w:after="0" w:line="39" w:lineRule="exact"/>
        <w:rPr>
          <w:rFonts w:ascii="Arial" w:cs="Arial" w:eastAsia="Arial" w:hAnsi="Arial"/>
          <w:sz w:val="13"/>
          <w:szCs w:val="13"/>
          <w:color w:val="auto"/>
        </w:rPr>
      </w:pPr>
    </w:p>
    <w:p>
      <w:pPr>
        <w:ind w:left="800" w:hanging="76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Weighted average is determined on the basis of contractual rent for the first 12 months of the term.</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28" w:lineRule="exact"/>
        <w:rPr>
          <w:rFonts w:ascii="Arial" w:cs="Arial" w:eastAsia="Arial" w:hAnsi="Arial"/>
          <w:sz w:val="14"/>
          <w:szCs w:val="14"/>
          <w:color w:val="auto"/>
        </w:rPr>
      </w:pPr>
    </w:p>
    <w:p>
      <w:pPr>
        <w:ind w:left="800" w:right="180" w:hanging="761"/>
        <w:spacing w:after="0" w:line="224"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Approximately $0.1 million ($0.03 per square foot) in 4th Quarter 2020, $0.5 million ($0.90 per square foot) in 3rd Quarter 2020 and $2.8 million ($5.37 per square foot) in 1st Quarter 2020, of the Tenant Improvements &amp; Incentives are for properties under active redevelopment and are included in the Projected Cost for those properties on the Summary of Redevelopment Opportunities.</w:t>
      </w:r>
    </w:p>
    <w:p>
      <w:pPr>
        <w:spacing w:after="0" w:line="8" w:lineRule="exact"/>
        <w:rPr>
          <w:rFonts w:ascii="Arial" w:cs="Arial" w:eastAsia="Arial" w:hAnsi="Arial"/>
          <w:sz w:val="14"/>
          <w:szCs w:val="14"/>
          <w:color w:val="auto"/>
        </w:rPr>
      </w:pPr>
    </w:p>
    <w:p>
      <w:pPr>
        <w:ind w:left="800" w:hanging="761"/>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28" w:lineRule="exact"/>
        <w:rPr>
          <w:rFonts w:ascii="Arial" w:cs="Arial" w:eastAsia="Arial" w:hAnsi="Arial"/>
          <w:sz w:val="14"/>
          <w:szCs w:val="14"/>
          <w:color w:val="auto"/>
        </w:rPr>
      </w:pPr>
    </w:p>
    <w:p>
      <w:pPr>
        <w:ind w:left="800" w:right="120" w:hanging="761"/>
        <w:spacing w:after="0" w:line="218"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7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26828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788,000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1,490,000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1,905,000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13%$</w:t>
            </w:r>
          </w:p>
        </w:tc>
        <w:tc>
          <w:tcPr>
            <w:tcW w:w="900" w:type="dxa"/>
            <w:vAlign w:val="bottom"/>
          </w:tcPr>
          <w:p>
            <w:pPr>
              <w:jc w:val="right"/>
              <w:spacing w:after="0"/>
              <w:rPr>
                <w:sz w:val="20"/>
                <w:szCs w:val="20"/>
                <w:color w:val="auto"/>
              </w:rPr>
            </w:pPr>
            <w:r>
              <w:rPr>
                <w:rFonts w:ascii="Arial" w:cs="Arial" w:eastAsia="Arial" w:hAnsi="Arial"/>
                <w:sz w:val="16"/>
                <w:szCs w:val="16"/>
                <w:color w:val="auto"/>
              </w:rPr>
              <w:t>17.17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880,000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45.09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2,785,000</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20" w:type="dxa"/>
            <w:vAlign w:val="bottom"/>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2,288,000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2,377,000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16%$</w:t>
            </w:r>
          </w:p>
        </w:tc>
        <w:tc>
          <w:tcPr>
            <w:tcW w:w="900" w:type="dxa"/>
            <w:vAlign w:val="bottom"/>
          </w:tcPr>
          <w:p>
            <w:pPr>
              <w:jc w:val="right"/>
              <w:spacing w:after="0"/>
              <w:rPr>
                <w:sz w:val="20"/>
                <w:szCs w:val="20"/>
                <w:color w:val="auto"/>
              </w:rPr>
            </w:pPr>
            <w:r>
              <w:rPr>
                <w:rFonts w:ascii="Arial" w:cs="Arial" w:eastAsia="Arial" w:hAnsi="Arial"/>
                <w:sz w:val="16"/>
                <w:szCs w:val="16"/>
                <w:color w:val="auto"/>
              </w:rPr>
              <w:t>18.11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903,000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46.34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3,280,000</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20" w:type="dxa"/>
            <w:vAlign w:val="bottom"/>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2,465,000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1,116,000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8 % $</w:t>
            </w:r>
          </w:p>
        </w:tc>
        <w:tc>
          <w:tcPr>
            <w:tcW w:w="900" w:type="dxa"/>
            <w:vAlign w:val="bottom"/>
          </w:tcPr>
          <w:p>
            <w:pPr>
              <w:jc w:val="right"/>
              <w:spacing w:after="0"/>
              <w:rPr>
                <w:sz w:val="20"/>
                <w:szCs w:val="20"/>
                <w:color w:val="auto"/>
              </w:rPr>
            </w:pPr>
            <w:r>
              <w:rPr>
                <w:rFonts w:ascii="Arial" w:cs="Arial" w:eastAsia="Arial" w:hAnsi="Arial"/>
                <w:sz w:val="16"/>
                <w:szCs w:val="16"/>
                <w:color w:val="auto"/>
              </w:rPr>
              <w:t>21.10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544,000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tcPr>
          <w:p>
            <w:pPr>
              <w:jc w:val="right"/>
              <w:spacing w:after="0"/>
              <w:rPr>
                <w:sz w:val="20"/>
                <w:szCs w:val="20"/>
                <w:color w:val="auto"/>
              </w:rPr>
            </w:pPr>
            <w:r>
              <w:rPr>
                <w:rFonts w:ascii="Arial" w:cs="Arial" w:eastAsia="Arial" w:hAnsi="Arial"/>
                <w:sz w:val="16"/>
                <w:szCs w:val="16"/>
                <w:color w:val="auto"/>
              </w:rPr>
              <w:t>49.65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1,659,000</w:t>
            </w:r>
          </w:p>
        </w:tc>
        <w:tc>
          <w:tcPr>
            <w:tcW w:w="920" w:type="dxa"/>
            <w:vAlign w:val="bottom"/>
          </w:tcPr>
          <w:p>
            <w:pPr>
              <w:jc w:val="right"/>
              <w:spacing w:after="0"/>
              <w:rPr>
                <w:sz w:val="20"/>
                <w:szCs w:val="20"/>
                <w:color w:val="auto"/>
              </w:rPr>
            </w:pPr>
            <w:r>
              <w:rPr>
                <w:rFonts w:ascii="Arial" w:cs="Arial" w:eastAsia="Arial" w:hAnsi="Arial"/>
                <w:sz w:val="16"/>
                <w:szCs w:val="16"/>
                <w:color w:val="auto"/>
              </w:rPr>
              <w:t>8 % $</w:t>
            </w:r>
          </w:p>
        </w:tc>
        <w:tc>
          <w:tcPr>
            <w:tcW w:w="1020" w:type="dxa"/>
            <w:vAlign w:val="bottom"/>
          </w:tcPr>
          <w:p>
            <w:pPr>
              <w:jc w:val="right"/>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1,457,000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878,000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Pr>
          <w:p>
            <w:pPr>
              <w:jc w:val="right"/>
              <w:spacing w:after="0"/>
              <w:rPr>
                <w:sz w:val="20"/>
                <w:szCs w:val="20"/>
                <w:color w:val="auto"/>
              </w:rPr>
            </w:pPr>
            <w:r>
              <w:rPr>
                <w:rFonts w:ascii="Arial" w:cs="Arial" w:eastAsia="Arial" w:hAnsi="Arial"/>
                <w:sz w:val="16"/>
                <w:szCs w:val="16"/>
                <w:color w:val="auto"/>
              </w:rPr>
              <w:t>20.85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52.04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1,281,000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383,000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1,334,000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930,000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Pr>
          <w:p>
            <w:pPr>
              <w:jc w:val="right"/>
              <w:spacing w:after="0"/>
              <w:rPr>
                <w:sz w:val="20"/>
                <w:szCs w:val="20"/>
                <w:color w:val="auto"/>
              </w:rPr>
            </w:pPr>
            <w:r>
              <w:rPr>
                <w:rFonts w:ascii="Arial" w:cs="Arial" w:eastAsia="Arial" w:hAnsi="Arial"/>
                <w:sz w:val="16"/>
                <w:szCs w:val="16"/>
                <w:color w:val="auto"/>
              </w:rPr>
              <w:t>28.84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Pr>
          <w:p>
            <w:pPr>
              <w:jc w:val="right"/>
              <w:spacing w:after="0"/>
              <w:rPr>
                <w:sz w:val="20"/>
                <w:szCs w:val="20"/>
                <w:color w:val="auto"/>
              </w:rPr>
            </w:pPr>
            <w:r>
              <w:rPr>
                <w:rFonts w:ascii="Arial" w:cs="Arial" w:eastAsia="Arial" w:hAnsi="Arial"/>
                <w:sz w:val="16"/>
                <w:szCs w:val="16"/>
                <w:color w:val="auto"/>
              </w:rPr>
              <w:t>51.30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1,193,000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219,000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1,857,000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6,610,000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21,089,000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Assumes all lease options are exercised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tcPr>
          <w:p>
            <w:pPr>
              <w:spacing w:after="0"/>
              <w:rPr>
                <w:sz w:val="22"/>
                <w:szCs w:val="22"/>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699,000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41.15</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1,105,000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294,000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17.62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569,000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tcPr>
          <w:p>
            <w:pPr>
              <w:jc w:val="right"/>
              <w:spacing w:after="0"/>
              <w:rPr>
                <w:sz w:val="20"/>
                <w:szCs w:val="20"/>
                <w:color w:val="auto"/>
              </w:rPr>
            </w:pPr>
            <w:r>
              <w:rPr>
                <w:rFonts w:ascii="Arial" w:cs="Arial" w:eastAsia="Arial" w:hAnsi="Arial"/>
                <w:sz w:val="16"/>
                <w:szCs w:val="16"/>
                <w:color w:val="auto"/>
              </w:rPr>
              <w:t>44.65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863,000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519,000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21.15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473,000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tcPr>
          <w:p>
            <w:pPr>
              <w:jc w:val="right"/>
              <w:spacing w:after="0"/>
              <w:rPr>
                <w:sz w:val="20"/>
                <w:szCs w:val="20"/>
                <w:color w:val="auto"/>
              </w:rPr>
            </w:pPr>
            <w:r>
              <w:rPr>
                <w:rFonts w:ascii="Arial" w:cs="Arial" w:eastAsia="Arial" w:hAnsi="Arial"/>
                <w:sz w:val="16"/>
                <w:szCs w:val="16"/>
                <w:color w:val="auto"/>
              </w:rPr>
              <w:t>45.34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992,000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779,000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339,000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21.99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286,000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Pr>
          <w:p>
            <w:pPr>
              <w:jc w:val="right"/>
              <w:spacing w:after="0"/>
              <w:rPr>
                <w:sz w:val="20"/>
                <w:szCs w:val="20"/>
                <w:color w:val="auto"/>
              </w:rPr>
            </w:pPr>
            <w:r>
              <w:rPr>
                <w:rFonts w:ascii="Arial" w:cs="Arial" w:eastAsia="Arial" w:hAnsi="Arial"/>
                <w:sz w:val="16"/>
                <w:szCs w:val="16"/>
                <w:color w:val="auto"/>
              </w:rPr>
              <w:t>50.87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624,000</w:t>
            </w:r>
          </w:p>
        </w:tc>
        <w:tc>
          <w:tcPr>
            <w:tcW w:w="920" w:type="dxa"/>
            <w:vAlign w:val="bottom"/>
          </w:tcPr>
          <w:p>
            <w:pPr>
              <w:jc w:val="right"/>
              <w:spacing w:after="0"/>
              <w:rPr>
                <w:sz w:val="20"/>
                <w:szCs w:val="20"/>
                <w:color w:val="auto"/>
              </w:rPr>
            </w:pPr>
            <w:r>
              <w:rPr>
                <w:rFonts w:ascii="Arial" w:cs="Arial" w:eastAsia="Arial" w:hAnsi="Arial"/>
                <w:sz w:val="16"/>
                <w:szCs w:val="16"/>
                <w:color w:val="auto"/>
              </w:rPr>
              <w:t>3 % $</w:t>
            </w:r>
          </w:p>
        </w:tc>
        <w:tc>
          <w:tcPr>
            <w:tcW w:w="1020" w:type="dxa"/>
            <w:vAlign w:val="bottom"/>
          </w:tcPr>
          <w:p>
            <w:pPr>
              <w:jc w:val="right"/>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1,167,000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641,000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17.66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47.36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1,031,000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28.90</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373,000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524,000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20.96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364,000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44.57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888,000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9,514,000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66%$</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1,976,000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11,490,000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6,610,000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21,089,000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1000" w:hanging="994"/>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32" w:lineRule="exact"/>
        <w:rPr>
          <w:rFonts w:ascii="Arial" w:cs="Arial" w:eastAsia="Arial" w:hAnsi="Arial"/>
          <w:sz w:val="16"/>
          <w:szCs w:val="16"/>
          <w:color w:val="auto"/>
        </w:rPr>
      </w:pPr>
    </w:p>
    <w:p>
      <w:pPr>
        <w:ind w:left="1000" w:right="300" w:hanging="994"/>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rents billed on a cash basis without taking the impacts of rent abatements into account) rent as of December 31, 2020.</w:t>
      </w:r>
    </w:p>
    <w:p>
      <w:pPr>
        <w:spacing w:after="0" w:line="10" w:lineRule="exact"/>
        <w:rPr>
          <w:rFonts w:ascii="Arial" w:cs="Arial" w:eastAsia="Arial" w:hAnsi="Arial"/>
          <w:sz w:val="16"/>
          <w:szCs w:val="16"/>
          <w:color w:val="auto"/>
        </w:rPr>
      </w:pPr>
    </w:p>
    <w:p>
      <w:pPr>
        <w:ind w:left="1000" w:hanging="994"/>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December 31, 2020.</w:t>
      </w:r>
    </w:p>
    <w:p>
      <w:pPr>
        <w:spacing w:after="0" w:line="32" w:lineRule="exact"/>
        <w:rPr>
          <w:rFonts w:ascii="Arial" w:cs="Arial" w:eastAsia="Arial" w:hAnsi="Arial"/>
          <w:sz w:val="16"/>
          <w:szCs w:val="16"/>
          <w:color w:val="auto"/>
        </w:rPr>
      </w:pPr>
    </w:p>
    <w:p>
      <w:pPr>
        <w:ind w:left="1000" w:hanging="994"/>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60" w:top="102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4"/>
          </w:tcPr>
          <w:p>
            <w:pPr>
              <w:spacing w:after="0"/>
              <w:rPr>
                <w:sz w:val="20"/>
                <w:szCs w:val="20"/>
                <w:color w:val="auto"/>
              </w:rPr>
            </w:pPr>
            <w:r>
              <w:rPr>
                <w:rFonts w:ascii="Arial" w:cs="Arial" w:eastAsia="Arial" w:hAnsi="Arial"/>
                <w:sz w:val="16"/>
                <w:szCs w:val="16"/>
                <w:b w:val="1"/>
                <w:bCs w:val="1"/>
                <w:color w:val="auto"/>
              </w:rPr>
              <w:t>Overall Portfolio Statistics (1)</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4320" w:type="dxa"/>
            <w:vAlign w:val="bottom"/>
            <w:gridSpan w:val="4"/>
          </w:tcPr>
          <w:p>
            <w:pPr>
              <w:spacing w:after="0"/>
              <w:rPr>
                <w:sz w:val="20"/>
                <w:szCs w:val="20"/>
                <w:color w:val="auto"/>
              </w:rPr>
            </w:pPr>
            <w:r>
              <w:rPr>
                <w:rFonts w:ascii="Arial" w:cs="Arial" w:eastAsia="Arial" w:hAnsi="Arial"/>
                <w:sz w:val="16"/>
                <w:szCs w:val="16"/>
                <w:color w:val="auto"/>
              </w:rPr>
              <w:t>Type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6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2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Leased %</w:t>
            </w:r>
          </w:p>
        </w:tc>
        <w:tc>
          <w:tcPr>
            <w:tcW w:w="1080" w:type="dxa"/>
            <w:vAlign w:val="bottom"/>
            <w:gridSpan w:val="3"/>
          </w:tcPr>
          <w:p>
            <w:pPr>
              <w:ind w:left="780"/>
              <w:spacing w:after="0"/>
              <w:rPr>
                <w:sz w:val="20"/>
                <w:szCs w:val="20"/>
                <w:color w:val="auto"/>
              </w:rPr>
            </w:pPr>
            <w:r>
              <w:rPr>
                <w:rFonts w:ascii="Arial" w:cs="Arial" w:eastAsia="Arial" w:hAnsi="Arial"/>
                <w:sz w:val="16"/>
                <w:szCs w:val="16"/>
                <w:color w:val="auto"/>
                <w:w w:val="89"/>
              </w:rPr>
              <w:t>Size</w:t>
            </w:r>
          </w:p>
        </w:tc>
        <w:tc>
          <w:tcPr>
            <w:tcW w:w="6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7"/>
        </w:trPr>
        <w:tc>
          <w:tcPr>
            <w:tcW w:w="32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(4) (sf)</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23,378,000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21,562,000</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92.2 %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23,676,000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22,299,000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94.2 %</w:t>
            </w:r>
          </w:p>
        </w:tc>
      </w:tr>
      <w:tr>
        <w:trPr>
          <w:trHeight w:val="216"/>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(units) (5)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94.8 %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95.8 %</w:t>
            </w:r>
          </w:p>
        </w:tc>
      </w:tr>
      <w:tr>
        <w:trPr>
          <w:trHeight w:val="648"/>
        </w:trPr>
        <w:tc>
          <w:tcPr>
            <w:tcW w:w="4320" w:type="dxa"/>
            <w:vAlign w:val="bottom"/>
            <w:gridSpan w:val="4"/>
          </w:tcPr>
          <w:p>
            <w:pPr>
              <w:spacing w:after="0"/>
              <w:rPr>
                <w:sz w:val="20"/>
                <w:szCs w:val="20"/>
                <w:color w:val="auto"/>
              </w:rPr>
            </w:pPr>
            <w:r>
              <w:rPr>
                <w:rFonts w:ascii="Arial" w:cs="Arial" w:eastAsia="Arial" w:hAnsi="Arial"/>
                <w:sz w:val="16"/>
                <w:szCs w:val="16"/>
                <w:b w:val="1"/>
                <w:bCs w:val="1"/>
                <w:color w:val="auto"/>
              </w:rPr>
              <w:t>Comparable Property Statistics (1)</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4320" w:type="dxa"/>
            <w:vAlign w:val="bottom"/>
            <w:gridSpan w:val="4"/>
          </w:tcPr>
          <w:p>
            <w:pPr>
              <w:spacing w:after="0"/>
              <w:rPr>
                <w:sz w:val="20"/>
                <w:szCs w:val="20"/>
                <w:color w:val="auto"/>
              </w:rPr>
            </w:pPr>
            <w:r>
              <w:rPr>
                <w:rFonts w:ascii="Arial" w:cs="Arial" w:eastAsia="Arial" w:hAnsi="Arial"/>
                <w:sz w:val="16"/>
                <w:szCs w:val="16"/>
                <w:color w:val="auto"/>
              </w:rPr>
              <w:t>Type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6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2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Leased %</w:t>
            </w:r>
          </w:p>
        </w:tc>
        <w:tc>
          <w:tcPr>
            <w:tcW w:w="1080" w:type="dxa"/>
            <w:vAlign w:val="bottom"/>
            <w:gridSpan w:val="3"/>
          </w:tcPr>
          <w:p>
            <w:pPr>
              <w:ind w:left="780"/>
              <w:spacing w:after="0"/>
              <w:rPr>
                <w:sz w:val="20"/>
                <w:szCs w:val="20"/>
                <w:color w:val="auto"/>
              </w:rPr>
            </w:pPr>
            <w:r>
              <w:rPr>
                <w:rFonts w:ascii="Arial" w:cs="Arial" w:eastAsia="Arial" w:hAnsi="Arial"/>
                <w:sz w:val="16"/>
                <w:szCs w:val="16"/>
                <w:color w:val="auto"/>
                <w:w w:val="89"/>
              </w:rPr>
              <w:t>Size</w:t>
            </w:r>
          </w:p>
        </w:tc>
        <w:tc>
          <w:tcPr>
            <w:tcW w:w="6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6"/>
        </w:trPr>
        <w:tc>
          <w:tcPr>
            <w:tcW w:w="32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(4) (sf)</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22,118,000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20,373,000</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92.1 %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22,151,000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21,058,000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95.1 %</w:t>
            </w:r>
          </w:p>
        </w:tc>
      </w:tr>
      <w:tr>
        <w:trPr>
          <w:trHeight w:val="216"/>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(5) (units)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95.1 %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2,651</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95.7 %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60" w:hanging="65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60" w:hanging="65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32" w:lineRule="exact"/>
        <w:rPr>
          <w:rFonts w:ascii="Arial" w:cs="Arial" w:eastAsia="Arial" w:hAnsi="Arial"/>
          <w:sz w:val="16"/>
          <w:szCs w:val="16"/>
          <w:color w:val="auto"/>
        </w:rPr>
      </w:pPr>
    </w:p>
    <w:p>
      <w:pPr>
        <w:ind w:left="660" w:hanging="65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December 31, 2020, the leased percentage was 96.2% for anchor tenants and 84.6% for small shop tenants.</w:t>
      </w:r>
    </w:p>
    <w:p>
      <w:pPr>
        <w:spacing w:after="0" w:line="32" w:lineRule="exact"/>
        <w:rPr>
          <w:rFonts w:ascii="Arial" w:cs="Arial" w:eastAsia="Arial" w:hAnsi="Arial"/>
          <w:sz w:val="16"/>
          <w:szCs w:val="16"/>
          <w:color w:val="auto"/>
        </w:rPr>
      </w:pPr>
    </w:p>
    <w:p>
      <w:pPr>
        <w:ind w:left="660" w:right="160" w:hanging="654"/>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Occupied percentage was 90.2% and 92.5% at December 31, 2020 and 2019, respectively, and comparable property occupied percentage was 90.1% and 93.4% at December 31, 2020 and 2019, respectively.</w:t>
      </w:r>
    </w:p>
    <w:p>
      <w:pPr>
        <w:spacing w:after="0" w:line="10" w:lineRule="exact"/>
        <w:rPr>
          <w:rFonts w:ascii="Arial" w:cs="Arial" w:eastAsia="Arial" w:hAnsi="Arial"/>
          <w:sz w:val="16"/>
          <w:szCs w:val="16"/>
          <w:color w:val="auto"/>
        </w:rPr>
      </w:pPr>
    </w:p>
    <w:p>
      <w:pPr>
        <w:ind w:left="660" w:right="160" w:hanging="654"/>
        <w:spacing w:after="0" w:line="272"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residential metrics exclude "The Delwyn," our 87 unit residential building that opened at Bala Cynwyd in late 2020, and is currently in the process of being leased-up for the first time. If these units were included, our total residential units would be 2,869 and our percentage leased would be 92.6%.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60" w:top="1026" w:right="35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vMerge w:val="restart"/>
          </w:tcPr>
          <w:p>
            <w:pPr>
              <w:jc w:val="center"/>
              <w:ind w:left="80"/>
              <w:spacing w:after="0"/>
              <w:rPr>
                <w:sz w:val="20"/>
                <w:szCs w:val="20"/>
                <w:color w:val="auto"/>
              </w:rPr>
            </w:pPr>
            <w:r>
              <w:rPr>
                <w:rFonts w:ascii="Arial" w:cs="Arial" w:eastAsia="Arial" w:hAnsi="Arial"/>
                <w:sz w:val="14"/>
                <w:szCs w:val="14"/>
                <w:b w:val="1"/>
                <w:bCs w:val="1"/>
                <w:color w:val="auto"/>
                <w:w w:val="94"/>
              </w:rPr>
              <w:t>Credit Ratings</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80" w:type="dxa"/>
            <w:vAlign w:val="bottom"/>
          </w:tcPr>
          <w:p>
            <w:pPr>
              <w:jc w:val="right"/>
              <w:ind w:right="4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Percentage of</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2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Tenant Name</w:t>
            </w:r>
          </w:p>
        </w:tc>
        <w:tc>
          <w:tcPr>
            <w:tcW w:w="2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58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w w:val="97"/>
              </w:rPr>
              <w:t>Annualized Base Rent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GLA</w:t>
            </w:r>
          </w:p>
        </w:tc>
        <w:tc>
          <w:tcPr>
            <w:tcW w:w="1160" w:type="dxa"/>
            <w:vAlign w:val="bottom"/>
            <w:vMerge w:val="continue"/>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88"/>
        </w:trPr>
        <w:tc>
          <w:tcPr>
            <w:tcW w:w="56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97"/>
              </w:rPr>
              <w:t>(S&amp;P/Moody's/Fitch) (1)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 GLA (3)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Splunk, Inc.</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rPr>
              <w:t>NR/NR/NR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25,818,000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960" w:type="dxa"/>
            <w:vAlign w:val="bottom"/>
          </w:tcPr>
          <w:p>
            <w:pPr>
              <w:ind w:left="80"/>
              <w:spacing w:after="0"/>
              <w:rPr>
                <w:sz w:val="20"/>
                <w:szCs w:val="20"/>
                <w:color w:val="auto"/>
              </w:rPr>
            </w:pPr>
            <w:r>
              <w:rPr>
                <w:rFonts w:ascii="Arial" w:cs="Arial" w:eastAsia="Arial" w:hAnsi="Arial"/>
                <w:sz w:val="16"/>
                <w:szCs w:val="16"/>
                <w:color w:val="auto"/>
              </w:rPr>
              <w:t>TJX Companies, The</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rPr>
              <w:t>A/A2/NR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19,002,000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2.68 %</w:t>
            </w:r>
          </w:p>
        </w:tc>
        <w:tc>
          <w:tcPr>
            <w:tcW w:w="920" w:type="dxa"/>
            <w:vAlign w:val="bottom"/>
          </w:tcPr>
          <w:p>
            <w:pPr>
              <w:jc w:val="right"/>
              <w:spacing w:after="0"/>
              <w:rPr>
                <w:sz w:val="20"/>
                <w:szCs w:val="20"/>
                <w:color w:val="auto"/>
              </w:rPr>
            </w:pPr>
            <w:r>
              <w:rPr>
                <w:rFonts w:ascii="Arial" w:cs="Arial" w:eastAsia="Arial" w:hAnsi="Arial"/>
                <w:sz w:val="16"/>
                <w:szCs w:val="16"/>
                <w:color w:val="auto"/>
              </w:rPr>
              <w:t>963,000</w:t>
            </w:r>
          </w:p>
        </w:tc>
        <w:tc>
          <w:tcPr>
            <w:tcW w:w="1160" w:type="dxa"/>
            <w:vAlign w:val="bottom"/>
          </w:tcPr>
          <w:p>
            <w:pPr>
              <w:jc w:val="right"/>
              <w:spacing w:after="0"/>
              <w:rPr>
                <w:sz w:val="20"/>
                <w:szCs w:val="20"/>
                <w:color w:val="auto"/>
              </w:rPr>
            </w:pPr>
            <w:r>
              <w:rPr>
                <w:rFonts w:ascii="Arial" w:cs="Arial" w:eastAsia="Arial" w:hAnsi="Arial"/>
                <w:sz w:val="16"/>
                <w:szCs w:val="16"/>
                <w:color w:val="auto"/>
              </w:rPr>
              <w:t>3.69 %</w:t>
            </w: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Ahold Delhaize</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6"/>
              </w:rPr>
              <w:t>BBB / Baa1 / BBB+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15,166,000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960" w:type="dxa"/>
            <w:vAlign w:val="bottom"/>
          </w:tcPr>
          <w:p>
            <w:pPr>
              <w:ind w:left="80"/>
              <w:spacing w:after="0"/>
              <w:rPr>
                <w:sz w:val="20"/>
                <w:szCs w:val="20"/>
                <w:color w:val="auto"/>
              </w:rPr>
            </w:pPr>
            <w:r>
              <w:rPr>
                <w:rFonts w:ascii="Arial" w:cs="Arial" w:eastAsia="Arial" w:hAnsi="Arial"/>
                <w:sz w:val="16"/>
                <w:szCs w:val="16"/>
                <w:color w:val="auto"/>
              </w:rPr>
              <w:t>Gap, Inc., The</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w w:val="95"/>
              </w:rPr>
              <w:t>BB- / Ba2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11,626,000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1.64 %</w:t>
            </w:r>
          </w:p>
        </w:tc>
        <w:tc>
          <w:tcPr>
            <w:tcW w:w="920" w:type="dxa"/>
            <w:vAlign w:val="bottom"/>
          </w:tcPr>
          <w:p>
            <w:pPr>
              <w:jc w:val="right"/>
              <w:spacing w:after="0"/>
              <w:rPr>
                <w:sz w:val="20"/>
                <w:szCs w:val="20"/>
                <w:color w:val="auto"/>
              </w:rPr>
            </w:pPr>
            <w:r>
              <w:rPr>
                <w:rFonts w:ascii="Arial" w:cs="Arial" w:eastAsia="Arial" w:hAnsi="Arial"/>
                <w:sz w:val="16"/>
                <w:szCs w:val="16"/>
                <w:color w:val="auto"/>
              </w:rPr>
              <w:t>306,000</w:t>
            </w:r>
          </w:p>
        </w:tc>
        <w:tc>
          <w:tcPr>
            <w:tcW w:w="1160" w:type="dxa"/>
            <w:vAlign w:val="bottom"/>
          </w:tcPr>
          <w:p>
            <w:pPr>
              <w:jc w:val="right"/>
              <w:spacing w:after="0"/>
              <w:rPr>
                <w:sz w:val="20"/>
                <w:szCs w:val="20"/>
                <w:color w:val="auto"/>
              </w:rPr>
            </w:pPr>
            <w:r>
              <w:rPr>
                <w:rFonts w:ascii="Arial" w:cs="Arial" w:eastAsia="Arial" w:hAnsi="Arial"/>
                <w:sz w:val="16"/>
                <w:szCs w:val="16"/>
                <w:color w:val="auto"/>
              </w:rPr>
              <w:t>1.17 %</w:t>
            </w: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 Fitness International LLC</w:t>
            </w:r>
          </w:p>
        </w:tc>
        <w:tc>
          <w:tcPr>
            <w:tcW w:w="20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2"/>
              </w:rPr>
              <w:t>CCC+ / Caa3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960" w:type="dxa"/>
            <w:vAlign w:val="bottom"/>
          </w:tcPr>
          <w:p>
            <w:pPr>
              <w:ind w:left="80"/>
              <w:spacing w:after="0"/>
              <w:rPr>
                <w:sz w:val="20"/>
                <w:szCs w:val="20"/>
                <w:color w:val="auto"/>
              </w:rPr>
            </w:pPr>
            <w:r>
              <w:rPr>
                <w:rFonts w:ascii="Arial" w:cs="Arial" w:eastAsia="Arial" w:hAnsi="Arial"/>
                <w:sz w:val="16"/>
                <w:szCs w:val="16"/>
                <w:color w:val="auto"/>
              </w:rPr>
              <w:t>Bed, Bath &amp; Beyond, Inc.</w:t>
            </w:r>
          </w:p>
        </w:tc>
        <w:tc>
          <w:tcPr>
            <w:tcW w:w="2020" w:type="dxa"/>
            <w:vAlign w:val="bottom"/>
          </w:tcPr>
          <w:p>
            <w:pPr>
              <w:jc w:val="center"/>
              <w:ind w:left="80"/>
              <w:spacing w:after="0"/>
              <w:rPr>
                <w:sz w:val="20"/>
                <w:szCs w:val="20"/>
                <w:color w:val="auto"/>
              </w:rPr>
            </w:pPr>
            <w:r>
              <w:rPr>
                <w:rFonts w:ascii="Arial" w:cs="Arial" w:eastAsia="Arial" w:hAnsi="Arial"/>
                <w:sz w:val="16"/>
                <w:szCs w:val="16"/>
                <w:color w:val="auto"/>
                <w:w w:val="95"/>
              </w:rPr>
              <w:t>B+ / Ba3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9,538,000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1.34 %</w:t>
            </w:r>
          </w:p>
        </w:tc>
        <w:tc>
          <w:tcPr>
            <w:tcW w:w="920" w:type="dxa"/>
            <w:vAlign w:val="bottom"/>
          </w:tcPr>
          <w:p>
            <w:pPr>
              <w:jc w:val="right"/>
              <w:spacing w:after="0"/>
              <w:rPr>
                <w:sz w:val="20"/>
                <w:szCs w:val="20"/>
                <w:color w:val="auto"/>
              </w:rPr>
            </w:pPr>
            <w:r>
              <w:rPr>
                <w:rFonts w:ascii="Arial" w:cs="Arial" w:eastAsia="Arial" w:hAnsi="Arial"/>
                <w:sz w:val="16"/>
                <w:szCs w:val="16"/>
                <w:color w:val="auto"/>
              </w:rPr>
              <w:t>574,000</w:t>
            </w:r>
          </w:p>
        </w:tc>
        <w:tc>
          <w:tcPr>
            <w:tcW w:w="1160" w:type="dxa"/>
            <w:vAlign w:val="bottom"/>
          </w:tcPr>
          <w:p>
            <w:pPr>
              <w:jc w:val="right"/>
              <w:spacing w:after="0"/>
              <w:rPr>
                <w:sz w:val="20"/>
                <w:szCs w:val="20"/>
                <w:color w:val="auto"/>
              </w:rPr>
            </w:pPr>
            <w:r>
              <w:rPr>
                <w:rFonts w:ascii="Arial" w:cs="Arial" w:eastAsia="Arial" w:hAnsi="Arial"/>
                <w:sz w:val="16"/>
                <w:szCs w:val="16"/>
                <w:color w:val="auto"/>
              </w:rPr>
              <w:t>2.20 %</w:t>
            </w: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CVS Corporation</w:t>
            </w:r>
          </w:p>
        </w:tc>
        <w:tc>
          <w:tcPr>
            <w:tcW w:w="20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5"/>
              </w:rPr>
              <w:t>BBB / Baa2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9,485,000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960" w:type="dxa"/>
            <w:vAlign w:val="bottom"/>
          </w:tcPr>
          <w:p>
            <w:pPr>
              <w:ind w:left="80"/>
              <w:spacing w:after="0"/>
              <w:rPr>
                <w:sz w:val="20"/>
                <w:szCs w:val="20"/>
                <w:color w:val="auto"/>
              </w:rPr>
            </w:pPr>
            <w:r>
              <w:rPr>
                <w:rFonts w:ascii="Arial" w:cs="Arial" w:eastAsia="Arial" w:hAnsi="Arial"/>
                <w:sz w:val="16"/>
                <w:szCs w:val="16"/>
                <w:color w:val="auto"/>
              </w:rPr>
              <w:t>Home Depot, Inc.</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rPr>
              <w:t>A/A2/A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7,193,000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1.01 %</w:t>
            </w:r>
          </w:p>
        </w:tc>
        <w:tc>
          <w:tcPr>
            <w:tcW w:w="920" w:type="dxa"/>
            <w:vAlign w:val="bottom"/>
          </w:tcPr>
          <w:p>
            <w:pPr>
              <w:jc w:val="right"/>
              <w:spacing w:after="0"/>
              <w:rPr>
                <w:sz w:val="20"/>
                <w:szCs w:val="20"/>
                <w:color w:val="auto"/>
              </w:rPr>
            </w:pPr>
            <w:r>
              <w:rPr>
                <w:rFonts w:ascii="Arial" w:cs="Arial" w:eastAsia="Arial" w:hAnsi="Arial"/>
                <w:sz w:val="16"/>
                <w:szCs w:val="16"/>
                <w:color w:val="auto"/>
              </w:rPr>
              <w:t>478,000</w:t>
            </w:r>
          </w:p>
        </w:tc>
        <w:tc>
          <w:tcPr>
            <w:tcW w:w="1160" w:type="dxa"/>
            <w:vAlign w:val="bottom"/>
          </w:tcPr>
          <w:p>
            <w:pPr>
              <w:jc w:val="right"/>
              <w:spacing w:after="0"/>
              <w:rPr>
                <w:sz w:val="20"/>
                <w:szCs w:val="20"/>
                <w:color w:val="auto"/>
              </w:rPr>
            </w:pPr>
            <w:r>
              <w:rPr>
                <w:rFonts w:ascii="Arial" w:cs="Arial" w:eastAsia="Arial" w:hAnsi="Arial"/>
                <w:sz w:val="16"/>
                <w:szCs w:val="16"/>
                <w:color w:val="auto"/>
              </w:rPr>
              <w:t>1.83 %</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Ross Stores, Inc.</w:t>
            </w:r>
          </w:p>
        </w:tc>
        <w:tc>
          <w:tcPr>
            <w:tcW w:w="20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9"/>
              </w:rPr>
              <w:t>BBB+ / A2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960" w:type="dxa"/>
            <w:vAlign w:val="bottom"/>
          </w:tcPr>
          <w:p>
            <w:pPr>
              <w:ind w:left="80"/>
              <w:spacing w:after="0"/>
              <w:rPr>
                <w:sz w:val="20"/>
                <w:szCs w:val="20"/>
                <w:color w:val="auto"/>
              </w:rPr>
            </w:pPr>
            <w:r>
              <w:rPr>
                <w:rFonts w:ascii="Arial" w:cs="Arial" w:eastAsia="Arial" w:hAnsi="Arial"/>
                <w:sz w:val="16"/>
                <w:szCs w:val="16"/>
                <w:color w:val="auto"/>
              </w:rPr>
              <w:t>Michaels Stores, Inc.</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w w:val="94"/>
              </w:rPr>
              <w:t>B / Ba3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6,457,000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tcPr>
          <w:p>
            <w:pPr>
              <w:jc w:val="right"/>
              <w:spacing w:after="0"/>
              <w:rPr>
                <w:sz w:val="20"/>
                <w:szCs w:val="20"/>
                <w:color w:val="auto"/>
              </w:rPr>
            </w:pPr>
            <w:r>
              <w:rPr>
                <w:rFonts w:ascii="Arial" w:cs="Arial" w:eastAsia="Arial" w:hAnsi="Arial"/>
                <w:sz w:val="16"/>
                <w:szCs w:val="16"/>
                <w:color w:val="auto"/>
              </w:rPr>
              <w:t>327,000</w:t>
            </w:r>
          </w:p>
        </w:tc>
        <w:tc>
          <w:tcPr>
            <w:tcW w:w="1160" w:type="dxa"/>
            <w:vAlign w:val="bottom"/>
          </w:tcPr>
          <w:p>
            <w:pPr>
              <w:jc w:val="right"/>
              <w:spacing w:after="0"/>
              <w:rPr>
                <w:sz w:val="20"/>
                <w:szCs w:val="20"/>
                <w:color w:val="auto"/>
              </w:rPr>
            </w:pPr>
            <w:r>
              <w:rPr>
                <w:rFonts w:ascii="Arial" w:cs="Arial" w:eastAsia="Arial" w:hAnsi="Arial"/>
                <w:sz w:val="16"/>
                <w:szCs w:val="16"/>
                <w:color w:val="auto"/>
              </w:rPr>
              <w:t>1.25 %</w:t>
            </w: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Dick's Sporting Goods, Inc.</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rPr>
              <w:t>NR/NR/NR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6"/>
        </w:trPr>
        <w:tc>
          <w:tcPr>
            <w:tcW w:w="560" w:type="dxa"/>
            <w:vAlign w:val="bottom"/>
          </w:tcPr>
          <w:p>
            <w:pPr>
              <w:jc w:val="right"/>
              <w:ind w:right="39"/>
              <w:spacing w:after="0" w:line="166" w:lineRule="exact"/>
              <w:rPr>
                <w:sz w:val="20"/>
                <w:szCs w:val="20"/>
                <w:color w:val="auto"/>
              </w:rPr>
            </w:pPr>
            <w:r>
              <w:rPr>
                <w:rFonts w:ascii="Arial" w:cs="Arial" w:eastAsia="Arial" w:hAnsi="Arial"/>
                <w:sz w:val="16"/>
                <w:szCs w:val="16"/>
                <w:color w:val="auto"/>
              </w:rPr>
              <w:t>12</w:t>
            </w:r>
          </w:p>
        </w:tc>
        <w:tc>
          <w:tcPr>
            <w:tcW w:w="2960" w:type="dxa"/>
            <w:vAlign w:val="bottom"/>
          </w:tcPr>
          <w:p>
            <w:pPr>
              <w:ind w:left="80"/>
              <w:spacing w:after="0" w:line="166" w:lineRule="exact"/>
              <w:rPr>
                <w:sz w:val="20"/>
                <w:szCs w:val="20"/>
                <w:color w:val="auto"/>
              </w:rPr>
            </w:pPr>
            <w:r>
              <w:rPr>
                <w:rFonts w:ascii="Arial" w:cs="Arial" w:eastAsia="Arial" w:hAnsi="Arial"/>
                <w:sz w:val="16"/>
                <w:szCs w:val="16"/>
                <w:color w:val="auto"/>
              </w:rPr>
              <w:t>Hudson's Bay Company (Saks, Lord &amp;</w:t>
            </w:r>
          </w:p>
        </w:tc>
        <w:tc>
          <w:tcPr>
            <w:tcW w:w="2020" w:type="dxa"/>
            <w:vAlign w:val="bottom"/>
          </w:tcPr>
          <w:p>
            <w:pPr>
              <w:jc w:val="center"/>
              <w:ind w:left="60"/>
              <w:spacing w:after="0" w:line="166" w:lineRule="exact"/>
              <w:rPr>
                <w:sz w:val="20"/>
                <w:szCs w:val="20"/>
                <w:color w:val="auto"/>
              </w:rPr>
            </w:pPr>
            <w:r>
              <w:rPr>
                <w:rFonts w:ascii="Arial" w:cs="Arial" w:eastAsia="Arial" w:hAnsi="Arial"/>
                <w:sz w:val="16"/>
                <w:szCs w:val="16"/>
                <w:color w:val="auto"/>
              </w:rPr>
              <w:t>NR/NR/NR</w:t>
            </w:r>
          </w:p>
        </w:tc>
        <w:tc>
          <w:tcPr>
            <w:tcW w:w="14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6,332,000</w:t>
            </w:r>
          </w:p>
        </w:tc>
        <w:tc>
          <w:tcPr>
            <w:tcW w:w="1580" w:type="dxa"/>
            <w:vAlign w:val="bottom"/>
          </w:tcPr>
          <w:p>
            <w:pPr>
              <w:jc w:val="right"/>
              <w:ind w:right="40"/>
              <w:spacing w:after="0" w:line="166" w:lineRule="exact"/>
              <w:rPr>
                <w:sz w:val="20"/>
                <w:szCs w:val="20"/>
                <w:color w:val="auto"/>
              </w:rPr>
            </w:pPr>
            <w:r>
              <w:rPr>
                <w:rFonts w:ascii="Arial" w:cs="Arial" w:eastAsia="Arial" w:hAnsi="Arial"/>
                <w:sz w:val="16"/>
                <w:szCs w:val="16"/>
                <w:color w:val="auto"/>
              </w:rPr>
              <w:t>0.89 %</w:t>
            </w: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220,000</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0.84 %</w:t>
            </w:r>
          </w:p>
        </w:tc>
        <w:tc>
          <w:tcPr>
            <w:tcW w:w="760" w:type="dxa"/>
            <w:vAlign w:val="bottom"/>
          </w:tcPr>
          <w:p>
            <w:pPr>
              <w:jc w:val="right"/>
              <w:spacing w:after="0" w:line="16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6"/>
                <w:szCs w:val="16"/>
                <w:color w:val="auto"/>
              </w:rPr>
              <w:t>Taylor)</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Bank of America, N.A.</w:t>
            </w:r>
          </w:p>
        </w:tc>
        <w:tc>
          <w:tcPr>
            <w:tcW w:w="20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rPr>
              <w:t>A-/A2/A+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6,215,000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960" w:type="dxa"/>
            <w:vAlign w:val="bottom"/>
          </w:tcPr>
          <w:p>
            <w:pPr>
              <w:ind w:left="80"/>
              <w:spacing w:after="0"/>
              <w:rPr>
                <w:sz w:val="20"/>
                <w:szCs w:val="20"/>
                <w:color w:val="auto"/>
              </w:rPr>
            </w:pPr>
            <w:r>
              <w:rPr>
                <w:rFonts w:ascii="Arial" w:cs="Arial" w:eastAsia="Arial" w:hAnsi="Arial"/>
                <w:sz w:val="16"/>
                <w:szCs w:val="16"/>
                <w:color w:val="auto"/>
              </w:rPr>
              <w:t>Kroger Co., The</w:t>
            </w:r>
          </w:p>
        </w:tc>
        <w:tc>
          <w:tcPr>
            <w:tcW w:w="2020" w:type="dxa"/>
            <w:vAlign w:val="bottom"/>
          </w:tcPr>
          <w:p>
            <w:pPr>
              <w:jc w:val="center"/>
              <w:ind w:left="80"/>
              <w:spacing w:after="0"/>
              <w:rPr>
                <w:sz w:val="20"/>
                <w:szCs w:val="20"/>
                <w:color w:val="auto"/>
              </w:rPr>
            </w:pPr>
            <w:r>
              <w:rPr>
                <w:rFonts w:ascii="Arial" w:cs="Arial" w:eastAsia="Arial" w:hAnsi="Arial"/>
                <w:sz w:val="16"/>
                <w:szCs w:val="16"/>
                <w:color w:val="auto"/>
                <w:w w:val="95"/>
              </w:rPr>
              <w:t>BBB / Baa1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6,162,000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0.87 %</w:t>
            </w:r>
          </w:p>
        </w:tc>
        <w:tc>
          <w:tcPr>
            <w:tcW w:w="920" w:type="dxa"/>
            <w:vAlign w:val="bottom"/>
          </w:tcPr>
          <w:p>
            <w:pPr>
              <w:jc w:val="right"/>
              <w:spacing w:after="0"/>
              <w:rPr>
                <w:sz w:val="20"/>
                <w:szCs w:val="20"/>
                <w:color w:val="auto"/>
              </w:rPr>
            </w:pPr>
            <w:r>
              <w:rPr>
                <w:rFonts w:ascii="Arial" w:cs="Arial" w:eastAsia="Arial" w:hAnsi="Arial"/>
                <w:sz w:val="16"/>
                <w:szCs w:val="16"/>
                <w:color w:val="auto"/>
              </w:rPr>
              <w:t>529,000</w:t>
            </w:r>
          </w:p>
        </w:tc>
        <w:tc>
          <w:tcPr>
            <w:tcW w:w="1160" w:type="dxa"/>
            <w:vAlign w:val="bottom"/>
          </w:tcPr>
          <w:p>
            <w:pPr>
              <w:jc w:val="right"/>
              <w:spacing w:after="0"/>
              <w:rPr>
                <w:sz w:val="20"/>
                <w:szCs w:val="20"/>
                <w:color w:val="auto"/>
              </w:rPr>
            </w:pPr>
            <w:r>
              <w:rPr>
                <w:rFonts w:ascii="Arial" w:cs="Arial" w:eastAsia="Arial" w:hAnsi="Arial"/>
                <w:sz w:val="16"/>
                <w:szCs w:val="16"/>
                <w:color w:val="auto"/>
              </w:rPr>
              <w:t>2.03 %</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Nordstrom, Inc.</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5"/>
              </w:rPr>
              <w:t>BB+ / Baa3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6,136,000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960" w:type="dxa"/>
            <w:vAlign w:val="bottom"/>
          </w:tcPr>
          <w:p>
            <w:pPr>
              <w:ind w:left="80"/>
              <w:spacing w:after="0"/>
              <w:rPr>
                <w:sz w:val="20"/>
                <w:szCs w:val="20"/>
                <w:color w:val="auto"/>
              </w:rPr>
            </w:pPr>
            <w:r>
              <w:rPr>
                <w:rFonts w:ascii="Arial" w:cs="Arial" w:eastAsia="Arial" w:hAnsi="Arial"/>
                <w:sz w:val="16"/>
                <w:szCs w:val="16"/>
                <w:color w:val="auto"/>
              </w:rPr>
              <w:t>DSW, Inc</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rPr>
              <w:t>NR/NR/NR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5,692,000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0.80 %</w:t>
            </w:r>
          </w:p>
        </w:tc>
        <w:tc>
          <w:tcPr>
            <w:tcW w:w="920" w:type="dxa"/>
            <w:vAlign w:val="bottom"/>
          </w:tcPr>
          <w:p>
            <w:pPr>
              <w:jc w:val="right"/>
              <w:spacing w:after="0"/>
              <w:rPr>
                <w:sz w:val="20"/>
                <w:szCs w:val="20"/>
                <w:color w:val="auto"/>
              </w:rPr>
            </w:pPr>
            <w:r>
              <w:rPr>
                <w:rFonts w:ascii="Arial" w:cs="Arial" w:eastAsia="Arial" w:hAnsi="Arial"/>
                <w:sz w:val="16"/>
                <w:szCs w:val="16"/>
                <w:color w:val="auto"/>
              </w:rPr>
              <w:t>224,000</w:t>
            </w:r>
          </w:p>
        </w:tc>
        <w:tc>
          <w:tcPr>
            <w:tcW w:w="1160" w:type="dxa"/>
            <w:vAlign w:val="bottom"/>
          </w:tcPr>
          <w:p>
            <w:pPr>
              <w:jc w:val="right"/>
              <w:spacing w:after="0"/>
              <w:rPr>
                <w:sz w:val="20"/>
                <w:szCs w:val="20"/>
                <w:color w:val="auto"/>
              </w:rPr>
            </w:pPr>
            <w:r>
              <w:rPr>
                <w:rFonts w:ascii="Arial" w:cs="Arial" w:eastAsia="Arial" w:hAnsi="Arial"/>
                <w:sz w:val="16"/>
                <w:szCs w:val="16"/>
                <w:color w:val="auto"/>
              </w:rPr>
              <w:t>0.86 %</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Best Buy Co., Inc.</w:t>
            </w:r>
          </w:p>
        </w:tc>
        <w:tc>
          <w:tcPr>
            <w:tcW w:w="20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5"/>
              </w:rPr>
              <w:t>BBB / Baa1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960" w:type="dxa"/>
            <w:vAlign w:val="bottom"/>
          </w:tcPr>
          <w:p>
            <w:pPr>
              <w:ind w:left="80"/>
              <w:spacing w:after="0"/>
              <w:rPr>
                <w:sz w:val="20"/>
                <w:szCs w:val="20"/>
                <w:color w:val="auto"/>
              </w:rPr>
            </w:pPr>
            <w:r>
              <w:rPr>
                <w:rFonts w:ascii="Arial" w:cs="Arial" w:eastAsia="Arial" w:hAnsi="Arial"/>
                <w:sz w:val="16"/>
                <w:szCs w:val="16"/>
                <w:color w:val="auto"/>
              </w:rPr>
              <w:t>AMC Entertainment Inc.</w:t>
            </w:r>
          </w:p>
        </w:tc>
        <w:tc>
          <w:tcPr>
            <w:tcW w:w="2020" w:type="dxa"/>
            <w:vAlign w:val="bottom"/>
          </w:tcPr>
          <w:p>
            <w:pPr>
              <w:jc w:val="center"/>
              <w:ind w:left="80"/>
              <w:spacing w:after="0"/>
              <w:rPr>
                <w:sz w:val="20"/>
                <w:szCs w:val="20"/>
                <w:color w:val="auto"/>
              </w:rPr>
            </w:pPr>
            <w:r>
              <w:rPr>
                <w:rFonts w:ascii="Arial" w:cs="Arial" w:eastAsia="Arial" w:hAnsi="Arial"/>
                <w:sz w:val="16"/>
                <w:szCs w:val="16"/>
                <w:color w:val="auto"/>
                <w:w w:val="91"/>
              </w:rPr>
              <w:t>CC / Caa3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5,424,000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0.76 %</w:t>
            </w:r>
          </w:p>
        </w:tc>
        <w:tc>
          <w:tcPr>
            <w:tcW w:w="920" w:type="dxa"/>
            <w:vAlign w:val="bottom"/>
          </w:tcPr>
          <w:p>
            <w:pPr>
              <w:jc w:val="right"/>
              <w:spacing w:after="0"/>
              <w:rPr>
                <w:sz w:val="20"/>
                <w:szCs w:val="20"/>
                <w:color w:val="auto"/>
              </w:rPr>
            </w:pPr>
            <w:r>
              <w:rPr>
                <w:rFonts w:ascii="Arial" w:cs="Arial" w:eastAsia="Arial" w:hAnsi="Arial"/>
                <w:sz w:val="16"/>
                <w:szCs w:val="16"/>
                <w:color w:val="auto"/>
              </w:rPr>
              <w:t>233,000</w:t>
            </w:r>
          </w:p>
        </w:tc>
        <w:tc>
          <w:tcPr>
            <w:tcW w:w="1160" w:type="dxa"/>
            <w:vAlign w:val="bottom"/>
          </w:tcPr>
          <w:p>
            <w:pPr>
              <w:jc w:val="right"/>
              <w:spacing w:after="0"/>
              <w:rPr>
                <w:sz w:val="20"/>
                <w:szCs w:val="20"/>
                <w:color w:val="auto"/>
              </w:rPr>
            </w:pPr>
            <w:r>
              <w:rPr>
                <w:rFonts w:ascii="Arial" w:cs="Arial" w:eastAsia="Arial" w:hAnsi="Arial"/>
                <w:sz w:val="16"/>
                <w:szCs w:val="16"/>
                <w:color w:val="auto"/>
              </w:rPr>
              <w:t>0.89 %</w:t>
            </w: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Ulta Beauty, Inc.</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rPr>
              <w:t>NR/NR/NR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960" w:type="dxa"/>
            <w:vAlign w:val="bottom"/>
          </w:tcPr>
          <w:p>
            <w:pPr>
              <w:ind w:left="80"/>
              <w:spacing w:after="0"/>
              <w:rPr>
                <w:sz w:val="20"/>
                <w:szCs w:val="20"/>
                <w:color w:val="auto"/>
              </w:rPr>
            </w:pPr>
            <w:r>
              <w:rPr>
                <w:rFonts w:ascii="Arial" w:cs="Arial" w:eastAsia="Arial" w:hAnsi="Arial"/>
                <w:sz w:val="16"/>
                <w:szCs w:val="16"/>
                <w:color w:val="auto"/>
              </w:rPr>
              <w:t>Whole Foods Market, Inc.</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rPr>
              <w:t>A+/A2/NR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4,772,000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0.67 %</w:t>
            </w:r>
          </w:p>
        </w:tc>
        <w:tc>
          <w:tcPr>
            <w:tcW w:w="920" w:type="dxa"/>
            <w:vAlign w:val="bottom"/>
          </w:tcPr>
          <w:p>
            <w:pPr>
              <w:jc w:val="right"/>
              <w:spacing w:after="0"/>
              <w:rPr>
                <w:sz w:val="20"/>
                <w:szCs w:val="20"/>
                <w:color w:val="auto"/>
              </w:rPr>
            </w:pPr>
            <w:r>
              <w:rPr>
                <w:rFonts w:ascii="Arial" w:cs="Arial" w:eastAsia="Arial" w:hAnsi="Arial"/>
                <w:sz w:val="16"/>
                <w:szCs w:val="16"/>
                <w:color w:val="auto"/>
              </w:rPr>
              <w:t>167,000</w:t>
            </w:r>
          </w:p>
        </w:tc>
        <w:tc>
          <w:tcPr>
            <w:tcW w:w="1160" w:type="dxa"/>
            <w:vAlign w:val="bottom"/>
          </w:tcPr>
          <w:p>
            <w:pPr>
              <w:jc w:val="right"/>
              <w:spacing w:after="0"/>
              <w:rPr>
                <w:sz w:val="20"/>
                <w:szCs w:val="20"/>
                <w:color w:val="auto"/>
              </w:rPr>
            </w:pPr>
            <w:r>
              <w:rPr>
                <w:rFonts w:ascii="Arial" w:cs="Arial" w:eastAsia="Arial" w:hAnsi="Arial"/>
                <w:sz w:val="16"/>
                <w:szCs w:val="16"/>
                <w:color w:val="auto"/>
              </w:rPr>
              <w:t>0.64 %</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Starbucks Corporation</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6"/>
              </w:rPr>
              <w:t>BBB+ / Baa1 / BBB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960" w:type="dxa"/>
            <w:vAlign w:val="bottom"/>
          </w:tcPr>
          <w:p>
            <w:pPr>
              <w:ind w:left="80"/>
              <w:spacing w:after="0"/>
              <w:rPr>
                <w:sz w:val="20"/>
                <w:szCs w:val="20"/>
                <w:color w:val="auto"/>
              </w:rPr>
            </w:pPr>
            <w:r>
              <w:rPr>
                <w:rFonts w:ascii="Arial" w:cs="Arial" w:eastAsia="Arial" w:hAnsi="Arial"/>
                <w:sz w:val="16"/>
                <w:szCs w:val="16"/>
                <w:color w:val="auto"/>
              </w:rPr>
              <w:t>AB Acquisition LLC (Acme, Safeway)</w:t>
            </w:r>
          </w:p>
        </w:tc>
        <w:tc>
          <w:tcPr>
            <w:tcW w:w="2020" w:type="dxa"/>
            <w:vAlign w:val="bottom"/>
          </w:tcPr>
          <w:p>
            <w:pPr>
              <w:jc w:val="center"/>
              <w:ind w:left="60"/>
              <w:spacing w:after="0"/>
              <w:rPr>
                <w:sz w:val="20"/>
                <w:szCs w:val="20"/>
                <w:color w:val="auto"/>
              </w:rPr>
            </w:pPr>
            <w:r>
              <w:rPr>
                <w:rFonts w:ascii="Arial" w:cs="Arial" w:eastAsia="Arial" w:hAnsi="Arial"/>
                <w:sz w:val="16"/>
                <w:szCs w:val="16"/>
                <w:color w:val="auto"/>
                <w:w w:val="95"/>
              </w:rPr>
              <w:t>BB- / Ba3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4,312,000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0.61 %</w:t>
            </w:r>
          </w:p>
        </w:tc>
        <w:tc>
          <w:tcPr>
            <w:tcW w:w="920" w:type="dxa"/>
            <w:vAlign w:val="bottom"/>
          </w:tcPr>
          <w:p>
            <w:pPr>
              <w:jc w:val="right"/>
              <w:spacing w:after="0"/>
              <w:rPr>
                <w:sz w:val="20"/>
                <w:szCs w:val="20"/>
                <w:color w:val="auto"/>
              </w:rPr>
            </w:pPr>
            <w:r>
              <w:rPr>
                <w:rFonts w:ascii="Arial" w:cs="Arial" w:eastAsia="Arial" w:hAnsi="Arial"/>
                <w:sz w:val="16"/>
                <w:szCs w:val="16"/>
                <w:color w:val="auto"/>
              </w:rPr>
              <w:t>412,000</w:t>
            </w:r>
          </w:p>
        </w:tc>
        <w:tc>
          <w:tcPr>
            <w:tcW w:w="1160" w:type="dxa"/>
            <w:vAlign w:val="bottom"/>
          </w:tcPr>
          <w:p>
            <w:pPr>
              <w:jc w:val="right"/>
              <w:spacing w:after="0"/>
              <w:rPr>
                <w:sz w:val="20"/>
                <w:szCs w:val="20"/>
                <w:color w:val="auto"/>
              </w:rPr>
            </w:pPr>
            <w:r>
              <w:rPr>
                <w:rFonts w:ascii="Arial" w:cs="Arial" w:eastAsia="Arial" w:hAnsi="Arial"/>
                <w:sz w:val="16"/>
                <w:szCs w:val="16"/>
                <w:color w:val="auto"/>
              </w:rPr>
              <w:t>1.58 %</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Wells Fargo Bank, N.A.</w:t>
            </w:r>
          </w:p>
        </w:tc>
        <w:tc>
          <w:tcPr>
            <w:tcW w:w="202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rPr>
              <w:t>BBB+ / A2 / 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960" w:type="dxa"/>
            <w:vAlign w:val="bottom"/>
          </w:tcPr>
          <w:p>
            <w:pPr>
              <w:ind w:left="80"/>
              <w:spacing w:after="0"/>
              <w:rPr>
                <w:sz w:val="20"/>
                <w:szCs w:val="20"/>
                <w:color w:val="auto"/>
              </w:rPr>
            </w:pPr>
            <w:r>
              <w:rPr>
                <w:rFonts w:ascii="Arial" w:cs="Arial" w:eastAsia="Arial" w:hAnsi="Arial"/>
                <w:sz w:val="16"/>
                <w:szCs w:val="16"/>
                <w:color w:val="auto"/>
              </w:rPr>
              <w:t>JPMorgan Chase Bank</w:t>
            </w:r>
          </w:p>
        </w:tc>
        <w:tc>
          <w:tcPr>
            <w:tcW w:w="2020" w:type="dxa"/>
            <w:vAlign w:val="bottom"/>
          </w:tcPr>
          <w:p>
            <w:pPr>
              <w:jc w:val="center"/>
              <w:ind w:left="80"/>
              <w:spacing w:after="0"/>
              <w:rPr>
                <w:sz w:val="20"/>
                <w:szCs w:val="20"/>
                <w:color w:val="auto"/>
              </w:rPr>
            </w:pPr>
            <w:r>
              <w:rPr>
                <w:rFonts w:ascii="Arial" w:cs="Arial" w:eastAsia="Arial" w:hAnsi="Arial"/>
                <w:sz w:val="16"/>
                <w:szCs w:val="16"/>
                <w:color w:val="auto"/>
              </w:rPr>
              <w:t>A-/A2/AA-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4,165,000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0.59 %</w:t>
            </w:r>
          </w:p>
        </w:tc>
        <w:tc>
          <w:tcPr>
            <w:tcW w:w="920" w:type="dxa"/>
            <w:vAlign w:val="bottom"/>
          </w:tcPr>
          <w:p>
            <w:pPr>
              <w:jc w:val="right"/>
              <w:spacing w:after="0"/>
              <w:rPr>
                <w:sz w:val="20"/>
                <w:szCs w:val="20"/>
                <w:color w:val="auto"/>
              </w:rPr>
            </w:pPr>
            <w:r>
              <w:rPr>
                <w:rFonts w:ascii="Arial" w:cs="Arial" w:eastAsia="Arial" w:hAnsi="Arial"/>
                <w:sz w:val="16"/>
                <w:szCs w:val="16"/>
                <w:color w:val="auto"/>
              </w:rPr>
              <w:t>71,000</w:t>
            </w:r>
          </w:p>
        </w:tc>
        <w:tc>
          <w:tcPr>
            <w:tcW w:w="1160" w:type="dxa"/>
            <w:vAlign w:val="bottom"/>
          </w:tcPr>
          <w:p>
            <w:pPr>
              <w:jc w:val="right"/>
              <w:spacing w:after="0"/>
              <w:rPr>
                <w:sz w:val="20"/>
                <w:szCs w:val="20"/>
                <w:color w:val="auto"/>
              </w:rPr>
            </w:pPr>
            <w:r>
              <w:rPr>
                <w:rFonts w:ascii="Arial" w:cs="Arial" w:eastAsia="Arial" w:hAnsi="Arial"/>
                <w:sz w:val="16"/>
                <w:szCs w:val="16"/>
                <w:color w:val="auto"/>
              </w:rPr>
              <w:t>0.27 %</w:t>
            </w: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Target Corporation</w:t>
            </w:r>
          </w:p>
        </w:tc>
        <w:tc>
          <w:tcPr>
            <w:tcW w:w="20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rPr>
              <w:t>A/A2/A-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4,004,000</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0.56 %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60" w:type="dxa"/>
            <w:vAlign w:val="bottom"/>
          </w:tcPr>
          <w:p>
            <w:pPr>
              <w:ind w:left="80"/>
              <w:spacing w:after="0"/>
              <w:rPr>
                <w:sz w:val="20"/>
                <w:szCs w:val="20"/>
                <w:color w:val="auto"/>
              </w:rPr>
            </w:pPr>
            <w:r>
              <w:rPr>
                <w:rFonts w:ascii="Arial" w:cs="Arial" w:eastAsia="Arial" w:hAnsi="Arial"/>
                <w:sz w:val="16"/>
                <w:szCs w:val="16"/>
                <w:color w:val="auto"/>
              </w:rPr>
              <w:t>Totals - Top 25 Tenants</w:t>
            </w:r>
          </w:p>
        </w:tc>
        <w:tc>
          <w:tcPr>
            <w:tcW w:w="20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200,531,000</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28.25 %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8,383,000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960" w:type="dxa"/>
            <w:vAlign w:val="bottom"/>
          </w:tcPr>
          <w:p>
            <w:pPr>
              <w:ind w:left="80"/>
              <w:spacing w:after="0"/>
              <w:rPr>
                <w:sz w:val="20"/>
                <w:szCs w:val="20"/>
                <w:color w:val="auto"/>
              </w:rPr>
            </w:pPr>
            <w:r>
              <w:rPr>
                <w:rFonts w:ascii="Arial" w:cs="Arial" w:eastAsia="Arial" w:hAnsi="Arial"/>
                <w:sz w:val="16"/>
                <w:szCs w:val="16"/>
                <w:color w:val="auto"/>
              </w:rPr>
              <w:t>Total (5):</w:t>
            </w:r>
          </w:p>
        </w:tc>
        <w:tc>
          <w:tcPr>
            <w:tcW w:w="2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709,762,000</w:t>
            </w:r>
          </w:p>
        </w:tc>
        <w:tc>
          <w:tcPr>
            <w:tcW w:w="1580" w:type="dxa"/>
            <w:vAlign w:val="bottom"/>
          </w:tcPr>
          <w:p>
            <w:pPr>
              <w:jc w:val="right"/>
              <w:ind w:right="1300"/>
              <w:spacing w:after="0"/>
              <w:rPr>
                <w:sz w:val="20"/>
                <w:szCs w:val="20"/>
                <w:color w:val="auto"/>
              </w:rPr>
            </w:pPr>
            <w:r>
              <w:rPr>
                <w:rFonts w:ascii="Arial" w:cs="Arial" w:eastAsia="Arial" w:hAnsi="Arial"/>
                <w:sz w:val="16"/>
                <w:szCs w:val="16"/>
                <w:color w:val="auto"/>
                <w:w w:val="91"/>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26,082,000</w:t>
            </w:r>
          </w:p>
        </w:tc>
        <w:tc>
          <w:tcPr>
            <w:tcW w:w="1160" w:type="dxa"/>
            <w:vAlign w:val="bottom"/>
          </w:tcPr>
          <w:p>
            <w:pPr>
              <w:jc w:val="right"/>
              <w:ind w:right="860"/>
              <w:spacing w:after="0"/>
              <w:rPr>
                <w:sz w:val="20"/>
                <w:szCs w:val="20"/>
                <w:color w:val="auto"/>
              </w:rPr>
            </w:pPr>
            <w:r>
              <w:rPr>
                <w:rFonts w:ascii="Arial" w:cs="Arial" w:eastAsia="Arial" w:hAnsi="Arial"/>
                <w:sz w:val="16"/>
                <w:szCs w:val="16"/>
                <w:color w:val="auto"/>
              </w:rPr>
              <w:t>(4)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Credit Ratings are as of December 31, 2020. Subsequent rating changes have not been reflected.</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40" w:top="1026"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 Diversification by Category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The below reflects the breakout of our Annualized Base Rent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 of December 31, 2020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40575" cy="4860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25% of Annualized Base Rent comes from Essential Retail</w:t>
      </w:r>
    </w:p>
    <w:p>
      <w:pPr>
        <w:spacing w:after="0" w:line="7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21% of Annualized Base Rent comes from Office and Residential</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31" w:lineRule="exact"/>
        <w:rPr>
          <w:sz w:val="20"/>
          <w:szCs w:val="20"/>
          <w:color w:val="auto"/>
        </w:rPr>
      </w:pPr>
    </w:p>
    <w:p>
      <w:pPr>
        <w:ind w:left="560" w:hanging="534"/>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 Glossary of Terms. Excludes redevelopment square footage not yet placed in service.</w:t>
      </w:r>
    </w:p>
    <w:p>
      <w:pPr>
        <w:spacing w:after="0" w:line="34" w:lineRule="exact"/>
        <w:rPr>
          <w:rFonts w:ascii="Arial" w:cs="Arial" w:eastAsia="Arial" w:hAnsi="Arial"/>
          <w:sz w:val="17"/>
          <w:szCs w:val="17"/>
          <w:color w:val="auto"/>
        </w:rPr>
      </w:pPr>
    </w:p>
    <w:p>
      <w:pPr>
        <w:ind w:left="560" w:hanging="534"/>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Communications &amp; Home Office includes: Telecommunications, Electronics, and Office Supply.</w:t>
      </w:r>
    </w:p>
    <w:p>
      <w:pPr>
        <w:spacing w:after="0" w:line="45" w:lineRule="exact"/>
        <w:rPr>
          <w:rFonts w:ascii="Arial" w:cs="Arial" w:eastAsia="Arial" w:hAnsi="Arial"/>
          <w:sz w:val="16"/>
          <w:szCs w:val="16"/>
          <w:color w:val="auto"/>
        </w:rPr>
      </w:pPr>
    </w:p>
    <w:p>
      <w:pPr>
        <w:ind w:left="560" w:hanging="53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22" w:lineRule="exact"/>
        <w:rPr>
          <w:rFonts w:ascii="Arial" w:cs="Arial" w:eastAsia="Arial" w:hAnsi="Arial"/>
          <w:sz w:val="18"/>
          <w:szCs w:val="18"/>
          <w:color w:val="auto"/>
        </w:rPr>
      </w:pPr>
    </w:p>
    <w:p>
      <w:pPr>
        <w:ind w:left="560" w:hanging="53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Restaurants comprise full service (less than 8%) and quick service (less than 8%).</w:t>
      </w:r>
    </w:p>
    <w:p>
      <w:pPr>
        <w:spacing w:after="0" w:line="22" w:lineRule="exact"/>
        <w:rPr>
          <w:rFonts w:ascii="Arial" w:cs="Arial" w:eastAsia="Arial" w:hAnsi="Arial"/>
          <w:sz w:val="18"/>
          <w:szCs w:val="18"/>
          <w:color w:val="auto"/>
        </w:rPr>
      </w:pPr>
    </w:p>
    <w:p>
      <w:pPr>
        <w:ind w:left="560" w:hanging="534"/>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139"/>
          </w:cols>
          <w:pgMar w:left="320" w:top="931"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Glossary of Terms</w:t>
      </w:r>
    </w:p>
    <w:p>
      <w:pPr>
        <w:spacing w:after="0" w:line="86" w:lineRule="exact"/>
        <w:rPr>
          <w:sz w:val="20"/>
          <w:szCs w:val="20"/>
          <w:color w:val="auto"/>
        </w:rPr>
      </w:pPr>
    </w:p>
    <w:p>
      <w:pPr>
        <w:spacing w:after="0" w:line="270" w:lineRule="auto"/>
        <w:rPr>
          <w:sz w:val="20"/>
          <w:szCs w:val="20"/>
          <w:color w:val="auto"/>
        </w:rPr>
      </w:pPr>
      <w:r>
        <w:rPr>
          <w:rFonts w:ascii="Arial" w:cs="Arial" w:eastAsia="Arial" w:hAnsi="Arial"/>
          <w:sz w:val="15"/>
          <w:szCs w:val="15"/>
          <w:b w:val="1"/>
          <w:bCs w:val="1"/>
          <w:color w:val="auto"/>
        </w:rPr>
        <w:t xml:space="preserve">EBITDA for Real Estate ("EBITDAre"): </w:t>
      </w:r>
      <w:r>
        <w:rPr>
          <w:rFonts w:ascii="Arial" w:cs="Arial" w:eastAsia="Arial" w:hAnsi="Arial"/>
          <w:sz w:val="15"/>
          <w:szCs w:val="15"/>
          <w:color w:val="auto"/>
        </w:rPr>
        <w:t>EBITDAre is a non-GAAP measure that the National Association of Real Estate Investment Trusts ("NAREIT") defines as: net</w:t>
      </w:r>
      <w:r>
        <w:rPr>
          <w:rFonts w:ascii="Arial" w:cs="Arial" w:eastAsia="Arial" w:hAnsi="Arial"/>
          <w:sz w:val="15"/>
          <w:szCs w:val="15"/>
          <w:b w:val="1"/>
          <w:bCs w:val="1"/>
          <w:color w:val="auto"/>
        </w:rPr>
        <w:t xml:space="preserve"> </w:t>
      </w:r>
      <w:r>
        <w:rPr>
          <w:rFonts w:ascii="Arial" w:cs="Arial" w:eastAsia="Arial" w:hAnsi="Arial"/>
          <w:sz w:val="15"/>
          <w:szCs w:val="15"/>
          <w:color w:val="auto"/>
        </w:rPr>
        <w:t>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 ended December 31, 2020 and 2019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4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195"/>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3"/>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148,966</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135,888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360,542</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37,543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27,056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136,289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109,623</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interest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Early extinguishment of debt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11,179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11,179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64,424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61,431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255,027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239,758</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real estate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(86,435)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(86,278)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(98,117)</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(116,779)</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Impairment charge</w:t>
            </w:r>
          </w:p>
        </w:tc>
        <w:tc>
          <w:tcPr>
            <w:tcW w:w="3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57,218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of EBITDAre of unconsolidated affiliates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6,417</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6,917</w:t>
            </w:r>
          </w:p>
        </w:tc>
      </w:tr>
      <w:tr>
        <w:trPr>
          <w:trHeight w:val="183"/>
        </w:trPr>
        <w:tc>
          <w:tcPr>
            <w:tcW w:w="5560" w:type="dxa"/>
            <w:vAlign w:val="bottom"/>
          </w:tcPr>
          <w:p>
            <w:pPr>
              <w:ind w:left="360"/>
              <w:spacing w:after="0"/>
              <w:rPr>
                <w:sz w:val="20"/>
                <w:szCs w:val="20"/>
                <w:color w:val="auto"/>
              </w:rPr>
            </w:pPr>
            <w:r>
              <w:rPr>
                <w:rFonts w:ascii="Arial" w:cs="Arial" w:eastAsia="Arial" w:hAnsi="Arial"/>
                <w:sz w:val="14"/>
                <w:szCs w:val="14"/>
                <w:color w:val="auto"/>
              </w:rPr>
              <w:t>EBITDAre (1)</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130,024</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152,635</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501,813</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599,567</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420" w:right="680" w:hanging="412"/>
        <w:spacing w:after="0" w:line="268"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Excluding the charge related to the buyout of the Kmart lease at Assembly Square Marketplace, our EBITDAre would have been $611.5 million for the year ended December 31, 2019.</w:t>
      </w:r>
    </w:p>
    <w:p>
      <w:pPr>
        <w:spacing w:after="0" w:line="44"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NAREIT defines FFO as follows: net income, computed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Operating Income: </w:t>
      </w:r>
      <w:r>
        <w:rPr>
          <w:rFonts w:ascii="Arial" w:cs="Arial" w:eastAsia="Arial" w:hAnsi="Arial"/>
          <w:sz w:val="16"/>
          <w:szCs w:val="16"/>
          <w:color w:val="auto"/>
        </w:rPr>
        <w:t>Rental income and mortgage interest income, less rental expenses and real estate taxes.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Overall Portfolio: </w:t>
      </w:r>
      <w:r>
        <w:rPr>
          <w:rFonts w:ascii="Arial" w:cs="Arial" w:eastAsia="Arial" w:hAnsi="Arial"/>
          <w:sz w:val="16"/>
          <w:szCs w:val="16"/>
          <w:color w:val="auto"/>
        </w:rPr>
        <w:t>Includes all operating properties owned in reporting period.</w:t>
      </w:r>
    </w:p>
    <w:p>
      <w:pPr>
        <w:spacing w:after="0" w:line="8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 primary categories: (1)</w:t>
      </w:r>
      <w:r>
        <w:rPr>
          <w:rFonts w:ascii="Arial" w:cs="Arial" w:eastAsia="Arial" w:hAnsi="Arial"/>
          <w:sz w:val="16"/>
          <w:szCs w:val="16"/>
          <w:b w:val="1"/>
          <w:bCs w:val="1"/>
          <w:color w:val="auto"/>
        </w:rPr>
        <w:t xml:space="preserve"> </w:t>
      </w:r>
      <w:r>
        <w:rPr>
          <w:rFonts w:ascii="Arial" w:cs="Arial" w:eastAsia="Arial" w:hAnsi="Arial"/>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64"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color w:val="auto"/>
        </w:rPr>
        <w:t xml:space="preserve">Annualized Base Rent (ABR): </w:t>
      </w:r>
      <w:r>
        <w:rPr>
          <w:rFonts w:ascii="Arial" w:cs="Arial" w:eastAsia="Arial" w:hAnsi="Arial"/>
          <w:sz w:val="16"/>
          <w:szCs w:val="16"/>
          <w:color w:val="auto"/>
        </w:rPr>
        <w:t>Represents aggregate, annualized in-place contractual (defined as rents billed on a cash basis without taking the impact of rent abatements into</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minimum rent for all occupied spaces as of the reporting period.</w:t>
      </w:r>
    </w:p>
    <w:p>
      <w:pPr>
        <w:spacing w:after="0" w:line="52"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b w:val="1"/>
          <w:bCs w:val="1"/>
          <w:color w:val="auto"/>
        </w:rPr>
        <w:t xml:space="preserve">Retail Leasing Summary - Lease Rollover Calculation: </w:t>
      </w:r>
      <w:r>
        <w:rPr>
          <w:rFonts w:ascii="Arial" w:cs="Arial" w:eastAsia="Arial" w:hAnsi="Arial"/>
          <w:sz w:val="15"/>
          <w:szCs w:val="15"/>
          <w:color w:val="auto"/>
        </w:rPr>
        <w:t>The rental increases associated with comparable spaces generally include all leases signed for retail space in arms-length transactions reflecting market leverage between landlords and tenants during the period. The comparison between annual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rents reported in this calculation. As a result of accommodations made to certain tenants to help them to stay open during and after the COVID-19 pandemic, we have found it necessary to exercise more judgement in 2020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49"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b w:val="1"/>
          <w:bCs w:val="1"/>
          <w:color w:val="auto"/>
        </w:rPr>
        <w:t xml:space="preserve">Tenant Improvements and Incentives: </w:t>
      </w:r>
      <w:r>
        <w:rPr>
          <w:rFonts w:ascii="Arial" w:cs="Arial" w:eastAsia="Arial" w:hAnsi="Arial"/>
          <w:sz w:val="15"/>
          <w:szCs w:val="15"/>
          <w:color w:val="auto"/>
        </w:rPr>
        <w:t>Represents not only the total dollars committed for the improvement (fit-out) of a space as it relates to a specific lease and, except for</w:t>
      </w:r>
      <w:r>
        <w:rPr>
          <w:rFonts w:ascii="Arial" w:cs="Arial" w:eastAsia="Arial" w:hAnsi="Arial"/>
          <w:sz w:val="15"/>
          <w:szCs w:val="15"/>
          <w:b w:val="1"/>
          <w:bCs w:val="1"/>
          <w:color w:val="auto"/>
        </w:rPr>
        <w:t xml:space="preserve"> </w:t>
      </w:r>
      <w:r>
        <w:rPr>
          <w:rFonts w:ascii="Arial" w:cs="Arial" w:eastAsia="Arial" w:hAnsi="Arial"/>
          <w:sz w:val="15"/>
          <w:szCs w:val="15"/>
          <w:color w:val="auto"/>
        </w:rPr>
        <w:t>redevelopments, may also include base building costs (i.e. expansion, escalators or new entrances) which are required to make the space leasable. Incentives include amounts paid to tenants as an inducement to sign a lease that do not represent building improvements. Costs related to redevelopments require judgment by management in determining what reflects base building cost and thus, is not included in the "tenant improvements and incentives" amount.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sectPr>
      <w:pgSz w:w="11900" w:h="16838" w:orient="portrait"/>
      <w:cols w:equalWidth="0" w:num="1">
        <w:col w:w="11240"/>
      </w:cols>
      <w:pgMar w:left="320" w:top="9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3"/>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3"/>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4"/>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2021-02-11T15:21:39Z</dcterms:created>
  <dcterms:modified xsi:type="dcterms:W3CDTF">2021-02-11T15:21:39Z</dcterms:modified>
</cp:coreProperties>
</file>