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2080" w:right="4199" w:hanging="1210"/>
        <w:spacing w:after="0" w:line="250" w:lineRule="auto"/>
        <w:tabs>
          <w:tab w:leader="none" w:pos="121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the Section 13 or 15(d) of the Securities Exchange Act of 1934</w:t>
      </w:r>
    </w:p>
    <w:p>
      <w:pPr>
        <w:spacing w:after="0" w:line="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For the fiscal year ended December 31, 2002</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 ] Transition report pursuant to Section 13 or 15(d) of the</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Securities Exchange Act of 1934</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For the transition period from _________ to __________</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 1-07533</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(Exact Name of Registrant as Specified in its Declaration of Trust)</w:t>
      </w:r>
    </w:p>
    <w:p>
      <w:pPr>
        <w:sectPr>
          <w:pgSz w:w="11900" w:h="16838" w:orient="portrait"/>
          <w:cols w:equalWidth="0" w:num="1">
            <w:col w:w="10239"/>
          </w:cols>
          <w:pgMar w:left="220" w:top="727" w:right="1440" w:bottom="1440" w:gutter="0" w:footer="0" w:header="0"/>
        </w:sectPr>
      </w:pPr>
    </w:p>
    <w:p>
      <w:pPr>
        <w:spacing w:after="0" w:line="173"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of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94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73" w:lineRule="exact"/>
        <w:rPr>
          <w:sz w:val="24"/>
          <w:szCs w:val="24"/>
          <w:color w:val="auto"/>
        </w:rPr>
      </w:pPr>
    </w:p>
    <w:p>
      <w:pPr>
        <w:sectPr>
          <w:pgSz w:w="11900" w:h="16838" w:orient="portrait"/>
          <w:cols w:equalWidth="0" w:num="2">
            <w:col w:w="3340" w:space="720"/>
            <w:col w:w="6179"/>
          </w:cols>
          <w:pgMar w:left="220" w:top="727"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Rockville, Maryland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20852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sectPr>
          <w:pgSz w:w="11900" w:h="16838" w:orient="portrait"/>
          <w:cols w:equalWidth="0" w:num="2">
            <w:col w:w="3620" w:space="520"/>
            <w:col w:w="6099"/>
          </w:cols>
          <w:pgMar w:left="220" w:top="727" w:right="1440" w:bottom="1440" w:gutter="0" w:footer="0" w:header="0"/>
          <w:type w:val="continuous"/>
        </w:sectPr>
      </w:pPr>
    </w:p>
    <w:p>
      <w:pPr>
        <w:jc w:val="center"/>
        <w:ind w:right="3319"/>
        <w:spacing w:after="0"/>
        <w:rPr>
          <w:sz w:val="20"/>
          <w:szCs w:val="20"/>
          <w:color w:val="auto"/>
        </w:rPr>
      </w:pPr>
      <w:r>
        <w:rPr>
          <w:rFonts w:ascii="Courier New" w:cs="Courier New" w:eastAsia="Courier New" w:hAnsi="Courier New"/>
          <w:sz w:val="14"/>
          <w:szCs w:val="14"/>
          <w:color w:val="auto"/>
        </w:rPr>
        <w:t>(301) 998-8100</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39"/>
          </w:cols>
          <w:pgMar w:left="220" w:top="727" w:right="1440" w:bottom="1440" w:gutter="0" w:footer="0" w:header="0"/>
          <w:type w:val="continuous"/>
        </w:sectPr>
      </w:pP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900" w:type="dxa"/>
            <w:vAlign w:val="bottom"/>
            <w:gridSpan w:val="6"/>
          </w:tcPr>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tc>
        <w:tc>
          <w:tcPr>
            <w:tcW w:w="3280" w:type="dxa"/>
            <w:vAlign w:val="bottom"/>
          </w:tcPr>
          <w:p>
            <w:pPr>
              <w:spacing w:after="0"/>
              <w:rPr>
                <w:sz w:val="14"/>
                <w:szCs w:val="14"/>
                <w:color w:val="auto"/>
              </w:rPr>
            </w:pPr>
          </w:p>
        </w:tc>
      </w:tr>
      <w:tr>
        <w:trPr>
          <w:trHeight w:val="663"/>
        </w:trPr>
        <w:tc>
          <w:tcPr>
            <w:tcW w:w="138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Title of Each Class</w:t>
            </w:r>
          </w:p>
        </w:tc>
        <w:tc>
          <w:tcPr>
            <w:tcW w:w="660" w:type="dxa"/>
            <w:vAlign w:val="bottom"/>
          </w:tcPr>
          <w:p>
            <w:pPr>
              <w:spacing w:after="0"/>
              <w:rPr>
                <w:sz w:val="24"/>
                <w:szCs w:val="24"/>
                <w:color w:val="auto"/>
              </w:rPr>
            </w:pPr>
          </w:p>
        </w:tc>
        <w:tc>
          <w:tcPr>
            <w:tcW w:w="6460" w:type="dxa"/>
            <w:vAlign w:val="bottom"/>
            <w:gridSpan w:val="2"/>
          </w:tcPr>
          <w:p>
            <w:pPr>
              <w:ind w:left="2320"/>
              <w:spacing w:after="0"/>
              <w:rPr>
                <w:sz w:val="20"/>
                <w:szCs w:val="20"/>
                <w:color w:val="auto"/>
              </w:rPr>
            </w:pPr>
            <w:r>
              <w:rPr>
                <w:rFonts w:ascii="Courier New" w:cs="Courier New" w:eastAsia="Courier New" w:hAnsi="Courier New"/>
                <w:sz w:val="14"/>
                <w:szCs w:val="14"/>
                <w:color w:val="auto"/>
              </w:rPr>
              <w:t>Name Of Each Exchange On Which Registered</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9"/>
                <w:szCs w:val="9"/>
                <w:color w:val="auto"/>
                <w:w w:val="72"/>
              </w:rPr>
              <w:t>- ------------------------------------------------------</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Common Shares of</w:t>
            </w:r>
          </w:p>
        </w:tc>
        <w:tc>
          <w:tcPr>
            <w:tcW w:w="1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Beneficial</w:t>
            </w:r>
          </w:p>
        </w:tc>
        <w:tc>
          <w:tcPr>
            <w:tcW w:w="4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Interest,  $.01 par value</w:t>
            </w:r>
          </w:p>
        </w:tc>
        <w:tc>
          <w:tcPr>
            <w:tcW w:w="3280" w:type="dxa"/>
            <w:vAlign w:val="bottom"/>
          </w:tcPr>
          <w:p>
            <w:pPr>
              <w:spacing w:after="0"/>
              <w:rPr>
                <w:sz w:val="24"/>
                <w:szCs w:val="2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per share, with</w:t>
            </w:r>
          </w:p>
        </w:tc>
        <w:tc>
          <w:tcPr>
            <w:tcW w:w="1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associated</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3180" w:type="dxa"/>
            <w:vAlign w:val="bottom"/>
          </w:tcPr>
          <w:p>
            <w:pPr>
              <w:spacing w:after="0"/>
              <w:rPr>
                <w:sz w:val="20"/>
                <w:szCs w:val="20"/>
                <w:color w:val="auto"/>
              </w:rPr>
            </w:pPr>
            <w:r>
              <w:rPr>
                <w:rFonts w:ascii="Courier New" w:cs="Courier New" w:eastAsia="Courier New" w:hAnsi="Courier New"/>
                <w:sz w:val="14"/>
                <w:szCs w:val="14"/>
                <w:color w:val="auto"/>
              </w:rPr>
              <w:t>Purchase Rights</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New York Stock Exchange</w:t>
            </w:r>
          </w:p>
        </w:tc>
      </w:tr>
      <w:tr>
        <w:trPr>
          <w:trHeight w:val="331"/>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7.95% Series A Cumulative</w:t>
            </w:r>
          </w:p>
        </w:tc>
        <w:tc>
          <w:tcPr>
            <w:tcW w:w="47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Redeemable Preferred Shares</w:t>
            </w:r>
          </w:p>
        </w:tc>
        <w:tc>
          <w:tcPr>
            <w:tcW w:w="3280" w:type="dxa"/>
            <w:vAlign w:val="bottom"/>
          </w:tcPr>
          <w:p>
            <w:pPr>
              <w:spacing w:after="0"/>
              <w:rPr>
                <w:sz w:val="24"/>
                <w:szCs w:val="24"/>
                <w:color w:val="auto"/>
              </w:rPr>
            </w:pPr>
          </w:p>
        </w:tc>
      </w:tr>
      <w:tr>
        <w:trPr>
          <w:trHeight w:val="166"/>
        </w:trPr>
        <w:tc>
          <w:tcPr>
            <w:tcW w:w="2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Beneficial Interest,</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par value</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$.01 per share,</w:t>
            </w:r>
          </w:p>
        </w:tc>
        <w:tc>
          <w:tcPr>
            <w:tcW w:w="3280" w:type="dxa"/>
            <w:vAlign w:val="bottom"/>
          </w:tcPr>
          <w:p>
            <w:pPr>
              <w:spacing w:after="0"/>
              <w:rPr>
                <w:sz w:val="14"/>
                <w:szCs w:val="14"/>
                <w:color w:val="auto"/>
              </w:rPr>
            </w:pPr>
          </w:p>
        </w:tc>
      </w:tr>
      <w:tr>
        <w:trPr>
          <w:trHeight w:val="166"/>
        </w:trPr>
        <w:tc>
          <w:tcPr>
            <w:tcW w:w="3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(Liquidation Preference $25.00</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New York Stock Exchange</w:t>
            </w:r>
          </w:p>
        </w:tc>
      </w:tr>
      <w:tr>
        <w:trPr>
          <w:trHeight w:val="331"/>
        </w:trPr>
        <w:tc>
          <w:tcPr>
            <w:tcW w:w="3060" w:type="dxa"/>
            <w:vAlign w:val="bottom"/>
            <w:gridSpan w:val="4"/>
          </w:tcPr>
          <w:p>
            <w:pPr>
              <w:spacing w:after="0"/>
              <w:rPr>
                <w:sz w:val="20"/>
                <w:szCs w:val="20"/>
                <w:color w:val="auto"/>
              </w:rPr>
            </w:pPr>
            <w:r>
              <w:rPr>
                <w:rFonts w:ascii="Courier New" w:cs="Courier New" w:eastAsia="Courier New" w:hAnsi="Courier New"/>
                <w:sz w:val="14"/>
                <w:szCs w:val="14"/>
                <w:color w:val="auto"/>
              </w:rPr>
              <w:t>8.5% Series B Cumulative Redeemable</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Preferred Shares</w:t>
            </w:r>
          </w:p>
        </w:tc>
        <w:tc>
          <w:tcPr>
            <w:tcW w:w="3280" w:type="dxa"/>
            <w:vAlign w:val="bottom"/>
          </w:tcPr>
          <w:p>
            <w:pPr>
              <w:spacing w:after="0"/>
              <w:rPr>
                <w:sz w:val="24"/>
                <w:szCs w:val="24"/>
                <w:color w:val="auto"/>
              </w:rPr>
            </w:pPr>
          </w:p>
        </w:tc>
      </w:tr>
      <w:tr>
        <w:trPr>
          <w:trHeight w:val="166"/>
        </w:trPr>
        <w:tc>
          <w:tcPr>
            <w:tcW w:w="2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Beneficial Interest,</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par value</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$.01 per share,</w:t>
            </w:r>
          </w:p>
        </w:tc>
        <w:tc>
          <w:tcPr>
            <w:tcW w:w="3280" w:type="dxa"/>
            <w:vAlign w:val="bottom"/>
          </w:tcPr>
          <w:p>
            <w:pPr>
              <w:spacing w:after="0"/>
              <w:rPr>
                <w:sz w:val="14"/>
                <w:szCs w:val="14"/>
                <w:color w:val="auto"/>
              </w:rPr>
            </w:pPr>
          </w:p>
        </w:tc>
      </w:tr>
      <w:tr>
        <w:trPr>
          <w:trHeight w:val="166"/>
        </w:trPr>
        <w:tc>
          <w:tcPr>
            <w:tcW w:w="2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(Liquidation Preference</w:t>
            </w:r>
          </w:p>
        </w:tc>
        <w:tc>
          <w:tcPr>
            <w:tcW w:w="1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$25.00 per share)</w:t>
            </w:r>
          </w:p>
        </w:tc>
        <w:tc>
          <w:tcPr>
            <w:tcW w:w="318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New York Stock Exchange</w:t>
            </w:r>
          </w:p>
        </w:tc>
      </w:tr>
      <w:tr>
        <w:trPr>
          <w:trHeight w:val="497"/>
        </w:trPr>
        <w:tc>
          <w:tcPr>
            <w:tcW w:w="6900" w:type="dxa"/>
            <w:vAlign w:val="bottom"/>
            <w:gridSpan w:val="6"/>
          </w:tcPr>
          <w:p>
            <w:pPr>
              <w:spacing w:after="0"/>
              <w:rPr>
                <w:sz w:val="20"/>
                <w:szCs w:val="20"/>
                <w:color w:val="auto"/>
              </w:rPr>
            </w:pPr>
            <w:r>
              <w:rPr>
                <w:rFonts w:ascii="Courier New" w:cs="Courier New" w:eastAsia="Courier New" w:hAnsi="Courier New"/>
                <w:sz w:val="14"/>
                <w:szCs w:val="14"/>
                <w:color w:val="auto"/>
              </w:rPr>
              <w:t>Securities registered pursuant to Section 12(g) of the Act:   None</w:t>
            </w:r>
          </w:p>
        </w:tc>
        <w:tc>
          <w:tcPr>
            <w:tcW w:w="3280" w:type="dxa"/>
            <w:vAlign w:val="bottom"/>
          </w:tcPr>
          <w:p>
            <w:pPr>
              <w:spacing w:after="0"/>
              <w:rPr>
                <w:sz w:val="24"/>
                <w:szCs w:val="24"/>
                <w:color w:val="auto"/>
              </w:rPr>
            </w:pPr>
          </w:p>
        </w:tc>
      </w:tr>
      <w:tr>
        <w:trPr>
          <w:trHeight w:val="331"/>
        </w:trPr>
        <w:tc>
          <w:tcPr>
            <w:tcW w:w="6900" w:type="dxa"/>
            <w:vAlign w:val="bottom"/>
            <w:gridSpan w:val="6"/>
          </w:tcPr>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tc>
        <w:tc>
          <w:tcPr>
            <w:tcW w:w="3280" w:type="dxa"/>
            <w:vAlign w:val="bottom"/>
          </w:tcPr>
          <w:p>
            <w:pPr>
              <w:spacing w:after="0"/>
              <w:rPr>
                <w:sz w:val="24"/>
                <w:szCs w:val="2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to be filed by Section 13</w:t>
            </w:r>
          </w:p>
        </w:tc>
        <w:tc>
          <w:tcPr>
            <w:tcW w:w="47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or 15(d) of the Securities Exchange Act of 1934 during</w:t>
            </w:r>
          </w:p>
        </w:tc>
        <w:tc>
          <w:tcPr>
            <w:tcW w:w="3280" w:type="dxa"/>
            <w:vAlign w:val="bottom"/>
          </w:tcPr>
          <w:p>
            <w:pPr>
              <w:spacing w:after="0"/>
              <w:rPr>
                <w:sz w:val="14"/>
                <w:szCs w:val="14"/>
                <w:color w:val="auto"/>
              </w:rPr>
            </w:pPr>
          </w:p>
        </w:tc>
      </w:tr>
      <w:tr>
        <w:trPr>
          <w:trHeight w:val="166"/>
        </w:trPr>
        <w:tc>
          <w:tcPr>
            <w:tcW w:w="6900" w:type="dxa"/>
            <w:vAlign w:val="bottom"/>
            <w:gridSpan w:val="6"/>
          </w:tcPr>
          <w:p>
            <w:pPr>
              <w:spacing w:after="0"/>
              <w:rPr>
                <w:sz w:val="20"/>
                <w:szCs w:val="20"/>
                <w:color w:val="auto"/>
              </w:rPr>
            </w:pPr>
            <w:r>
              <w:rPr>
                <w:rFonts w:ascii="Courier New" w:cs="Courier New" w:eastAsia="Courier New" w:hAnsi="Courier New"/>
                <w:sz w:val="14"/>
                <w:szCs w:val="14"/>
                <w:color w:val="auto"/>
              </w:rPr>
              <w:t>the preceding 12 months (or for such shorter period that the Registrant was</w:t>
            </w:r>
          </w:p>
        </w:tc>
        <w:tc>
          <w:tcPr>
            <w:tcW w:w="3280" w:type="dxa"/>
            <w:vAlign w:val="bottom"/>
          </w:tcPr>
          <w:p>
            <w:pPr>
              <w:spacing w:after="0"/>
              <w:rPr>
                <w:sz w:val="14"/>
                <w:szCs w:val="14"/>
                <w:color w:val="auto"/>
              </w:rPr>
            </w:pPr>
          </w:p>
        </w:tc>
      </w:tr>
      <w:tr>
        <w:trPr>
          <w:trHeight w:val="166"/>
        </w:trPr>
        <w:tc>
          <w:tcPr>
            <w:tcW w:w="3060" w:type="dxa"/>
            <w:vAlign w:val="bottom"/>
            <w:gridSpan w:val="4"/>
          </w:tcPr>
          <w:p>
            <w:pPr>
              <w:spacing w:after="0"/>
              <w:rPr>
                <w:sz w:val="20"/>
                <w:szCs w:val="20"/>
                <w:color w:val="auto"/>
              </w:rPr>
            </w:pPr>
            <w:r>
              <w:rPr>
                <w:rFonts w:ascii="Courier New" w:cs="Courier New" w:eastAsia="Courier New" w:hAnsi="Courier New"/>
                <w:sz w:val="14"/>
                <w:szCs w:val="14"/>
                <w:color w:val="auto"/>
              </w:rPr>
              <w:t>required to file such reports), and</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(2) has</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been subject to such filing</w:t>
            </w:r>
          </w:p>
        </w:tc>
        <w:tc>
          <w:tcPr>
            <w:tcW w:w="328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requirements for the past</w:t>
            </w:r>
          </w:p>
        </w:tc>
        <w:tc>
          <w:tcPr>
            <w:tcW w:w="1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90 days. [X] Yes</w:t>
            </w: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 ] No</w:t>
            </w:r>
          </w:p>
        </w:tc>
        <w:tc>
          <w:tcPr>
            <w:tcW w:w="3280" w:type="dxa"/>
            <w:vAlign w:val="bottom"/>
          </w:tcPr>
          <w:p>
            <w:pPr>
              <w:spacing w:after="0"/>
              <w:rPr>
                <w:sz w:val="14"/>
                <w:szCs w:val="14"/>
                <w:color w:val="auto"/>
              </w:rPr>
            </w:pPr>
          </w:p>
        </w:tc>
      </w:tr>
    </w:tbl>
    <w:p>
      <w:pPr>
        <w:spacing w:after="0" w:line="170"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328" w:lineRule="exact"/>
        <w:rPr>
          <w:sz w:val="24"/>
          <w:szCs w:val="24"/>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Indicate by check mark whether the Registrant is an accelerated filer (as defined in Exchange Act Rule 12b-2). [X] Yes [ ] No</w:t>
      </w:r>
    </w:p>
    <w:p>
      <w:pPr>
        <w:spacing w:after="0" w:line="160" w:lineRule="exact"/>
        <w:rPr>
          <w:sz w:val="24"/>
          <w:szCs w:val="24"/>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aggregate market value of the Registrant's common shares held by non-affiliates of the Registrant, based upon the closing sales price of the Registrant's common shares on June 30, 2002 was $1.197 billion.</w:t>
      </w:r>
    </w:p>
    <w:p>
      <w:pPr>
        <w:spacing w:after="0" w:line="163" w:lineRule="exact"/>
        <w:rPr>
          <w:sz w:val="24"/>
          <w:szCs w:val="24"/>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number of Registrant's common shares outstanding on March 20, 2003 was 45,115,950.</w:t>
      </w:r>
    </w:p>
    <w:p>
      <w:pPr>
        <w:sectPr>
          <w:pgSz w:w="11900" w:h="16838" w:orient="portrait"/>
          <w:cols w:equalWidth="0" w:num="1">
            <w:col w:w="10239"/>
          </w:cols>
          <w:pgMar w:left="220" w:top="727" w:right="1440" w:bottom="1440" w:gutter="0" w:footer="0" w:header="0"/>
          <w:type w:val="continuous"/>
        </w:sectPr>
      </w:pPr>
    </w:p>
    <w:bookmarkStart w:id="1" w:name="page2"/>
    <w:bookmarkEnd w:id="1"/>
    <w:p>
      <w:pPr>
        <w:jc w:val="center"/>
        <w:ind w:right="323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Portions of the Registrant's Proxy Statement to be filed with the Securities and Exchange Commission for its 2003 annual meeting of shareholders to be held in May 2003 are incorporated by reference into Part III hereof.</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61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100" w:type="dxa"/>
            <w:vAlign w:val="bottom"/>
          </w:tcPr>
          <w:p>
            <w:pPr>
              <w:jc w:val="center"/>
              <w:ind w:right="3548"/>
              <w:spacing w:after="0"/>
              <w:rPr>
                <w:sz w:val="20"/>
                <w:szCs w:val="20"/>
                <w:color w:val="auto"/>
              </w:rPr>
            </w:pPr>
            <w:r>
              <w:rPr>
                <w:rFonts w:ascii="Courier New" w:cs="Courier New" w:eastAsia="Courier New" w:hAnsi="Courier New"/>
                <w:sz w:val="14"/>
                <w:szCs w:val="14"/>
                <w:color w:val="auto"/>
              </w:rPr>
              <w:t>FEDERAL REALTY INVESTMENT TRUST</w:t>
            </w:r>
          </w:p>
        </w:tc>
        <w:tc>
          <w:tcPr>
            <w:tcW w:w="56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100" w:type="dxa"/>
            <w:vAlign w:val="bottom"/>
          </w:tcPr>
          <w:p>
            <w:pPr>
              <w:ind w:left="1080"/>
              <w:spacing w:after="0"/>
              <w:rPr>
                <w:sz w:val="20"/>
                <w:szCs w:val="20"/>
                <w:color w:val="auto"/>
              </w:rPr>
            </w:pPr>
            <w:r>
              <w:rPr>
                <w:rFonts w:ascii="Courier New" w:cs="Courier New" w:eastAsia="Courier New" w:hAnsi="Courier New"/>
                <w:sz w:val="14"/>
                <w:szCs w:val="14"/>
                <w:color w:val="auto"/>
              </w:rPr>
              <w:t>ANNUAL REPORT ON FORM 10-K</w:t>
            </w:r>
          </w:p>
        </w:tc>
        <w:tc>
          <w:tcPr>
            <w:tcW w:w="560" w:type="dxa"/>
            <w:vAlign w:val="bottom"/>
          </w:tcPr>
          <w:p>
            <w:pPr>
              <w:spacing w:after="0"/>
              <w:rPr>
                <w:sz w:val="14"/>
                <w:szCs w:val="14"/>
                <w:color w:val="auto"/>
              </w:rPr>
            </w:pPr>
          </w:p>
        </w:tc>
      </w:tr>
      <w:tr>
        <w:trPr>
          <w:trHeight w:val="331"/>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00" w:type="dxa"/>
            <w:vAlign w:val="bottom"/>
          </w:tcPr>
          <w:p>
            <w:pPr>
              <w:jc w:val="center"/>
              <w:ind w:right="3568"/>
              <w:spacing w:after="0"/>
              <w:rPr>
                <w:sz w:val="20"/>
                <w:szCs w:val="20"/>
                <w:color w:val="auto"/>
              </w:rPr>
            </w:pPr>
            <w:r>
              <w:rPr>
                <w:rFonts w:ascii="Courier New" w:cs="Courier New" w:eastAsia="Courier New" w:hAnsi="Courier New"/>
                <w:sz w:val="14"/>
                <w:szCs w:val="14"/>
                <w:color w:val="auto"/>
              </w:rPr>
              <w:t>FISCAL YEAR ENDED DECEMBER 31, 2002</w:t>
            </w:r>
          </w:p>
        </w:tc>
        <w:tc>
          <w:tcPr>
            <w:tcW w:w="56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00" w:type="dxa"/>
            <w:vAlign w:val="bottom"/>
          </w:tcPr>
          <w:p>
            <w:pPr>
              <w:jc w:val="center"/>
              <w:ind w:right="3568"/>
              <w:spacing w:after="0"/>
              <w:rPr>
                <w:sz w:val="20"/>
                <w:szCs w:val="20"/>
                <w:color w:val="auto"/>
              </w:rPr>
            </w:pPr>
            <w:r>
              <w:rPr>
                <w:rFonts w:ascii="Courier New" w:cs="Courier New" w:eastAsia="Courier New" w:hAnsi="Courier New"/>
                <w:sz w:val="14"/>
                <w:szCs w:val="14"/>
                <w:color w:val="auto"/>
              </w:rPr>
              <w:t>TABLE OF CONTENTS</w:t>
            </w:r>
          </w:p>
        </w:tc>
        <w:tc>
          <w:tcPr>
            <w:tcW w:w="560" w:type="dxa"/>
            <w:vAlign w:val="bottom"/>
          </w:tcPr>
          <w:p>
            <w:pPr>
              <w:spacing w:after="0"/>
              <w:rPr>
                <w:sz w:val="24"/>
                <w:szCs w:val="24"/>
                <w:color w:val="auto"/>
              </w:rPr>
            </w:pPr>
          </w:p>
        </w:tc>
      </w:tr>
      <w:tr>
        <w:trPr>
          <w:trHeight w:val="663"/>
        </w:trPr>
        <w:tc>
          <w:tcPr>
            <w:tcW w:w="70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5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Properties................................................................................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Submission of Matters to a Vote of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PART II</w:t>
            </w:r>
          </w:p>
        </w:tc>
        <w:tc>
          <w:tcPr>
            <w:tcW w:w="5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Market for Our Common Equity and Related Shareholder Matters..............................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Selected Financial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7A.</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Changes In and Disagreements with Accountants on Accounting and Financial Disclosure......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F35</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5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Trustees and Executive Officers...........................................................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F37</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Executive Compensation....................................................................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F37</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Security Ownership of Certain Beneficial Owners and Management and Related</w:t>
            </w:r>
          </w:p>
        </w:tc>
        <w:tc>
          <w:tcPr>
            <w:tcW w:w="56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Shareholder Matters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F37</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F38</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Controls and Procedures...................................................................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F38</w:t>
            </w: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PART IV</w:t>
            </w:r>
          </w:p>
        </w:tc>
        <w:tc>
          <w:tcPr>
            <w:tcW w:w="5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1"/>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8100" w:type="dxa"/>
            <w:vAlign w:val="bottom"/>
          </w:tcPr>
          <w:p>
            <w:pPr>
              <w:ind w:left="40"/>
              <w:spacing w:after="0"/>
              <w:rPr>
                <w:sz w:val="20"/>
                <w:szCs w:val="20"/>
                <w:color w:val="auto"/>
              </w:rPr>
            </w:pPr>
            <w:r>
              <w:rPr>
                <w:rFonts w:ascii="Courier New" w:cs="Courier New" w:eastAsia="Courier New" w:hAnsi="Courier New"/>
                <w:sz w:val="14"/>
                <w:szCs w:val="14"/>
                <w:color w:val="auto"/>
              </w:rPr>
              <w:t>Exhibits, Financial Statement Schedules, and Reports on Form 8-K..........................</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F38</w:t>
            </w:r>
          </w:p>
        </w:tc>
      </w:tr>
      <w:tr>
        <w:trPr>
          <w:trHeight w:val="331"/>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8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F43</w:t>
            </w:r>
          </w:p>
        </w:tc>
      </w:tr>
      <w:tr>
        <w:trPr>
          <w:trHeight w:val="331"/>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CERTIFICATIONS</w:t>
            </w:r>
          </w:p>
        </w:tc>
        <w:tc>
          <w:tcPr>
            <w:tcW w:w="8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F47</w:t>
            </w:r>
          </w:p>
        </w:tc>
      </w:tr>
      <w:tr>
        <w:trPr>
          <w:trHeight w:val="497"/>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00" w:type="dxa"/>
            <w:vAlign w:val="bottom"/>
          </w:tcPr>
          <w:p>
            <w:pPr>
              <w:jc w:val="center"/>
              <w:ind w:right="3548"/>
              <w:spacing w:after="0"/>
              <w:rPr>
                <w:sz w:val="20"/>
                <w:szCs w:val="20"/>
                <w:color w:val="auto"/>
              </w:rPr>
            </w:pPr>
            <w:r>
              <w:rPr>
                <w:rFonts w:ascii="Courier New" w:cs="Courier New" w:eastAsia="Courier New" w:hAnsi="Courier New"/>
                <w:sz w:val="14"/>
                <w:szCs w:val="14"/>
                <w:color w:val="auto"/>
              </w:rPr>
              <w:t>- 3 -</w:t>
            </w:r>
          </w:p>
        </w:tc>
        <w:tc>
          <w:tcPr>
            <w:tcW w:w="5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 w:name="page4"/>
    <w:bookmarkEnd w:id="3"/>
    <w:p>
      <w:pPr>
        <w:ind w:left="3200"/>
        <w:spacing w:after="0"/>
        <w:rPr>
          <w:sz w:val="20"/>
          <w:szCs w:val="20"/>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References to "we," "us," "our" or the "Trust" refer to Federal Realty Investment Trust and our business and operations conducted through our directly or indirectly owned subsidiaries.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an equity real estate investment trust specializing in the ownership, management, development and redevelopment of high quality retail and mixed-use properties. As of December 31, 2002, we owned or had an interest in 58 community and neighborhood shopping centers comprising over 12 million square feet, primarily located in densely populated and affluent communities throughout the Northeast and Mid-Atlantic United States. In addition, we owned 55 urban and retail mixed-use properties comprising over 2 million square feet and one apartment complex, all located in strategic metropolitan markets across the United States. Our properties, excluding Santana Row, see "Item 7. Management's Discussion and Analysis of Financial Condition and Results of Operations - Santana Row", were 95.5% leased at December 31, 2002 and December 31, 2001. Including Santana Row, we were 94.7% leased at December 31, 2002. We have paid quarterly dividends to our shareholders continuously since our founding in 1962, and have increased our dividend rate for 35 consecutive years.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operate our business on an asset management model, where small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and operates largely autonomously with respect to day to day operating decisions.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Our principal executive offices are located at 1626 East Jefferson Street, Rockville, Maryland 20852 and our telephone number is (301) 998-8100. Our Web site address is www.federalrealty.com. The information contained in our Web site is not a part of this report.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OBJECTIVES AND STRATEGIES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Our primary business objective is to own, manage, redevelop and acquire a portfolio of commercial retail properties, with the dominant property type being grocery anchored community and neighborhood shopping centers, that will:</w:t>
      </w:r>
    </w:p>
    <w:p>
      <w:pPr>
        <w:spacing w:after="0" w:line="163" w:lineRule="exact"/>
        <w:rPr>
          <w:sz w:val="20"/>
          <w:szCs w:val="20"/>
          <w:color w:val="auto"/>
        </w:rPr>
      </w:pPr>
    </w:p>
    <w:p>
      <w:pPr>
        <w:ind w:left="860" w:right="4279" w:hanging="421"/>
        <w:spacing w:after="0" w:line="255" w:lineRule="auto"/>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increasing cash flow for quarterly distributions to shareholders;</w:t>
      </w:r>
    </w:p>
    <w:p>
      <w:pPr>
        <w:spacing w:after="0" w:line="160" w:lineRule="exact"/>
        <w:rPr>
          <w:sz w:val="20"/>
          <w:szCs w:val="20"/>
          <w:color w:val="auto"/>
        </w:rPr>
      </w:pPr>
    </w:p>
    <w:p>
      <w:pPr>
        <w:ind w:left="860" w:hanging="421"/>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 investor capital;</w:t>
      </w:r>
    </w:p>
    <w:p>
      <w:pPr>
        <w:spacing w:after="0" w:line="173" w:lineRule="exact"/>
        <w:rPr>
          <w:sz w:val="20"/>
          <w:szCs w:val="20"/>
          <w:color w:val="auto"/>
        </w:rPr>
      </w:pPr>
    </w:p>
    <w:p>
      <w:pPr>
        <w:ind w:left="860" w:hanging="421"/>
        <w:spacing w:after="0"/>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potential for capital appreciation; and</w:t>
      </w:r>
    </w:p>
    <w:p>
      <w:pPr>
        <w:spacing w:after="0" w:line="173" w:lineRule="exact"/>
        <w:rPr>
          <w:sz w:val="20"/>
          <w:szCs w:val="20"/>
          <w:color w:val="auto"/>
        </w:rPr>
      </w:pPr>
    </w:p>
    <w:p>
      <w:pPr>
        <w:ind w:left="860" w:hanging="421"/>
        <w:spacing w:after="0"/>
        <w:tabs>
          <w:tab w:leader="none" w:pos="8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generate high internal growth as compared to our retail REIT peers.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Our traditional focus has been on grocery anchored community and neighborhood shopping centers. Late in 1994, recognizing a trend of consumer shopping preferences and retailer expansion to main streets, we expanded our investment strategy to include "street retail" and "mixed-use" properties. The mixed-use properties are typically centered around a retail component but may also include office, residential and hotel components, in established main street shopping areas. In addition, from 1997 through 2001 we undertook the ground-up development of mixed-use projects in urban areas that center around the retail component. 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616" w:right="1440" w:bottom="1440" w:gutter="0" w:footer="0" w:header="0"/>
        </w:sectPr>
      </w:pPr>
    </w:p>
    <w:bookmarkStart w:id="4" w:name="page5"/>
    <w:bookmarkEnd w:id="4"/>
    <w:p>
      <w:pPr>
        <w:ind w:right="3339"/>
        <w:spacing w:after="0" w:line="251" w:lineRule="auto"/>
        <w:rPr>
          <w:sz w:val="20"/>
          <w:szCs w:val="20"/>
          <w:color w:val="auto"/>
        </w:rPr>
      </w:pPr>
      <w:r>
        <w:rPr>
          <w:rFonts w:ascii="Courier New" w:cs="Courier New" w:eastAsia="Courier New" w:hAnsi="Courier New"/>
          <w:sz w:val="14"/>
          <w:szCs w:val="14"/>
          <w:color w:val="auto"/>
        </w:rPr>
        <w:t>February 28, 2002, our Board of Trustees approved the adoption of a business plan which returned our primary focus to our traditional business of owning, managing, redeveloping and acquiring community and neighborhood shopping centers anchored by grocery stores, drug stores or high volume, value oriented retailers that provide consumer necessities. We will complete our mixed-use projects in San Jose, California and Bethesda, Maryland, but will not pursue any further new, large-scale ground-up development projects. The Pentagon Row mixed-use development project, located in Arlington, Virginia, was completed during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STRATEGIES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Our core operating strategy is to aggressively manage our properties to maintain high occupancy rates and a strong diverse base of tenants. Our properties are generally located in some of the most densely populated and affluent areas of the country. These strong demographics help our tenants generate sales which enables us to maintain higher occupancy rates, high rental rates, and consistent rental rate growth, all of which lead to increased value of our portfolio. Our operating strategies also include:</w:t>
      </w:r>
    </w:p>
    <w:p>
      <w:pPr>
        <w:spacing w:after="0" w:line="164" w:lineRule="exact"/>
        <w:rPr>
          <w:sz w:val="20"/>
          <w:szCs w:val="20"/>
          <w:color w:val="auto"/>
        </w:rPr>
      </w:pPr>
    </w:p>
    <w:p>
      <w:pPr>
        <w:ind w:left="860" w:right="3599" w:hanging="421"/>
        <w:spacing w:after="0" w:line="255" w:lineRule="auto"/>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maintaining a diversified tenant base, thereby limiting exposure to any one tenant's financial difficulties;</w:t>
      </w:r>
    </w:p>
    <w:p>
      <w:pPr>
        <w:spacing w:after="0" w:line="160" w:lineRule="exact"/>
        <w:rPr>
          <w:sz w:val="20"/>
          <w:szCs w:val="20"/>
          <w:color w:val="auto"/>
        </w:rPr>
      </w:pPr>
    </w:p>
    <w:p>
      <w:pPr>
        <w:ind w:left="860" w:right="3419" w:hanging="421"/>
        <w:spacing w:after="0" w:line="252"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monitoring the credit mix of our tenant base to achieve a balance of strong national and regional credit tenants with more local specialty tenants;</w:t>
      </w:r>
    </w:p>
    <w:p>
      <w:pPr>
        <w:spacing w:after="0" w:line="163" w:lineRule="exact"/>
        <w:rPr>
          <w:sz w:val="20"/>
          <w:szCs w:val="20"/>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minimizing overhead and operating costs;</w:t>
      </w:r>
    </w:p>
    <w:p>
      <w:pPr>
        <w:spacing w:after="0" w:line="173" w:lineRule="exact"/>
        <w:rPr>
          <w:sz w:val="20"/>
          <w:szCs w:val="20"/>
          <w:color w:val="auto"/>
        </w:rPr>
      </w:pPr>
    </w:p>
    <w:p>
      <w:pPr>
        <w:ind w:left="860" w:right="3339" w:hanging="421"/>
        <w:spacing w:after="0" w:line="252"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monitoring the physical appearance of our properties and the construction quality, condition and design of the buildings and other improvements located on our properties to maximize their effectiveness in their individual markets;</w:t>
      </w:r>
    </w:p>
    <w:p>
      <w:pPr>
        <w:spacing w:after="0" w:line="162" w:lineRule="exact"/>
        <w:rPr>
          <w:sz w:val="20"/>
          <w:szCs w:val="20"/>
          <w:color w:val="auto"/>
        </w:rPr>
      </w:pPr>
    </w:p>
    <w:p>
      <w:pPr>
        <w:ind w:left="860" w:right="3419" w:hanging="421"/>
        <w:spacing w:after="0" w:line="255" w:lineRule="auto"/>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developing local and regional market expertise in order to capitalize on market and retailing trends;</w:t>
      </w:r>
    </w:p>
    <w:p>
      <w:pPr>
        <w:spacing w:after="0" w:line="160" w:lineRule="exact"/>
        <w:rPr>
          <w:sz w:val="20"/>
          <w:szCs w:val="20"/>
          <w:color w:val="auto"/>
        </w:rPr>
      </w:pPr>
    </w:p>
    <w:p>
      <w:pPr>
        <w:ind w:left="860" w:right="3339" w:hanging="421"/>
        <w:spacing w:after="0" w:line="252" w:lineRule="auto"/>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leveraging the contacts and experience of our management team to build and maintain long-term relationships with tenants and financing sources;</w:t>
      </w:r>
    </w:p>
    <w:p>
      <w:pPr>
        <w:spacing w:after="0" w:line="163" w:lineRule="exact"/>
        <w:rPr>
          <w:sz w:val="20"/>
          <w:szCs w:val="20"/>
          <w:color w:val="auto"/>
        </w:rPr>
      </w:pPr>
    </w:p>
    <w:p>
      <w:pPr>
        <w:ind w:left="860" w:right="3519" w:hanging="421"/>
        <w:spacing w:after="0" w:line="255" w:lineRule="auto"/>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rental rates through the renewal or releasing of expiring leases at higher rental rates and limiting vacancy; and</w:t>
      </w:r>
    </w:p>
    <w:p>
      <w:pPr>
        <w:spacing w:after="0" w:line="160" w:lineRule="exact"/>
        <w:rPr>
          <w:sz w:val="20"/>
          <w:szCs w:val="20"/>
          <w:color w:val="auto"/>
        </w:rPr>
      </w:pPr>
    </w:p>
    <w:p>
      <w:pPr>
        <w:ind w:left="860" w:hanging="421"/>
        <w:spacing w:after="0"/>
        <w:tabs>
          <w:tab w:leader="none" w:pos="8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exceptional customer service.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STRATEGIES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investment strategy calls for deploying capital at risk-adjusted rates of return that exceed our weighted average cost of capital in projects that have potential for going-forward net income growth equal to, or in excess of, that or our core portfolio of properties. Our investments primarily fall into one of following three categories:</w:t>
      </w:r>
    </w:p>
    <w:p>
      <w:pPr>
        <w:spacing w:after="0" w:line="165" w:lineRule="exact"/>
        <w:rPr>
          <w:sz w:val="20"/>
          <w:szCs w:val="20"/>
          <w:color w:val="auto"/>
        </w:rPr>
      </w:pPr>
    </w:p>
    <w:p>
      <w:pPr>
        <w:ind w:left="860" w:right="3419" w:hanging="421"/>
        <w:spacing w:after="0" w:line="252" w:lineRule="auto"/>
        <w:tabs>
          <w:tab w:leader="none" w:pos="8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renovate, expand, reconfigure and/or retenant our existing properties to take advantage of under utilized land and increase our internal growth rate;</w:t>
      </w:r>
    </w:p>
    <w:p>
      <w:pPr>
        <w:spacing w:after="0" w:line="163" w:lineRule="exact"/>
        <w:rPr>
          <w:sz w:val="20"/>
          <w:szCs w:val="20"/>
          <w:color w:val="auto"/>
        </w:rPr>
      </w:pPr>
    </w:p>
    <w:p>
      <w:pPr>
        <w:ind w:left="860" w:right="3339" w:hanging="421"/>
        <w:spacing w:after="0" w:line="252" w:lineRule="auto"/>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anchor tenant spaces with tenants capable or producing higher sales, and therefore, paying higher rents than the prior tenant. In certain cases, this may take the form of expanding an existing tenant that is performing well but is occupying an outdated store format; and</w:t>
      </w:r>
    </w:p>
    <w:p>
      <w:pPr>
        <w:spacing w:after="0" w:line="162" w:lineRule="exact"/>
        <w:rPr>
          <w:sz w:val="20"/>
          <w:szCs w:val="20"/>
          <w:color w:val="auto"/>
        </w:rPr>
      </w:pPr>
    </w:p>
    <w:p>
      <w:pPr>
        <w:ind w:left="860" w:right="3339" w:hanging="421"/>
        <w:spacing w:after="0" w:line="251" w:lineRule="auto"/>
        <w:tabs>
          <w:tab w:leader="none" w:pos="8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 community and neighborhood shopping centers, located in densely populated or growing affluent areas where barriers to entry or further development are high, with possibilities for enhancing their operating performance through renovation, expansion, reconfiguration and/or retenanting.</w:t>
      </w:r>
    </w:p>
    <w:p>
      <w:pPr>
        <w:spacing w:after="0" w:line="164" w:lineRule="exact"/>
        <w:rPr>
          <w:rFonts w:ascii="Courier New" w:cs="Courier New" w:eastAsia="Courier New" w:hAnsi="Courier New"/>
          <w:sz w:val="14"/>
          <w:szCs w:val="14"/>
          <w:color w:val="auto"/>
        </w:rPr>
      </w:pPr>
    </w:p>
    <w:p>
      <w:pPr>
        <w:ind w:left="3460" w:hanging="179"/>
        <w:spacing w:after="0"/>
        <w:tabs>
          <w:tab w:leader="none" w:pos="34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w:t>
      </w:r>
    </w:p>
    <w:p>
      <w:pPr>
        <w:sectPr>
          <w:pgSz w:w="11900" w:h="16838" w:orient="portrait"/>
          <w:cols w:equalWidth="0" w:num="1">
            <w:col w:w="10239"/>
          </w:cols>
          <w:pgMar w:left="220" w:top="61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INVESTMENT CRITERIA</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When we evaluate potential redevelopments, retenanting, expansion and acquisition opportunities, we consider such factors as:</w:t>
      </w:r>
    </w:p>
    <w:p>
      <w:pPr>
        <w:spacing w:after="0" w:line="160" w:lineRule="exact"/>
        <w:rPr>
          <w:sz w:val="20"/>
          <w:szCs w:val="20"/>
          <w:color w:val="auto"/>
        </w:rPr>
      </w:pPr>
    </w:p>
    <w:p>
      <w:pPr>
        <w:ind w:left="860" w:right="3339" w:hanging="421"/>
        <w:spacing w:after="0" w:line="255"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expected returns in relation to our cost of capital as well as the anticipated risk we will face in achieving the expected returns;</w:t>
      </w:r>
    </w:p>
    <w:p>
      <w:pPr>
        <w:spacing w:after="0" w:line="160" w:lineRule="exact"/>
        <w:rPr>
          <w:sz w:val="20"/>
          <w:szCs w:val="20"/>
          <w:color w:val="auto"/>
        </w:rPr>
      </w:pPr>
    </w:p>
    <w:p>
      <w:pPr>
        <w:ind w:left="860" w:right="3859" w:hanging="421"/>
        <w:spacing w:after="0" w:line="255" w:lineRule="auto"/>
        <w:tabs>
          <w:tab w:leader="none" w:pos="8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mix at the property, tenant sales performance and the creditworthiness of those tenants;</w:t>
      </w:r>
    </w:p>
    <w:p>
      <w:pPr>
        <w:spacing w:after="0" w:line="160" w:lineRule="exact"/>
        <w:rPr>
          <w:sz w:val="20"/>
          <w:szCs w:val="20"/>
          <w:color w:val="auto"/>
        </w:rPr>
      </w:pPr>
    </w:p>
    <w:p>
      <w:pPr>
        <w:ind w:left="860" w:right="3519" w:hanging="421"/>
        <w:spacing w:after="0" w:line="252" w:lineRule="auto"/>
        <w:tabs>
          <w:tab w:leader="none" w:pos="8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geographic area in which the property is located, including the population density and household incomes, as well as the density and income trends in that geographic area;</w:t>
      </w:r>
    </w:p>
    <w:p>
      <w:pPr>
        <w:spacing w:after="0" w:line="163" w:lineRule="exact"/>
        <w:rPr>
          <w:sz w:val="20"/>
          <w:szCs w:val="20"/>
          <w:color w:val="auto"/>
        </w:rPr>
      </w:pPr>
    </w:p>
    <w:p>
      <w:pPr>
        <w:ind w:left="860" w:right="3339" w:hanging="421"/>
        <w:spacing w:after="0" w:line="255" w:lineRule="auto"/>
        <w:tabs>
          <w:tab w:leader="none" w:pos="8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market value of the land, buildings and other improvements and the potential for increasing those market values;</w:t>
      </w:r>
    </w:p>
    <w:p>
      <w:pPr>
        <w:spacing w:after="0" w:line="160" w:lineRule="exact"/>
        <w:rPr>
          <w:sz w:val="20"/>
          <w:szCs w:val="20"/>
          <w:color w:val="auto"/>
        </w:rPr>
      </w:pPr>
    </w:p>
    <w:p>
      <w:pPr>
        <w:ind w:left="860" w:right="3419" w:hanging="421"/>
        <w:spacing w:after="0" w:line="255" w:lineRule="auto"/>
        <w:tabs>
          <w:tab w:leader="none" w:pos="8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physical condition of the land, buildings and other improvements, including the structural and environmental condition;</w:t>
      </w:r>
    </w:p>
    <w:p>
      <w:pPr>
        <w:spacing w:after="0" w:line="160" w:lineRule="exact"/>
        <w:rPr>
          <w:sz w:val="20"/>
          <w:szCs w:val="20"/>
          <w:color w:val="auto"/>
        </w:rPr>
      </w:pPr>
    </w:p>
    <w:p>
      <w:pPr>
        <w:ind w:left="860" w:right="3339" w:hanging="421"/>
        <w:spacing w:after="0" w:line="252" w:lineRule="auto"/>
        <w:tabs>
          <w:tab w:leader="none" w:pos="8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conditions in the vicinity of the property, including competition for tenants and the ability to create competing properties through new construction or through renovation; and</w:t>
      </w:r>
    </w:p>
    <w:p>
      <w:pPr>
        <w:spacing w:after="0" w:line="163" w:lineRule="exact"/>
        <w:rPr>
          <w:sz w:val="20"/>
          <w:szCs w:val="20"/>
          <w:color w:val="auto"/>
        </w:rPr>
      </w:pPr>
    </w:p>
    <w:p>
      <w:pPr>
        <w:ind w:left="860" w:right="3419" w:hanging="421"/>
        <w:spacing w:after="0" w:line="252" w:lineRule="auto"/>
        <w:tabs>
          <w:tab w:leader="none" w:pos="8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access to and visibility of the property and potential for new, widened or realigned roadways on the properties trade area, which may effect access and commuting and shopping patterns.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STRATEGIES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Our financing strategies are designed to maintain a strong balance sheet while maintaining sufficient flexibility to fund our operating and investing activities in the most cost efficient way possible. Our financing strategies include:</w:t>
      </w:r>
    </w:p>
    <w:p>
      <w:pPr>
        <w:spacing w:after="0" w:line="162" w:lineRule="exact"/>
        <w:rPr>
          <w:sz w:val="20"/>
          <w:szCs w:val="20"/>
          <w:color w:val="auto"/>
        </w:rPr>
      </w:pPr>
    </w:p>
    <w:p>
      <w:pPr>
        <w:ind w:left="860" w:right="3519" w:hanging="421"/>
        <w:spacing w:after="0" w:line="255" w:lineRule="auto"/>
        <w:tabs>
          <w:tab w:leader="none" w:pos="8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taking advantage of market opportunities to refinance existing debt, reduce interest costs and manage our debt maturity schedule;</w:t>
      </w:r>
    </w:p>
    <w:p>
      <w:pPr>
        <w:spacing w:after="0" w:line="160" w:lineRule="exact"/>
        <w:rPr>
          <w:sz w:val="20"/>
          <w:szCs w:val="20"/>
          <w:color w:val="auto"/>
        </w:rPr>
      </w:pPr>
    </w:p>
    <w:p>
      <w:pPr>
        <w:ind w:left="860" w:hanging="421"/>
        <w:spacing w:after="0"/>
        <w:tabs>
          <w:tab w:leader="none" w:pos="8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actively managing our exposure to variable-rate debt;</w:t>
      </w:r>
    </w:p>
    <w:p>
      <w:pPr>
        <w:spacing w:after="0" w:line="173" w:lineRule="exact"/>
        <w:rPr>
          <w:sz w:val="20"/>
          <w:szCs w:val="20"/>
          <w:color w:val="auto"/>
        </w:rPr>
      </w:pPr>
    </w:p>
    <w:p>
      <w:pPr>
        <w:ind w:left="860" w:right="3519" w:hanging="421"/>
        <w:spacing w:after="0" w:line="255" w:lineRule="auto"/>
        <w:tabs>
          <w:tab w:leader="none" w:pos="8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maintaining a prudent level of overall leverage and an adequate pool of unencumbered properties;</w:t>
      </w:r>
    </w:p>
    <w:p>
      <w:pPr>
        <w:spacing w:after="0" w:line="160" w:lineRule="exact"/>
        <w:rPr>
          <w:sz w:val="20"/>
          <w:szCs w:val="20"/>
          <w:color w:val="auto"/>
        </w:rPr>
      </w:pPr>
    </w:p>
    <w:p>
      <w:pPr>
        <w:ind w:left="860" w:right="3519" w:hanging="421"/>
        <w:spacing w:after="0" w:line="252"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utilizing the most advantageous source of capital available to us to finance redevelopment and acquisition opportunities, which may include:</w:t>
      </w:r>
    </w:p>
    <w:p>
      <w:pPr>
        <w:spacing w:after="0" w:line="162" w:lineRule="exact"/>
        <w:rPr>
          <w:rFonts w:ascii="Courier New" w:cs="Courier New" w:eastAsia="Courier New" w:hAnsi="Courier New"/>
          <w:sz w:val="14"/>
          <w:szCs w:val="14"/>
          <w:color w:val="auto"/>
        </w:rPr>
      </w:pPr>
    </w:p>
    <w:p>
      <w:pPr>
        <w:ind w:left="1300" w:right="3339" w:hanging="43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equity or debt securities through public offerings or private placements,</w:t>
      </w:r>
    </w:p>
    <w:p>
      <w:pPr>
        <w:spacing w:after="0" w:line="159" w:lineRule="exact"/>
        <w:rPr>
          <w:rFonts w:ascii="Courier New" w:cs="Courier New" w:eastAsia="Courier New" w:hAnsi="Courier New"/>
          <w:sz w:val="14"/>
          <w:szCs w:val="14"/>
          <w:color w:val="auto"/>
        </w:rPr>
      </w:pPr>
    </w:p>
    <w:p>
      <w:pPr>
        <w:ind w:left="1300" w:right="3859" w:hanging="43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of indebtedness through secured or unsecured borrowings,</w:t>
      </w:r>
    </w:p>
    <w:p>
      <w:pPr>
        <w:spacing w:after="0" w:line="159" w:lineRule="exact"/>
        <w:rPr>
          <w:rFonts w:ascii="Courier New" w:cs="Courier New" w:eastAsia="Courier New" w:hAnsi="Courier New"/>
          <w:sz w:val="14"/>
          <w:szCs w:val="14"/>
          <w:color w:val="auto"/>
        </w:rPr>
      </w:pPr>
    </w:p>
    <w:p>
      <w:pPr>
        <w:jc w:val="both"/>
        <w:ind w:left="1300" w:right="3419" w:hanging="43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of operating units in one of our "downREIT partnerships," which generally receive the same distributions as our common shares and may be convertible into our common shares, in exchange for a tax deferred contribution of property, or</w:t>
      </w:r>
    </w:p>
    <w:p>
      <w:pPr>
        <w:spacing w:after="0" w:line="16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use of joint venture arrangements; and</w:t>
      </w:r>
    </w:p>
    <w:p>
      <w:pPr>
        <w:spacing w:after="0" w:line="173" w:lineRule="exact"/>
        <w:rPr>
          <w:sz w:val="20"/>
          <w:szCs w:val="20"/>
          <w:color w:val="auto"/>
        </w:rPr>
      </w:pPr>
    </w:p>
    <w:p>
      <w:pPr>
        <w:ind w:left="860" w:right="3339" w:hanging="421"/>
        <w:spacing w:after="0" w:line="252"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properties that have limited growth potential or are not a strategic fit within our overall portfolio and redeploying the proceeds to redevelop, retenant and/or expand our existing properties, acquire new properties or reduce debt.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At December 31, 2002, we had 270 full-time employees. None of the employees is represented by a collective bargaining unit. We believe that the relationship with our employees is good.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10239"/>
          </w:cols>
          <w:pgMar w:left="220"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TAX STATUS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We elected under Section 856(c) of the Internal Revenue Code of 1986, as amended, which we refer to as the Code, to be taxed as a REIT under the Code beginning with our taxable year ended December 31, 1962. As a REIT we are generally not subject to federal income tax on REIT taxable income that we distribute to our shareholders. Under the Code, REITs are subject to numerous organizational and operational requirements, including the requirement to distribute at least 90% of REIT taxable income each year. We will be subject to federal income tax on our REIT taxable income (including any applicable alternative minimum tax) at regular corporate rates if we fail to qualify as a REIT for tax purposes in any taxable year. We will also not be permitted to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REIT taxable income. In addition, certain of our subsidiaries are subject to federal, state and local income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REGULATIONS AFFECTING OUR PROPERTIES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We and our properties are subject to a variety of federal, state and local environmental, health, safety and similar laws, including:</w:t>
      </w:r>
    </w:p>
    <w:p>
      <w:pPr>
        <w:spacing w:after="0" w:line="160" w:lineRule="exact"/>
        <w:rPr>
          <w:sz w:val="20"/>
          <w:szCs w:val="20"/>
          <w:color w:val="auto"/>
        </w:rPr>
      </w:pPr>
    </w:p>
    <w:p>
      <w:pPr>
        <w:ind w:left="860" w:right="3419" w:hanging="421"/>
        <w:spacing w:after="0" w:line="255" w:lineRule="auto"/>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Comprehensive Environmental Response, Compensation, and Liability Act of 1980, as amended, which we refer to as CERCLA;</w:t>
      </w:r>
    </w:p>
    <w:p>
      <w:pPr>
        <w:spacing w:after="0" w:line="160" w:lineRule="exact"/>
        <w:rPr>
          <w:sz w:val="20"/>
          <w:szCs w:val="20"/>
          <w:color w:val="auto"/>
        </w:rPr>
      </w:pPr>
    </w:p>
    <w:p>
      <w:pPr>
        <w:ind w:left="860" w:hanging="421"/>
        <w:spacing w:after="0"/>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Resource Conservation &amp; Recovery Act;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Clean Water Act;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Clean Air Act;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Toxic Substances Control Act;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Occupational Safety &amp; Health Act; and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Americans with Disabilities Act.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application of these laws to a specific property that we own will be dependent on a variety of property-specific circumstances, including the former uses of the property, the building materials used at each property and the physical layout of each property. Under certain environmental laws, principally CERCLA, a current or previous owner or operator of real estate may be required to investigate and clean up certain hazardous or toxic substances, asbestos-containing materials, or petroleum product releases at the property. They may also be held liable to a governmental entity or third parties for property damage and for investigation and clean up costs such parties incur in connection with the contamination, whether or not the owner or operator knew of, or was responsible for, the contamination. In addition, some environmental laws create a lien on the contaminated site in favor of the government for damages and costs it incurs in connection with the contamination. The owner or operator of a site also may be liable under common law to third parties for damages and injuries resulting from environmental contamination emanating from the site. Such costs or liabilities could exceed the value of the affected real estate. The presence of contamination or the failure to remediate contamination may adversely affect the owner's ability to sell or lease real estate or to borrow using the real estate as collateral.</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- 7 -</w:t>
      </w:r>
    </w:p>
    <w:p>
      <w:pPr>
        <w:sectPr>
          <w:pgSz w:w="11900" w:h="16838" w:orient="portrait"/>
          <w:cols w:equalWidth="0" w:num="1">
            <w:col w:w="10239"/>
          </w:cols>
          <w:pgMar w:left="220" w:top="616" w:right="1440" w:bottom="1440" w:gutter="0" w:footer="0" w:header="0"/>
        </w:sectPr>
      </w:pPr>
    </w:p>
    <w:bookmarkStart w:id="7" w:name="page8"/>
    <w:bookmarkEnd w:id="7"/>
    <w:p>
      <w:pPr>
        <w:ind w:right="3339" w:firstLine="431"/>
        <w:spacing w:after="0" w:line="251" w:lineRule="auto"/>
        <w:rPr>
          <w:sz w:val="20"/>
          <w:szCs w:val="20"/>
          <w:color w:val="auto"/>
        </w:rPr>
      </w:pPr>
      <w:r>
        <w:rPr>
          <w:rFonts w:ascii="Courier New" w:cs="Courier New" w:eastAsia="Courier New" w:hAnsi="Courier New"/>
          <w:sz w:val="14"/>
          <w:szCs w:val="14"/>
          <w:color w:val="auto"/>
        </w:rPr>
        <w:t>Our compliance with existing environmental, health, safety and similar laws has not had a material adverse effect on our financial condition and results of operations, and management does not believe it will have such an impact in the future. In addition, we have not incurred, and do not expect to incur any material costs or liabilities due to environmental contamination at properties we currently own or have owned in the past. However, we cannot predict the impact of new or changed laws or regulations on our current properties or on properties that we may acquire in the future. We have no current plans for substantial capital expenditures with respect to compliance with environmental, health, safety and similar laws.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Numerous commercial developers and real estate companies compete with us in seeking tenants for properties and properties for acquisition. Some of these competitors may posses greater capital resources than we do, however, no single competitor or group of competitors in any of our chosen markets is believed to be dominant in that market. This competition may:</w:t>
      </w:r>
    </w:p>
    <w:p>
      <w:pPr>
        <w:spacing w:after="0" w:line="165" w:lineRule="exact"/>
        <w:rPr>
          <w:sz w:val="20"/>
          <w:szCs w:val="20"/>
          <w:color w:val="auto"/>
        </w:rPr>
      </w:pPr>
    </w:p>
    <w:p>
      <w:pPr>
        <w:ind w:left="860" w:hanging="421"/>
        <w:spacing w:after="0"/>
        <w:tabs>
          <w:tab w:leader="none" w:pos="8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properties available for acquisition or development;</w:t>
      </w:r>
    </w:p>
    <w:p>
      <w:pPr>
        <w:spacing w:after="0" w:line="173" w:lineRule="exact"/>
        <w:rPr>
          <w:sz w:val="20"/>
          <w:szCs w:val="20"/>
          <w:color w:val="auto"/>
        </w:rPr>
      </w:pPr>
    </w:p>
    <w:p>
      <w:pPr>
        <w:ind w:left="860" w:right="4199" w:hanging="421"/>
        <w:spacing w:after="0" w:line="255" w:lineRule="auto"/>
        <w:tabs>
          <w:tab w:leader="none" w:pos="8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cost of properties available for acquisition or development;</w:t>
      </w:r>
    </w:p>
    <w:p>
      <w:pPr>
        <w:spacing w:after="0" w:line="160" w:lineRule="exact"/>
        <w:rPr>
          <w:sz w:val="20"/>
          <w:szCs w:val="20"/>
          <w:color w:val="auto"/>
        </w:rPr>
      </w:pPr>
    </w:p>
    <w:p>
      <w:pPr>
        <w:ind w:left="860" w:hanging="421"/>
        <w:spacing w:after="0"/>
        <w:tabs>
          <w:tab w:leader="none" w:pos="8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rents payable to us;</w:t>
      </w:r>
    </w:p>
    <w:p>
      <w:pPr>
        <w:spacing w:after="0" w:line="173" w:lineRule="exact"/>
        <w:rPr>
          <w:sz w:val="20"/>
          <w:szCs w:val="20"/>
          <w:color w:val="auto"/>
        </w:rPr>
      </w:pPr>
    </w:p>
    <w:p>
      <w:pPr>
        <w:ind w:left="860" w:hanging="421"/>
        <w:spacing w:after="0"/>
        <w:tabs>
          <w:tab w:leader="none" w:pos="8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interfere with our ability to attract and retain tenants;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lead to increased vacancy rates at our properties; and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affect our ability to minimize expenses of operation.</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DEVELOPMENTS SINCE SEPTEMBER 30, 2002</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November 19, 2002, we completed the sale of $150 million of senior notes in an underwritten public offering. Net proceeds, after deducting the discounts and commissions to the underwriters and other expenses of the offering, totaled approximately $148.7 million. We used the net proceeds, together with $20 million in available insurance proceeds relating to the Santana Row fire, and approximately $7.1 million in borrowings under our revolving credit facility, to pay in full and retire the Santana Row construction loan.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December 20, 2002, we announced the resignation of Steven J. Guttman as Trustee, chief executive officer and chairman of the Board of Trustees effective January 1, 2003. Donald C. Wood, our then president and chief operating officer, was named chief executive officer and a member of the Board of Trustees. Mark Ordan, a member of the Board of Trustees since 1996, was named non-executive chairman of the board.</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January 9, 2003, we announced the opening of a new 62,000 square foot Giant Food and Pharmacy, representing Phase V of Bethesda Row. Total development costs for Phase V of Bethesda Row were $3.6 million.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January 15, 2003, we announced that three of our five Kmart locations were on the list of 326 stores that Kmart intends to close. The three properties are located in Queens, New York,</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- 8 -</w:t>
      </w:r>
    </w:p>
    <w:p>
      <w:pPr>
        <w:sectPr>
          <w:pgSz w:w="11900" w:h="16838" w:orient="portrait"/>
          <w:cols w:equalWidth="0" w:num="1">
            <w:col w:w="10239"/>
          </w:cols>
          <w:pgMar w:left="220" w:top="616" w:right="1440" w:bottom="1440" w:gutter="0" w:footer="0" w:header="0"/>
        </w:sectPr>
      </w:pPr>
    </w:p>
    <w:bookmarkStart w:id="8" w:name="page9"/>
    <w:bookmarkEnd w:id="8"/>
    <w:p>
      <w:pPr>
        <w:ind w:right="3419"/>
        <w:spacing w:after="0" w:line="251" w:lineRule="auto"/>
        <w:rPr>
          <w:sz w:val="20"/>
          <w:szCs w:val="20"/>
          <w:color w:val="auto"/>
        </w:rPr>
      </w:pPr>
      <w:r>
        <w:rPr>
          <w:rFonts w:ascii="Courier New" w:cs="Courier New" w:eastAsia="Courier New" w:hAnsi="Courier New"/>
          <w:sz w:val="14"/>
          <w:szCs w:val="14"/>
          <w:color w:val="auto"/>
        </w:rPr>
        <w:t>Flourtown, Pennsylvania and Leesburg, Virginia. As of December 31, 2002, the three properties represented approximately 0.7% of our annualized base rent and 2.1% of our total square footage. Based upon the demographics at these centers and the rent being paid by Kmart we believe that these spaces can be re-leased on favorable terms.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February 7, 2003, we announced plans for Phase II of Santana Row, which includes 84,000 square feet of retail space on two pad sites and 275 additional parking spaces. Within Phase II, 95% of the retail space has been pre-leased to Best Buy and The Container Store. Total development costs are expected to be approximately $27 million.</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February 11, 2003 the $24.4 million Woodmont East construction loan and the $17.0 million Friendship Center mortgage were paid off through borrowings under our revolving credit facility.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 OF ETHICS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February 12, 2003, our Board of Trustees adopted a Code of Ethics that applies to our Chief Executive Officer, Chief Financial Officer, controller and certain other officers performing similar functions. Our Board also adopted on February 12, 2003 a Code of Business Conduct applicable to all employees. Copies of both the Code of Ethics and the Code of Business Conduct are available in the Investor Information section of our website at www.federalrealty.com. Amendments to the Code of Ethics or Code of Business Conduct or waivers that apply to our executive officers or our senior financial officers will be disclosed in that section of our website as well.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December 31, 2002, we owned or had an interest in 58 community and neighborhood shopping centers comprising over 12 million square feet, primarily located in densely populated and affluent communities throughout the Northeast and Mid-Atlantic United States. In addition, we owned 55 urban and retail mixed-use properties comprising over 2 million square feet and one apartment complex, all located in strategic metropolitan markets across the United States. No single property accounted for over 10% of our 2002 total revenue. We believe that our properties are covered by adequate commercial general, fire, flood and extended loss insurance provided by reputable companies, with commercially reasonable exclusions, deductibles and limits.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operate our business on an asset management model, where small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and operates largely autonomously with respect to day to day operating decisions.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 DIVERSIFICATION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of December 31, 2002, we had approximately 2,100 tenants, ranging from sole proprietors to major national retailers. No one tenant or affiliated group of tenants accounted for more than 2.5% of our annualized base rent as of December 31, 2002. As a result of our tenant diversification, we believe our exposure to recent bankruptcy filings in the retail sector has not</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- 9 -</w:t>
      </w:r>
    </w:p>
    <w:p>
      <w:pPr>
        <w:sectPr>
          <w:pgSz w:w="11900" w:h="16838" w:orient="portrait"/>
          <w:cols w:equalWidth="0" w:num="1">
            <w:col w:w="10239"/>
          </w:cols>
          <w:pgMar w:left="220" w:top="616" w:right="1440" w:bottom="1440" w:gutter="0" w:footer="0" w:header="0"/>
        </w:sectPr>
      </w:pPr>
    </w:p>
    <w:bookmarkStart w:id="9" w:name="page10"/>
    <w:bookmarkEnd w:id="9"/>
    <w:p>
      <w:pPr>
        <w:ind w:right="3519"/>
        <w:spacing w:after="0" w:line="252" w:lineRule="auto"/>
        <w:rPr>
          <w:sz w:val="20"/>
          <w:szCs w:val="20"/>
          <w:color w:val="auto"/>
        </w:rPr>
      </w:pPr>
      <w:r>
        <w:rPr>
          <w:rFonts w:ascii="Courier New" w:cs="Courier New" w:eastAsia="Courier New" w:hAnsi="Courier New"/>
          <w:sz w:val="14"/>
          <w:szCs w:val="14"/>
          <w:color w:val="auto"/>
        </w:rPr>
        <w:t>been significant. Our largest tenant to declare bankruptcy, Kmart Corporation, accounted for less than 1% of our 2002 total revenue and 3.3% of our leasable square footage.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January 15, 2003, we announced that three of our five Kmart locations were on the list of 326 stores that Kmart intends to close. The three properties are located in Queens, New York, Flourtown, Pennsylvania and Leesburg, Virginia. As of December 31, 2002, the three properties represented approximately 0.7% or our annualized base rent and 2.1% of our total square footage. Based on the demographics at these centers and the rent being paid by Kmart we believe that these spaces can be re-leased on favorable terms.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GEOGRAPHIC DIVERSIFICATION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Our 114 properties are located in 14 states and the District of Columbia. The following table shows, by region and state within the region, the number of properties, the gross leasable area (in square feet) and the percentage of total portfolio gross leasable area in each state as of December 31, 2002.</w:t>
      </w:r>
    </w:p>
    <w:p>
      <w:pPr>
        <w:spacing w:after="0" w:line="200" w:lineRule="exact"/>
        <w:rPr>
          <w:sz w:val="20"/>
          <w:szCs w:val="20"/>
          <w:color w:val="auto"/>
        </w:rPr>
      </w:pPr>
    </w:p>
    <w:p>
      <w:pPr>
        <w:spacing w:after="0" w:line="293" w:lineRule="exact"/>
        <w:rPr>
          <w:sz w:val="20"/>
          <w:szCs w:val="20"/>
          <w:color w:val="auto"/>
        </w:rPr>
      </w:pPr>
    </w:p>
    <w:p>
      <w:pPr>
        <w:ind w:left="4220"/>
        <w:spacing w:after="0"/>
        <w:tabs>
          <w:tab w:leader="none" w:pos="792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PERCENTAGE OF</w:t>
      </w:r>
    </w:p>
    <w:p>
      <w:pPr>
        <w:spacing w:after="0" w:line="7" w:lineRule="exact"/>
        <w:rPr>
          <w:sz w:val="20"/>
          <w:szCs w:val="20"/>
          <w:color w:val="auto"/>
        </w:rPr>
      </w:pPr>
    </w:p>
    <w:p>
      <w:pPr>
        <w:ind w:left="860"/>
        <w:spacing w:after="0"/>
        <w:tabs>
          <w:tab w:leader="none" w:pos="4200" w:val="left"/>
          <w:tab w:leader="none" w:pos="5680" w:val="left"/>
          <w:tab w:leader="none" w:pos="7660" w:val="left"/>
        </w:tabs>
        <w:rPr>
          <w:sz w:val="20"/>
          <w:szCs w:val="20"/>
          <w:color w:val="auto"/>
        </w:rPr>
      </w:pPr>
      <w:r>
        <w:rPr>
          <w:rFonts w:ascii="Courier New" w:cs="Courier New" w:eastAsia="Courier New" w:hAnsi="Courier New"/>
          <w:sz w:val="14"/>
          <w:szCs w:val="14"/>
          <w:color w:val="auto"/>
        </w:rPr>
        <w:t>REGION AND STATE</w:t>
      </w:r>
      <w:r>
        <w:rPr>
          <w:sz w:val="20"/>
          <w:szCs w:val="20"/>
          <w:color w:val="auto"/>
        </w:rPr>
        <w:tab/>
      </w:r>
      <w:r>
        <w:rPr>
          <w:rFonts w:ascii="Courier New" w:cs="Courier New" w:eastAsia="Courier New" w:hAnsi="Courier New"/>
          <w:sz w:val="14"/>
          <w:szCs w:val="14"/>
          <w:color w:val="auto"/>
        </w:rPr>
        <w:t>PROPERTIES</w:t>
      </w:r>
      <w:r>
        <w:rPr>
          <w:sz w:val="20"/>
          <w:szCs w:val="20"/>
          <w:color w:val="auto"/>
        </w:rPr>
        <w:tab/>
      </w:r>
      <w:r>
        <w:rPr>
          <w:rFonts w:ascii="Courier New" w:cs="Courier New" w:eastAsia="Courier New" w:hAnsi="Courier New"/>
          <w:sz w:val="14"/>
          <w:szCs w:val="14"/>
          <w:color w:val="auto"/>
        </w:rPr>
        <w:t>GROSS LEASABLE AREA</w:t>
      </w:r>
      <w:r>
        <w:rPr>
          <w:sz w:val="20"/>
          <w:szCs w:val="20"/>
          <w:color w:val="auto"/>
        </w:rPr>
        <w:tab/>
      </w:r>
      <w:r>
        <w:rPr>
          <w:rFonts w:ascii="Courier New" w:cs="Courier New" w:eastAsia="Courier New" w:hAnsi="Courier New"/>
          <w:sz w:val="14"/>
          <w:szCs w:val="14"/>
          <w:color w:val="auto"/>
        </w:rPr>
        <w:t>GROSS LEASABLE AREA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Connecticut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478,000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Illinois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776,000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Massachusetts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581,000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Michigan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218,000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New Jersey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2,134,000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New York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996,000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Pennsylvania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2,258,000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200" w:type="dxa"/>
            <w:vAlign w:val="bottom"/>
          </w:tcPr>
          <w:p>
            <w:pPr>
              <w:spacing w:after="0"/>
              <w:rPr>
                <w:sz w:val="14"/>
                <w:szCs w:val="14"/>
                <w:color w:val="auto"/>
              </w:rPr>
            </w:pP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Subtotal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7,441,000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48.7%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District of Columbia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Florida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Maryland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3,084,000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North Carolina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Virginia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2,826,000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3200" w:type="dxa"/>
            <w:vAlign w:val="bottom"/>
          </w:tcPr>
          <w:p>
            <w:pPr>
              <w:spacing w:after="0"/>
              <w:rPr>
                <w:sz w:val="14"/>
                <w:szCs w:val="14"/>
                <w:color w:val="auto"/>
              </w:rPr>
            </w:pP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Subtotal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6,266,000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41.1%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2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Arizona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California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1,445,000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Texas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200" w:type="dxa"/>
            <w:vAlign w:val="bottom"/>
          </w:tcPr>
          <w:p>
            <w:pPr>
              <w:spacing w:after="0"/>
              <w:rPr>
                <w:sz w:val="14"/>
                <w:szCs w:val="14"/>
                <w:color w:val="auto"/>
              </w:rPr>
            </w:pP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jc w:val="right"/>
              <w:spacing w:after="0"/>
              <w:rPr>
                <w:sz w:val="20"/>
                <w:szCs w:val="20"/>
                <w:color w:val="auto"/>
              </w:rPr>
            </w:pPr>
            <w:r>
              <w:rPr>
                <w:rFonts w:ascii="Courier New" w:cs="Courier New" w:eastAsia="Courier New" w:hAnsi="Courier New"/>
                <w:sz w:val="14"/>
                <w:szCs w:val="14"/>
                <w:color w:val="auto"/>
              </w:rPr>
              <w:t>Subtotal ......................</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1,538,000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6"/>
        </w:trPr>
        <w:tc>
          <w:tcPr>
            <w:tcW w:w="3200" w:type="dxa"/>
            <w:vAlign w:val="bottom"/>
          </w:tcPr>
          <w:p>
            <w:pPr>
              <w:spacing w:after="0"/>
              <w:rPr>
                <w:sz w:val="14"/>
                <w:szCs w:val="14"/>
                <w:color w:val="auto"/>
              </w:rPr>
            </w:pP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Total</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15,245,000</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200" w:type="dxa"/>
            <w:vAlign w:val="bottom"/>
          </w:tcPr>
          <w:p>
            <w:pPr>
              <w:spacing w:after="0"/>
              <w:rPr>
                <w:sz w:val="14"/>
                <w:szCs w:val="14"/>
                <w:color w:val="auto"/>
              </w:rPr>
            </w:pP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200" w:type="dxa"/>
            <w:vAlign w:val="bottom"/>
          </w:tcPr>
          <w:p>
            <w:pPr>
              <w:spacing w:after="0"/>
              <w:rPr>
                <w:sz w:val="24"/>
                <w:szCs w:val="24"/>
                <w:color w:val="auto"/>
              </w:rPr>
            </w:pPr>
          </w:p>
        </w:tc>
        <w:tc>
          <w:tcPr>
            <w:tcW w:w="2360" w:type="dxa"/>
            <w:vAlign w:val="bottom"/>
          </w:tcPr>
          <w:p>
            <w:pPr>
              <w:jc w:val="right"/>
              <w:ind w:right="1768"/>
              <w:spacing w:after="0"/>
              <w:rPr>
                <w:sz w:val="20"/>
                <w:szCs w:val="20"/>
                <w:color w:val="auto"/>
              </w:rPr>
            </w:pPr>
            <w:r>
              <w:rPr>
                <w:rFonts w:ascii="Courier New" w:cs="Courier New" w:eastAsia="Courier New" w:hAnsi="Courier New"/>
                <w:sz w:val="14"/>
                <w:szCs w:val="14"/>
                <w:color w:val="auto"/>
                <w:w w:val="99"/>
              </w:rPr>
              <w:t>- 10 -</w:t>
            </w:r>
          </w:p>
        </w:tc>
        <w:tc>
          <w:tcPr>
            <w:tcW w:w="198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LEASES, LEASE TERMS AND LEASE EXPIRATIONS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leases are classified as operating leases and typically are structured to include the monthly payment in advance of minimum rents with periodic increases, percentage rents based on our tenants' gross sales volumes and reimbursement of a majority of on-site operating expenses and real estate taxes. These features in our leases reduce our exposure to higher costs caused by inflation and allow us to participate in improved tenant sales.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Leases on apartments are generally for a period of one year or less. Retail property leases generally range from 3 to 10 years; however certain leases with anchor tenants may be longer. Many of the leases contain provisions allowing the tenant the option of extending the term of the lease at expiration at rates which often include fixed rent increases, consumer price index adjustments or other market rate adjustments from the prior base rent. Our properties, including our recently opened Santana Row development, were 94.7% leased at December 31, 2002.</w:t>
      </w:r>
    </w:p>
    <w:p>
      <w:pPr>
        <w:spacing w:after="0" w:line="33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following table sets forth the schedule of lease expirations for our leases in place as of December 31, 2002 for each of the 10 years beginning with 2003, assuming that none of the tenants exercises or has exercised renewal options.</w:t>
      </w:r>
    </w:p>
    <w:p>
      <w:pPr>
        <w:spacing w:after="0" w:line="200" w:lineRule="exact"/>
        <w:rPr>
          <w:sz w:val="20"/>
          <w:szCs w:val="20"/>
          <w:color w:val="auto"/>
        </w:rPr>
      </w:pPr>
    </w:p>
    <w:p>
      <w:pPr>
        <w:spacing w:after="0" w:line="29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2200" w:type="dxa"/>
            <w:vAlign w:val="bottom"/>
          </w:tcPr>
          <w:p>
            <w:pPr>
              <w:jc w:val="center"/>
              <w:ind w:left="148"/>
              <w:spacing w:after="0"/>
              <w:rPr>
                <w:sz w:val="20"/>
                <w:szCs w:val="20"/>
                <w:color w:val="auto"/>
              </w:rPr>
            </w:pPr>
            <w:r>
              <w:rPr>
                <w:rFonts w:ascii="Courier New" w:cs="Courier New" w:eastAsia="Courier New" w:hAnsi="Courier New"/>
                <w:sz w:val="14"/>
                <w:szCs w:val="14"/>
                <w:color w:val="auto"/>
                <w:w w:val="99"/>
              </w:rPr>
              <w:t>LEASED</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PERCENTAGE OF LEASED</w:t>
            </w:r>
          </w:p>
        </w:tc>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ANNUALIZED BASE</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PERCENTAGE OF ANNUALIZED</w:t>
            </w:r>
          </w:p>
        </w:tc>
      </w:tr>
      <w:tr>
        <w:trPr>
          <w:trHeight w:val="166"/>
        </w:trPr>
        <w:tc>
          <w:tcPr>
            <w:tcW w:w="1460" w:type="dxa"/>
            <w:vAlign w:val="bottom"/>
          </w:tcPr>
          <w:p>
            <w:pPr>
              <w:spacing w:after="0"/>
              <w:rPr>
                <w:sz w:val="20"/>
                <w:szCs w:val="20"/>
                <w:color w:val="auto"/>
              </w:rPr>
            </w:pPr>
            <w:r>
              <w:rPr>
                <w:rFonts w:ascii="Courier New" w:cs="Courier New" w:eastAsia="Courier New" w:hAnsi="Courier New"/>
                <w:sz w:val="14"/>
                <w:szCs w:val="14"/>
                <w:color w:val="auto"/>
              </w:rPr>
              <w:t>YEAR OF LEASE</w:t>
            </w:r>
          </w:p>
        </w:tc>
        <w:tc>
          <w:tcPr>
            <w:tcW w:w="22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SQUARE FOOTAGE</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SQUARE FOOTAGE</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RENT</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REPRESENTED BY</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BASE RENT REPRESENTED BY</w:t>
            </w:r>
          </w:p>
        </w:tc>
      </w:tr>
      <w:tr>
        <w:trPr>
          <w:trHeight w:val="166"/>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EXPIRATION</w:t>
            </w:r>
          </w:p>
        </w:tc>
        <w:tc>
          <w:tcPr>
            <w:tcW w:w="22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EXPIRING</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EXPIRING</w:t>
            </w:r>
          </w:p>
        </w:tc>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EXPIRING LEASES</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EXPIRING LEASES</w:t>
            </w:r>
          </w:p>
        </w:tc>
      </w:tr>
      <w:tr>
        <w:trPr>
          <w:trHeight w:val="331"/>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2003</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906,000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6%</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14,871,000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w:t>
            </w:r>
          </w:p>
        </w:tc>
      </w:tr>
      <w:tr>
        <w:trPr>
          <w:trHeight w:val="166"/>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2004</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1,726,000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spacing w:after="0"/>
              <w:rPr>
                <w:sz w:val="14"/>
                <w:szCs w:val="14"/>
                <w:color w:val="auto"/>
              </w:rPr>
            </w:pPr>
          </w:p>
        </w:tc>
        <w:tc>
          <w:tcPr>
            <w:tcW w:w="15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24,237,000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9%</w:t>
            </w:r>
          </w:p>
        </w:tc>
      </w:tr>
      <w:tr>
        <w:trPr>
          <w:trHeight w:val="166"/>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2005</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1,405,000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10%</w:t>
            </w:r>
          </w:p>
        </w:tc>
        <w:tc>
          <w:tcPr>
            <w:tcW w:w="400" w:type="dxa"/>
            <w:vAlign w:val="bottom"/>
          </w:tcPr>
          <w:p>
            <w:pPr>
              <w:spacing w:after="0"/>
              <w:rPr>
                <w:sz w:val="14"/>
                <w:szCs w:val="14"/>
                <w:color w:val="auto"/>
              </w:rPr>
            </w:pPr>
          </w:p>
        </w:tc>
        <w:tc>
          <w:tcPr>
            <w:tcW w:w="15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26,664,000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2006</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1,315,000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9%</w:t>
            </w:r>
          </w:p>
        </w:tc>
        <w:tc>
          <w:tcPr>
            <w:tcW w:w="400" w:type="dxa"/>
            <w:vAlign w:val="bottom"/>
          </w:tcPr>
          <w:p>
            <w:pPr>
              <w:spacing w:after="0"/>
              <w:rPr>
                <w:sz w:val="14"/>
                <w:szCs w:val="14"/>
                <w:color w:val="auto"/>
              </w:rPr>
            </w:pPr>
          </w:p>
        </w:tc>
        <w:tc>
          <w:tcPr>
            <w:tcW w:w="15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26,241,000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9%</w:t>
            </w:r>
          </w:p>
        </w:tc>
      </w:tr>
      <w:tr>
        <w:trPr>
          <w:trHeight w:val="166"/>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2007</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1,674,000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spacing w:after="0"/>
              <w:rPr>
                <w:sz w:val="14"/>
                <w:szCs w:val="14"/>
                <w:color w:val="auto"/>
              </w:rPr>
            </w:pPr>
          </w:p>
        </w:tc>
        <w:tc>
          <w:tcPr>
            <w:tcW w:w="15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31,720,000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2008</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1,400,000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10%</w:t>
            </w:r>
          </w:p>
        </w:tc>
        <w:tc>
          <w:tcPr>
            <w:tcW w:w="400" w:type="dxa"/>
            <w:vAlign w:val="bottom"/>
          </w:tcPr>
          <w:p>
            <w:pPr>
              <w:spacing w:after="0"/>
              <w:rPr>
                <w:sz w:val="14"/>
                <w:szCs w:val="14"/>
                <w:color w:val="auto"/>
              </w:rPr>
            </w:pPr>
          </w:p>
        </w:tc>
        <w:tc>
          <w:tcPr>
            <w:tcW w:w="15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22,898,000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8%</w:t>
            </w:r>
          </w:p>
        </w:tc>
      </w:tr>
      <w:tr>
        <w:trPr>
          <w:trHeight w:val="166"/>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2009</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924,000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6%</w:t>
            </w:r>
          </w:p>
        </w:tc>
        <w:tc>
          <w:tcPr>
            <w:tcW w:w="400" w:type="dxa"/>
            <w:vAlign w:val="bottom"/>
          </w:tcPr>
          <w:p>
            <w:pPr>
              <w:spacing w:after="0"/>
              <w:rPr>
                <w:sz w:val="14"/>
                <w:szCs w:val="14"/>
                <w:color w:val="auto"/>
              </w:rPr>
            </w:pPr>
          </w:p>
        </w:tc>
        <w:tc>
          <w:tcPr>
            <w:tcW w:w="15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19,048,000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7%</w:t>
            </w:r>
          </w:p>
        </w:tc>
      </w:tr>
      <w:tr>
        <w:trPr>
          <w:trHeight w:val="166"/>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2010</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531,000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4%</w:t>
            </w:r>
          </w:p>
        </w:tc>
        <w:tc>
          <w:tcPr>
            <w:tcW w:w="400" w:type="dxa"/>
            <w:vAlign w:val="bottom"/>
          </w:tcPr>
          <w:p>
            <w:pPr>
              <w:spacing w:after="0"/>
              <w:rPr>
                <w:sz w:val="14"/>
                <w:szCs w:val="14"/>
                <w:color w:val="auto"/>
              </w:rPr>
            </w:pPr>
          </w:p>
        </w:tc>
        <w:tc>
          <w:tcPr>
            <w:tcW w:w="15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10,591,000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4%</w:t>
            </w:r>
          </w:p>
        </w:tc>
      </w:tr>
      <w:tr>
        <w:trPr>
          <w:trHeight w:val="166"/>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2011</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798,000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5%</w:t>
            </w:r>
          </w:p>
        </w:tc>
        <w:tc>
          <w:tcPr>
            <w:tcW w:w="400" w:type="dxa"/>
            <w:vAlign w:val="bottom"/>
          </w:tcPr>
          <w:p>
            <w:pPr>
              <w:spacing w:after="0"/>
              <w:rPr>
                <w:sz w:val="14"/>
                <w:szCs w:val="14"/>
                <w:color w:val="auto"/>
              </w:rPr>
            </w:pPr>
          </w:p>
        </w:tc>
        <w:tc>
          <w:tcPr>
            <w:tcW w:w="15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21,459,000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8%</w:t>
            </w:r>
          </w:p>
        </w:tc>
      </w:tr>
      <w:tr>
        <w:trPr>
          <w:trHeight w:val="166"/>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2012</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839,000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6%</w:t>
            </w:r>
          </w:p>
        </w:tc>
        <w:tc>
          <w:tcPr>
            <w:tcW w:w="400" w:type="dxa"/>
            <w:vAlign w:val="bottom"/>
          </w:tcPr>
          <w:p>
            <w:pPr>
              <w:spacing w:after="0"/>
              <w:rPr>
                <w:sz w:val="14"/>
                <w:szCs w:val="14"/>
                <w:color w:val="auto"/>
              </w:rPr>
            </w:pPr>
          </w:p>
        </w:tc>
        <w:tc>
          <w:tcPr>
            <w:tcW w:w="15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21,146,000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8%</w:t>
            </w:r>
          </w:p>
        </w:tc>
      </w:tr>
      <w:tr>
        <w:trPr>
          <w:trHeight w:val="166"/>
        </w:trPr>
        <w:tc>
          <w:tcPr>
            <w:tcW w:w="14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Thereafter</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2,924,000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20%</w:t>
            </w:r>
          </w:p>
        </w:tc>
        <w:tc>
          <w:tcPr>
            <w:tcW w:w="400" w:type="dxa"/>
            <w:vAlign w:val="bottom"/>
          </w:tcPr>
          <w:p>
            <w:pPr>
              <w:spacing w:after="0"/>
              <w:rPr>
                <w:sz w:val="14"/>
                <w:szCs w:val="14"/>
                <w:color w:val="auto"/>
              </w:rPr>
            </w:pPr>
          </w:p>
        </w:tc>
        <w:tc>
          <w:tcPr>
            <w:tcW w:w="15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60,050,000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21%</w:t>
            </w:r>
          </w:p>
        </w:tc>
      </w:tr>
      <w:tr>
        <w:trPr>
          <w:trHeight w:val="166"/>
        </w:trPr>
        <w:tc>
          <w:tcPr>
            <w:tcW w:w="1460" w:type="dxa"/>
            <w:vAlign w:val="bottom"/>
          </w:tcPr>
          <w:p>
            <w:pPr>
              <w:spacing w:after="0"/>
              <w:rPr>
                <w:sz w:val="14"/>
                <w:szCs w:val="14"/>
                <w:color w:val="auto"/>
              </w:rPr>
            </w:pP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14,442,000</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100%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278,925,000</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460" w:type="dxa"/>
            <w:vAlign w:val="bottom"/>
          </w:tcPr>
          <w:p>
            <w:pPr>
              <w:spacing w:after="0"/>
              <w:rPr>
                <w:sz w:val="14"/>
                <w:szCs w:val="14"/>
                <w:color w:val="auto"/>
              </w:rPr>
            </w:pP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497"/>
        </w:trPr>
        <w:tc>
          <w:tcPr>
            <w:tcW w:w="1460" w:type="dxa"/>
            <w:vAlign w:val="bottom"/>
          </w:tcPr>
          <w:p>
            <w:pPr>
              <w:spacing w:after="0"/>
              <w:rPr>
                <w:sz w:val="24"/>
                <w:szCs w:val="24"/>
                <w:color w:val="auto"/>
              </w:rPr>
            </w:pP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- 11 -</w:t>
            </w: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Item 2. Property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w:t>
      </w:r>
    </w:p>
    <w:p>
      <w:pPr>
        <w:spacing w:after="0" w:line="173" w:lineRule="exact"/>
        <w:rPr>
          <w:sz w:val="20"/>
          <w:szCs w:val="20"/>
          <w:color w:val="auto"/>
        </w:rPr>
      </w:pPr>
    </w:p>
    <w:p>
      <w:pPr>
        <w:ind w:right="4820" w:firstLine="431"/>
        <w:spacing w:after="0" w:line="252" w:lineRule="auto"/>
        <w:rPr>
          <w:sz w:val="20"/>
          <w:szCs w:val="20"/>
          <w:color w:val="auto"/>
        </w:rPr>
      </w:pPr>
      <w:r>
        <w:rPr>
          <w:rFonts w:ascii="Courier New" w:cs="Courier New" w:eastAsia="Courier New" w:hAnsi="Courier New"/>
          <w:sz w:val="14"/>
          <w:szCs w:val="14"/>
          <w:color w:val="auto"/>
        </w:rPr>
        <w:t>The following table sets forth information concerning each retail and mixed-use property in which we own an equity interest or have a leasehold interest as of December 31, 2002. Except as otherwise noted, retail properties are 100% owned in fee by us.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Year</w:t>
            </w:r>
          </w:p>
        </w:tc>
        <w:tc>
          <w:tcPr>
            <w:tcW w:w="1980" w:type="dxa"/>
            <w:vAlign w:val="bottom"/>
          </w:tcPr>
          <w:p>
            <w:pPr>
              <w:ind w:left="140"/>
              <w:spacing w:after="0"/>
              <w:rPr>
                <w:sz w:val="20"/>
                <w:szCs w:val="20"/>
                <w:color w:val="auto"/>
              </w:rPr>
            </w:pPr>
            <w:r>
              <w:rPr>
                <w:rFonts w:ascii="Courier New" w:cs="Courier New" w:eastAsia="Courier New" w:hAnsi="Courier New"/>
                <w:sz w:val="14"/>
                <w:szCs w:val="14"/>
                <w:color w:val="auto"/>
              </w:rPr>
              <w:t>Square Feet (2)</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NORTHEAST REGION</w:t>
            </w:r>
          </w:p>
        </w:tc>
        <w:tc>
          <w:tcPr>
            <w:tcW w:w="1220" w:type="dxa"/>
            <w:vAlign w:val="bottom"/>
          </w:tcPr>
          <w:p>
            <w:pPr>
              <w:spacing w:after="0"/>
              <w:rPr>
                <w:sz w:val="14"/>
                <w:szCs w:val="14"/>
                <w:color w:val="auto"/>
              </w:rPr>
            </w:pP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Completed</w:t>
            </w:r>
          </w:p>
        </w:tc>
        <w:tc>
          <w:tcPr>
            <w:tcW w:w="270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Acquired</w:t>
            </w:r>
          </w:p>
        </w:tc>
        <w:tc>
          <w:tcPr>
            <w:tcW w:w="1980" w:type="dxa"/>
            <w:vAlign w:val="bottom"/>
          </w:tcPr>
          <w:p>
            <w:pPr>
              <w:ind w:left="140"/>
              <w:spacing w:after="0"/>
              <w:rPr>
                <w:sz w:val="20"/>
                <w:szCs w:val="20"/>
                <w:color w:val="auto"/>
              </w:rPr>
            </w:pPr>
            <w:r>
              <w:rPr>
                <w:rFonts w:ascii="Courier New" w:cs="Courier New" w:eastAsia="Courier New" w:hAnsi="Courier New"/>
                <w:sz w:val="14"/>
                <w:szCs w:val="14"/>
                <w:color w:val="auto"/>
              </w:rPr>
              <w:t>/Apartment Units</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spacing w:after="0"/>
              <w:rPr>
                <w:sz w:val="14"/>
                <w:szCs w:val="14"/>
                <w:color w:val="auto"/>
              </w:rPr>
            </w:pPr>
          </w:p>
        </w:tc>
        <w:tc>
          <w:tcPr>
            <w:tcW w:w="4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9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Shopping Centers</w:t>
            </w: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1958</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1988</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52,000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w:t>
            </w: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Clifton, NJ 07013 (4)</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1953</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1988</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259,000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Philadelphia,PA 19128(5)</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1955</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1993</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281,000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w:t>
            </w: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Bala Cynwyd, PA 19004</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1988</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407,000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35</w:t>
            </w: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Watchung, NJ 07060 (4)</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1958</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1989</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409,000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37</w:t>
            </w: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Brick Township, NJ 08723</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Bristol</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1995</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296,000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w:t>
            </w:r>
          </w:p>
        </w:tc>
      </w:tr>
      <w:tr>
        <w:trPr>
          <w:trHeight w:val="166"/>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Bristol,</w:t>
            </w:r>
          </w:p>
        </w:tc>
        <w:tc>
          <w:tcPr>
            <w:tcW w:w="1800" w:type="dxa"/>
            <w:vAlign w:val="bottom"/>
          </w:tcPr>
          <w:p>
            <w:pPr>
              <w:spacing w:after="0"/>
              <w:rPr>
                <w:sz w:val="20"/>
                <w:szCs w:val="20"/>
                <w:color w:val="auto"/>
              </w:rPr>
            </w:pPr>
            <w:r>
              <w:rPr>
                <w:rFonts w:ascii="Courier New" w:cs="Courier New" w:eastAsia="Courier New" w:hAnsi="Courier New"/>
                <w:sz w:val="14"/>
                <w:szCs w:val="14"/>
                <w:color w:val="auto"/>
              </w:rPr>
              <w:t>CT 06010</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1957</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1988</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318,000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w:t>
            </w: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North Brunswick, NJ 08902 (4)</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1988</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80,000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Clifton, NJ 07013 (4)</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1993</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173,000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24</w:t>
            </w: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Highland Park, IL 60035</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Dedham</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1993</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248,000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37</w:t>
            </w: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Dedham, MA 02026</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w:t>
            </w: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1992</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259,000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31</w:t>
            </w: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Cherry Hill,  NJ 08034</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Feasterville</w:t>
            </w:r>
          </w:p>
        </w:tc>
        <w:tc>
          <w:tcPr>
            <w:tcW w:w="1220" w:type="dxa"/>
            <w:vAlign w:val="bottom"/>
          </w:tcPr>
          <w:p>
            <w:pPr>
              <w:spacing w:after="0"/>
              <w:rPr>
                <w:sz w:val="24"/>
                <w:szCs w:val="2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1958</w:t>
            </w:r>
          </w:p>
        </w:tc>
        <w:tc>
          <w:tcPr>
            <w:tcW w:w="27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1980</w:t>
            </w:r>
          </w:p>
        </w:tc>
        <w:tc>
          <w:tcPr>
            <w:tcW w:w="19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116,000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Feasterville, PA 19047</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Overall</w:t>
            </w:r>
          </w:p>
        </w:tc>
        <w:tc>
          <w:tcPr>
            <w:tcW w:w="2700" w:type="dxa"/>
            <w:vAlign w:val="bottom"/>
          </w:tcPr>
          <w:p>
            <w:pPr>
              <w:ind w:left="340"/>
              <w:spacing w:after="0"/>
              <w:rPr>
                <w:sz w:val="20"/>
                <w:szCs w:val="20"/>
                <w:color w:val="auto"/>
              </w:rPr>
            </w:pPr>
            <w:r>
              <w:rPr>
                <w:rFonts w:ascii="Courier New" w:cs="Courier New" w:eastAsia="Courier New" w:hAnsi="Courier New"/>
                <w:sz w:val="14"/>
                <w:szCs w:val="14"/>
                <w:color w:val="auto"/>
              </w:rPr>
              <w:t>Principal</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NORTHEAST REGION</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Acres (3)</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 (1)</w:t>
            </w:r>
          </w:p>
        </w:tc>
        <w:tc>
          <w:tcPr>
            <w:tcW w:w="2700" w:type="dxa"/>
            <w:vAlign w:val="bottom"/>
          </w:tcPr>
          <w:p>
            <w:pPr>
              <w:ind w:left="340"/>
              <w:spacing w:after="0"/>
              <w:rPr>
                <w:sz w:val="20"/>
                <w:szCs w:val="20"/>
                <w:color w:val="auto"/>
              </w:rPr>
            </w:pPr>
            <w:r>
              <w:rPr>
                <w:rFonts w:ascii="Courier New" w:cs="Courier New" w:eastAsia="Courier New" w:hAnsi="Courier New"/>
                <w:sz w:val="14"/>
                <w:szCs w:val="14"/>
                <w:color w:val="auto"/>
              </w:rPr>
              <w:t>Tenants</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Shopping Centers</w:t>
            </w: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1800" w:type="dxa"/>
            <w:vAlign w:val="bottom"/>
          </w:tcPr>
          <w:p>
            <w:pPr>
              <w:spacing w:after="0"/>
              <w:rPr>
                <w:sz w:val="24"/>
                <w:szCs w:val="2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Stop &amp; Shop</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Clifton, NJ 07013 (4)</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Mandee's</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1800" w:type="dxa"/>
            <w:vAlign w:val="bottom"/>
          </w:tcPr>
          <w:p>
            <w:pPr>
              <w:spacing w:after="0"/>
              <w:rPr>
                <w:sz w:val="24"/>
                <w:szCs w:val="2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23</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95%</w:t>
            </w: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Acme Markets</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Philadelphia,PA 19128(5)</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Andorra Theater</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Kohl's</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1800" w:type="dxa"/>
            <w:vAlign w:val="bottom"/>
          </w:tcPr>
          <w:p>
            <w:pPr>
              <w:spacing w:after="0"/>
              <w:rPr>
                <w:sz w:val="24"/>
                <w:szCs w:val="2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Acme Markets</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Bala Cynwyd, PA</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Lord &amp; Taylor</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1800" w:type="dxa"/>
            <w:vAlign w:val="bottom"/>
          </w:tcPr>
          <w:p>
            <w:pPr>
              <w:spacing w:after="0"/>
              <w:rPr>
                <w:sz w:val="24"/>
                <w:szCs w:val="2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55</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96%</w:t>
            </w: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Kohl's</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Watchung, NJ 07060 (4)</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Michael's</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Shop Rite</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Toys R Us</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1800" w:type="dxa"/>
            <w:vAlign w:val="bottom"/>
          </w:tcPr>
          <w:p>
            <w:pPr>
              <w:spacing w:after="0"/>
              <w:rPr>
                <w:sz w:val="24"/>
                <w:szCs w:val="2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42</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A&amp;P Supermarket</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Brick Township, NJ</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Barnes &amp; Noble</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Loews Theatres</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Sports Authority</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Bristol</w:t>
            </w:r>
          </w:p>
        </w:tc>
        <w:tc>
          <w:tcPr>
            <w:tcW w:w="1800" w:type="dxa"/>
            <w:vAlign w:val="bottom"/>
          </w:tcPr>
          <w:p>
            <w:pPr>
              <w:spacing w:after="0"/>
              <w:rPr>
                <w:sz w:val="24"/>
                <w:szCs w:val="2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92%</w:t>
            </w: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Super Stop &amp; Shop</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Bristol,</w:t>
            </w:r>
          </w:p>
        </w:tc>
        <w:tc>
          <w:tcPr>
            <w:tcW w:w="1800" w:type="dxa"/>
            <w:vAlign w:val="bottom"/>
          </w:tcPr>
          <w:p>
            <w:pPr>
              <w:spacing w:after="0"/>
              <w:rPr>
                <w:sz w:val="20"/>
                <w:szCs w:val="20"/>
                <w:color w:val="auto"/>
              </w:rPr>
            </w:pPr>
            <w:r>
              <w:rPr>
                <w:rFonts w:ascii="Courier New" w:cs="Courier New" w:eastAsia="Courier New" w:hAnsi="Courier New"/>
                <w:sz w:val="14"/>
                <w:szCs w:val="14"/>
                <w:color w:val="auto"/>
              </w:rPr>
              <w:t>CT 06010</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TJ Maxx</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1800" w:type="dxa"/>
            <w:vAlign w:val="bottom"/>
          </w:tcPr>
          <w:p>
            <w:pPr>
              <w:spacing w:after="0"/>
              <w:rPr>
                <w:sz w:val="24"/>
                <w:szCs w:val="2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69%</w:t>
            </w: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A&amp;P Supermarket</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North Brunswick, NJ 08902 (4)</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Just Living Rooms</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1800" w:type="dxa"/>
            <w:vAlign w:val="bottom"/>
          </w:tcPr>
          <w:p>
            <w:pPr>
              <w:spacing w:after="0"/>
              <w:rPr>
                <w:sz w:val="24"/>
                <w:szCs w:val="2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93%</w:t>
            </w: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Acme Markets</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Clifton, NJ 07013 (4)</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Drug Fair</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Dollar Express</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1800" w:type="dxa"/>
            <w:vAlign w:val="bottom"/>
          </w:tcPr>
          <w:p>
            <w:pPr>
              <w:spacing w:after="0"/>
              <w:rPr>
                <w:sz w:val="24"/>
                <w:szCs w:val="2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Comp USA</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Highland Park, IL</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Golfsmith</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Guitar Center</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Dedham</w:t>
            </w:r>
          </w:p>
        </w:tc>
        <w:tc>
          <w:tcPr>
            <w:tcW w:w="1800" w:type="dxa"/>
            <w:vAlign w:val="bottom"/>
          </w:tcPr>
          <w:p>
            <w:pPr>
              <w:spacing w:after="0"/>
              <w:rPr>
                <w:sz w:val="24"/>
                <w:szCs w:val="2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w:t>
            </w:r>
          </w:p>
        </w:tc>
        <w:tc>
          <w:tcPr>
            <w:tcW w:w="2700" w:type="dxa"/>
            <w:vAlign w:val="bottom"/>
          </w:tcPr>
          <w:p>
            <w:pPr>
              <w:ind w:left="80"/>
              <w:spacing w:after="0"/>
              <w:rPr>
                <w:sz w:val="20"/>
                <w:szCs w:val="20"/>
                <w:color w:val="auto"/>
              </w:rPr>
            </w:pPr>
            <w:r>
              <w:rPr>
                <w:rFonts w:ascii="Courier New" w:cs="Courier New" w:eastAsia="Courier New" w:hAnsi="Courier New"/>
                <w:sz w:val="14"/>
                <w:szCs w:val="14"/>
                <w:color w:val="auto"/>
              </w:rPr>
              <w:t>Pier One Imports</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7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Dedham, MA 02026</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ectPr>
          <w:pgSz w:w="11900" w:h="16838" w:orient="portrait"/>
          <w:cols w:equalWidth="0" w:num="1">
            <w:col w:w="11540"/>
          </w:cols>
          <w:pgMar w:left="220" w:top="616" w:right="1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c>
          <w:tcPr>
            <w:tcW w:w="1980" w:type="dxa"/>
            <w:vAlign w:val="bottom"/>
          </w:tcPr>
          <w:p>
            <w:pPr>
              <w:ind w:left="420"/>
              <w:spacing w:after="0"/>
              <w:rPr>
                <w:sz w:val="20"/>
                <w:szCs w:val="20"/>
                <w:color w:val="auto"/>
              </w:rPr>
            </w:pPr>
            <w:r>
              <w:rPr>
                <w:rFonts w:ascii="Courier New" w:cs="Courier New" w:eastAsia="Courier New" w:hAnsi="Courier New"/>
                <w:sz w:val="14"/>
                <w:szCs w:val="14"/>
                <w:color w:val="auto"/>
              </w:rPr>
              <w:t>Genuardi's</w:t>
            </w:r>
          </w:p>
        </w:tc>
      </w:tr>
      <w:tr>
        <w:trPr>
          <w:trHeight w:val="166"/>
        </w:trPr>
        <w:tc>
          <w:tcPr>
            <w:tcW w:w="2300" w:type="dxa"/>
            <w:vAlign w:val="bottom"/>
          </w:tcPr>
          <w:p>
            <w:pPr>
              <w:ind w:left="100"/>
              <w:spacing w:after="0"/>
              <w:rPr>
                <w:sz w:val="20"/>
                <w:szCs w:val="20"/>
                <w:color w:val="auto"/>
              </w:rPr>
            </w:pPr>
            <w:r>
              <w:rPr>
                <w:rFonts w:ascii="Courier New" w:cs="Courier New" w:eastAsia="Courier New" w:hAnsi="Courier New"/>
                <w:sz w:val="14"/>
                <w:szCs w:val="14"/>
                <w:color w:val="auto"/>
              </w:rPr>
              <w:t>Cherry Hill,  NJ</w:t>
            </w: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80" w:type="dxa"/>
            <w:vAlign w:val="bottom"/>
          </w:tcPr>
          <w:p>
            <w:pPr>
              <w:ind w:left="420"/>
              <w:spacing w:after="0"/>
              <w:rPr>
                <w:sz w:val="20"/>
                <w:szCs w:val="20"/>
                <w:color w:val="auto"/>
              </w:rPr>
            </w:pPr>
            <w:r>
              <w:rPr>
                <w:rFonts w:ascii="Courier New" w:cs="Courier New" w:eastAsia="Courier New" w:hAnsi="Courier New"/>
                <w:sz w:val="14"/>
                <w:szCs w:val="14"/>
                <w:color w:val="auto"/>
              </w:rPr>
              <w:t>Bed, Bath &amp; Beyond</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w:t>
            </w:r>
          </w:p>
        </w:tc>
        <w:tc>
          <w:tcPr>
            <w:tcW w:w="1980" w:type="dxa"/>
            <w:vAlign w:val="bottom"/>
          </w:tcPr>
          <w:p>
            <w:pPr>
              <w:ind w:left="420"/>
              <w:spacing w:after="0"/>
              <w:rPr>
                <w:sz w:val="20"/>
                <w:szCs w:val="20"/>
                <w:color w:val="auto"/>
              </w:rPr>
            </w:pPr>
            <w:r>
              <w:rPr>
                <w:rFonts w:ascii="Courier New" w:cs="Courier New" w:eastAsia="Courier New" w:hAnsi="Courier New"/>
                <w:sz w:val="14"/>
                <w:szCs w:val="14"/>
                <w:color w:val="auto"/>
              </w:rPr>
              <w:t>Genuardi's</w:t>
            </w:r>
          </w:p>
        </w:tc>
      </w:tr>
      <w:tr>
        <w:trPr>
          <w:trHeight w:val="166"/>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80" w:type="dxa"/>
            <w:vAlign w:val="bottom"/>
          </w:tcPr>
          <w:p>
            <w:pPr>
              <w:ind w:left="420"/>
              <w:spacing w:after="0"/>
              <w:rPr>
                <w:sz w:val="20"/>
                <w:szCs w:val="20"/>
                <w:color w:val="auto"/>
              </w:rPr>
            </w:pPr>
            <w:r>
              <w:rPr>
                <w:rFonts w:ascii="Courier New" w:cs="Courier New" w:eastAsia="Courier New" w:hAnsi="Courier New"/>
                <w:sz w:val="14"/>
                <w:szCs w:val="14"/>
                <w:color w:val="auto"/>
              </w:rPr>
              <w:t>Office Max</w:t>
            </w:r>
          </w:p>
        </w:tc>
      </w:tr>
      <w:tr>
        <w:trPr>
          <w:trHeight w:val="497"/>
        </w:trPr>
        <w:tc>
          <w:tcPr>
            <w:tcW w:w="2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12</w:t>
            </w:r>
          </w:p>
        </w:tc>
        <w:tc>
          <w:tcPr>
            <w:tcW w:w="198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Year</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Feet (2)</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Completed</w:t>
            </w:r>
          </w:p>
        </w:tc>
        <w:tc>
          <w:tcPr>
            <w:tcW w:w="246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Acquired</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Apartment Units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1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1974</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1995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313,000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8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Downers Grove, IL 60515</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1957</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1980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191,000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r>
      <w:tr>
        <w:trPr>
          <w:trHeight w:val="166"/>
        </w:trPr>
        <w:tc>
          <w:tcPr>
            <w:tcW w:w="1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Flourtown, PA 19031</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1949</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1997</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408,000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w:t>
            </w:r>
          </w:p>
        </w:tc>
      </w:tr>
      <w:tr>
        <w:trPr>
          <w:trHeight w:val="166"/>
        </w:trPr>
        <w:tc>
          <w:tcPr>
            <w:tcW w:w="1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Queens, NY 11365</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112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1958</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1994</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142,000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r>
      <w:tr>
        <w:trPr>
          <w:trHeight w:val="166"/>
        </w:trPr>
        <w:tc>
          <w:tcPr>
            <w:tcW w:w="38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Western Springs, IL 60558</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112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1964</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1973</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218,000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Roseville, MI 48066</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Greenlawn Plaza</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1975</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2000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92,000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r>
      <w:tr>
        <w:trPr>
          <w:trHeight w:val="166"/>
        </w:trPr>
        <w:tc>
          <w:tcPr>
            <w:tcW w:w="1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Greenlawn, NY 11740</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1961</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1988</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190,000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r>
      <w:tr>
        <w:trPr>
          <w:trHeight w:val="166"/>
        </w:trPr>
        <w:tc>
          <w:tcPr>
            <w:tcW w:w="38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Hamilton, NJ 08690 (4)</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112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1963</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1998</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131,000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r>
      <w:tr>
        <w:trPr>
          <w:trHeight w:val="166"/>
        </w:trPr>
        <w:tc>
          <w:tcPr>
            <w:tcW w:w="1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Hauppauge, NY 11788</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1962</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1988</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279,000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r>
      <w:tr>
        <w:trPr>
          <w:trHeight w:val="166"/>
        </w:trPr>
        <w:tc>
          <w:tcPr>
            <w:tcW w:w="38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Huntington, NY 11746 (4)</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1958</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1980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107,000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8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Lancaster, PA 17601(4)</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1966</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1985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216,000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w:t>
            </w:r>
          </w:p>
        </w:tc>
      </w:tr>
      <w:tr>
        <w:trPr>
          <w:trHeight w:val="166"/>
        </w:trPr>
        <w:tc>
          <w:tcPr>
            <w:tcW w:w="1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Levittown, PA 19056</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112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1972</w:t>
            </w:r>
          </w:p>
        </w:tc>
        <w:tc>
          <w:tcPr>
            <w:tcW w:w="24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1980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326,000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r>
      <w:tr>
        <w:trPr>
          <w:trHeight w:val="166"/>
        </w:trPr>
        <w:tc>
          <w:tcPr>
            <w:tcW w:w="1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Broomall, PA 19008</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Overall</w:t>
            </w:r>
          </w:p>
        </w:tc>
        <w:tc>
          <w:tcPr>
            <w:tcW w:w="640" w:type="dxa"/>
            <w:vAlign w:val="bottom"/>
          </w:tcPr>
          <w:p>
            <w:pPr>
              <w:spacing w:after="0"/>
              <w:rPr>
                <w:sz w:val="24"/>
                <w:szCs w:val="24"/>
                <w:color w:val="auto"/>
              </w:rPr>
            </w:pPr>
          </w:p>
        </w:tc>
        <w:tc>
          <w:tcPr>
            <w:tcW w:w="2460" w:type="dxa"/>
            <w:vAlign w:val="bottom"/>
          </w:tcPr>
          <w:p>
            <w:pPr>
              <w:ind w:left="480"/>
              <w:spacing w:after="0"/>
              <w:rPr>
                <w:sz w:val="20"/>
                <w:szCs w:val="20"/>
                <w:color w:val="auto"/>
              </w:rPr>
            </w:pPr>
            <w:r>
              <w:rPr>
                <w:rFonts w:ascii="Courier New" w:cs="Courier New" w:eastAsia="Courier New" w:hAnsi="Courier New"/>
                <w:sz w:val="14"/>
                <w:szCs w:val="14"/>
                <w:color w:val="auto"/>
              </w:rPr>
              <w:t>Principal</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Acres (3)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Occupancy</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460" w:type="dxa"/>
            <w:vAlign w:val="bottom"/>
          </w:tcPr>
          <w:p>
            <w:pPr>
              <w:ind w:left="560"/>
              <w:spacing w:after="0"/>
              <w:rPr>
                <w:sz w:val="20"/>
                <w:szCs w:val="20"/>
                <w:color w:val="auto"/>
              </w:rPr>
            </w:pPr>
            <w:r>
              <w:rPr>
                <w:rFonts w:ascii="Courier New" w:cs="Courier New" w:eastAsia="Courier New" w:hAnsi="Courier New"/>
                <w:sz w:val="14"/>
                <w:szCs w:val="14"/>
                <w:color w:val="auto"/>
              </w:rPr>
              <w:t>Tenants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Bed, Bath &amp; Beyond</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8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Downers Grove, IL 60515</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Sports Authority</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Genuardi's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Flourtown, PA</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19031</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Cineplex Odeon</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Queens, NY</w:t>
            </w:r>
          </w:p>
        </w:tc>
        <w:tc>
          <w:tcPr>
            <w:tcW w:w="7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11365</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Value City</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K Mart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Dominick's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8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Western Springs, IL 60558</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Walgreens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112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Bed, Bath and Beyond</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Roseville, MI</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48066</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Best Buy</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Farmer Jack's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Greenlawn Plaza</w:t>
            </w: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Waldbaum's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Greenlawn, NY</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11740</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Shop Rite</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w w:val="99"/>
              </w:rPr>
              <w:t>Hamilton, NJ</w:t>
            </w:r>
          </w:p>
        </w:tc>
        <w:tc>
          <w:tcPr>
            <w:tcW w:w="7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08690</w:t>
            </w:r>
          </w:p>
        </w:tc>
        <w:tc>
          <w:tcPr>
            <w:tcW w:w="1940" w:type="dxa"/>
            <w:vAlign w:val="bottom"/>
          </w:tcPr>
          <w:p>
            <w:pPr>
              <w:jc w:val="right"/>
              <w:ind w:right="1608"/>
              <w:spacing w:after="0"/>
              <w:rPr>
                <w:sz w:val="20"/>
                <w:szCs w:val="20"/>
                <w:color w:val="auto"/>
              </w:rPr>
            </w:pPr>
            <w:r>
              <w:rPr>
                <w:rFonts w:ascii="Courier New" w:cs="Courier New" w:eastAsia="Courier New" w:hAnsi="Courier New"/>
                <w:sz w:val="14"/>
                <w:szCs w:val="14"/>
                <w:color w:val="auto"/>
                <w:w w:val="95"/>
              </w:rPr>
              <w:t>(4)</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Steven's Furniture</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A.C. Moore</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Shop Rite</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Hauppauge, NY 11788</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Barnes &amp; Noble</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Huntington, NY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11746</w:t>
            </w:r>
          </w:p>
        </w:tc>
        <w:tc>
          <w:tcPr>
            <w:tcW w:w="194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Bed, Bath and Beyond</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Buy Buy Baby</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Toys R Us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A.C. Moore</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Lancaster, PA 17601</w:t>
            </w:r>
          </w:p>
        </w:tc>
        <w:tc>
          <w:tcPr>
            <w:tcW w:w="1940" w:type="dxa"/>
            <w:vAlign w:val="bottom"/>
          </w:tcPr>
          <w:p>
            <w:pPr>
              <w:jc w:val="right"/>
              <w:ind w:right="1608"/>
              <w:spacing w:after="0"/>
              <w:rPr>
                <w:sz w:val="20"/>
                <w:szCs w:val="20"/>
                <w:color w:val="auto"/>
              </w:rPr>
            </w:pPr>
            <w:r>
              <w:rPr>
                <w:rFonts w:ascii="Courier New" w:cs="Courier New" w:eastAsia="Courier New" w:hAnsi="Courier New"/>
                <w:sz w:val="14"/>
                <w:szCs w:val="14"/>
                <w:color w:val="auto"/>
                <w:w w:val="95"/>
              </w:rPr>
              <w:t>(4)</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Giant Food</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w:t>
            </w: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Drug Emporium</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Levittown, PA 19056</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Marshalls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Redner's Market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c>
          <w:tcPr>
            <w:tcW w:w="64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Acme Markets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9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Broomall, PA 19008</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TJ Maxx</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Today's Man</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ectPr>
          <w:pgSz w:w="11900" w:h="16838" w:orient="portrait"/>
          <w:cols w:equalWidth="0" w:num="1">
            <w:col w:w="11380"/>
          </w:cols>
          <w:pgMar w:left="220" w:top="947" w:right="299" w:bottom="0" w:gutter="0" w:footer="0" w:header="0"/>
        </w:sectPr>
      </w:pPr>
    </w:p>
    <w:bookmarkStart w:id="14" w:name="page15"/>
    <w:bookmarkEnd w:id="14"/>
    <w:p>
      <w:pPr>
        <w:ind w:left="21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019"/>
          </w:cols>
          <w:pgMar w:left="1440" w:top="141"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w:t>
            </w:r>
          </w:p>
        </w:tc>
        <w:tc>
          <w:tcPr>
            <w:tcW w:w="2420" w:type="dxa"/>
            <w:vAlign w:val="bottom"/>
          </w:tcPr>
          <w:p>
            <w:pPr>
              <w:ind w:left="1300"/>
              <w:spacing w:after="0"/>
              <w:rPr>
                <w:sz w:val="20"/>
                <w:szCs w:val="20"/>
                <w:color w:val="auto"/>
              </w:rPr>
            </w:pPr>
            <w:r>
              <w:rPr>
                <w:rFonts w:ascii="Courier New" w:cs="Courier New" w:eastAsia="Courier New" w:hAnsi="Courier New"/>
                <w:sz w:val="14"/>
                <w:szCs w:val="14"/>
                <w:color w:val="auto"/>
              </w:rPr>
              <w:t>Year</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Feet (2)</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rPr>
              <w:t>Completed</w:t>
            </w:r>
          </w:p>
        </w:tc>
        <w:tc>
          <w:tcPr>
            <w:tcW w:w="2420" w:type="dxa"/>
            <w:vAlign w:val="bottom"/>
          </w:tcPr>
          <w:p>
            <w:pPr>
              <w:ind w:left="1120"/>
              <w:spacing w:after="0"/>
              <w:rPr>
                <w:sz w:val="20"/>
                <w:szCs w:val="20"/>
                <w:color w:val="auto"/>
              </w:rPr>
            </w:pPr>
            <w:r>
              <w:rPr>
                <w:rFonts w:ascii="Courier New" w:cs="Courier New" w:eastAsia="Courier New" w:hAnsi="Courier New"/>
                <w:sz w:val="14"/>
                <w:szCs w:val="14"/>
                <w:color w:val="auto"/>
              </w:rPr>
              <w:t>Acquired</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Apartment Units</w:t>
            </w:r>
          </w:p>
        </w:tc>
        <w:tc>
          <w:tcPr>
            <w:tcW w:w="14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9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1983</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292,000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r>
      <w:tr>
        <w:trPr>
          <w:trHeight w:val="166"/>
        </w:trPr>
        <w:tc>
          <w:tcPr>
            <w:tcW w:w="20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Philadelphia, PA 19114</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1989</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1994</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129,000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r>
      <w:tr>
        <w:trPr>
          <w:trHeight w:val="166"/>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Lake Zurich, IL 60047</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Queen Anne Plaza</w:t>
            </w: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1967</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1994</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149,000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Norwell, MA 02061</w:t>
            </w: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1973</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1988</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217,000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98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Franklin, N.J. 08873 (4)</w:t>
            </w: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1976</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1996</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171,000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r>
      <w:tr>
        <w:trPr>
          <w:trHeight w:val="166"/>
        </w:trPr>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Saugus, MA 01906</w:t>
            </w: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1966</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1980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202,000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r>
      <w:tr>
        <w:trPr>
          <w:trHeight w:val="166"/>
        </w:trPr>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Parsippany-Troy,</w:t>
            </w:r>
          </w:p>
        </w:tc>
        <w:tc>
          <w:tcPr>
            <w:tcW w:w="2340" w:type="dxa"/>
            <w:vAlign w:val="bottom"/>
            <w:gridSpan w:val="2"/>
          </w:tcPr>
          <w:p>
            <w:pPr>
              <w:jc w:val="right"/>
              <w:ind w:right="1568"/>
              <w:spacing w:after="0"/>
              <w:rPr>
                <w:sz w:val="20"/>
                <w:szCs w:val="20"/>
                <w:color w:val="auto"/>
              </w:rPr>
            </w:pPr>
            <w:r>
              <w:rPr>
                <w:rFonts w:ascii="Courier New" w:cs="Courier New" w:eastAsia="Courier New" w:hAnsi="Courier New"/>
                <w:sz w:val="14"/>
                <w:szCs w:val="14"/>
                <w:color w:val="auto"/>
              </w:rPr>
              <w:t>NJ 07054</w:t>
            </w: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1953</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1984</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215,000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r>
      <w:tr>
        <w:trPr>
          <w:trHeight w:val="166"/>
        </w:trPr>
        <w:tc>
          <w:tcPr>
            <w:tcW w:w="20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Willow Grove, PA 19090</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1948</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1996</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255,000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w:t>
            </w:r>
          </w:p>
        </w:tc>
      </w:tr>
      <w:tr>
        <w:trPr>
          <w:trHeight w:val="166"/>
        </w:trPr>
        <w:tc>
          <w:tcPr>
            <w:tcW w:w="20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Wynnewood, PA 19096</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3980" w:type="dxa"/>
            <w:vAlign w:val="bottom"/>
            <w:gridSpan w:val="4"/>
          </w:tcPr>
          <w:p>
            <w:pPr>
              <w:ind w:left="1040"/>
              <w:spacing w:after="0"/>
              <w:rPr>
                <w:sz w:val="20"/>
                <w:szCs w:val="20"/>
                <w:color w:val="auto"/>
              </w:rPr>
            </w:pPr>
            <w:r>
              <w:rPr>
                <w:rFonts w:ascii="Courier New" w:cs="Courier New" w:eastAsia="Courier New" w:hAnsi="Courier New"/>
                <w:sz w:val="14"/>
                <w:szCs w:val="14"/>
                <w:color w:val="auto"/>
              </w:rPr>
              <w:t>Total Northeast Shopping Centers</w:t>
            </w: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7,141,000</w:t>
            </w: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3980" w:type="dxa"/>
            <w:vAlign w:val="bottom"/>
            <w:gridSpan w:val="4"/>
          </w:tcPr>
          <w:p>
            <w:pPr>
              <w:spacing w:after="0"/>
              <w:rPr>
                <w:sz w:val="20"/>
                <w:szCs w:val="20"/>
                <w:color w:val="auto"/>
              </w:rPr>
            </w:pPr>
            <w:r>
              <w:rPr>
                <w:rFonts w:ascii="Courier New" w:cs="Courier New" w:eastAsia="Courier New" w:hAnsi="Courier New"/>
                <w:sz w:val="14"/>
                <w:szCs w:val="14"/>
                <w:color w:val="auto"/>
              </w:rPr>
              <w:t>Main Street Retail Properties</w:t>
            </w: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0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Ten buildings in CT</w:t>
            </w:r>
          </w:p>
        </w:tc>
        <w:tc>
          <w:tcPr>
            <w:tcW w:w="1900" w:type="dxa"/>
            <w:vAlign w:val="bottom"/>
          </w:tcPr>
          <w:p>
            <w:pPr>
              <w:spacing w:after="0"/>
              <w:rPr>
                <w:sz w:val="24"/>
                <w:szCs w:val="24"/>
                <w:color w:val="auto"/>
              </w:rPr>
            </w:pP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w w:val="99"/>
              </w:rPr>
              <w:t>1900 - 1991</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1994 -1996</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182,000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w:t>
            </w:r>
          </w:p>
        </w:tc>
      </w:tr>
      <w:tr>
        <w:trPr>
          <w:trHeight w:val="331"/>
        </w:trPr>
        <w:tc>
          <w:tcPr>
            <w:tcW w:w="20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Two buildings in IL</w:t>
            </w:r>
          </w:p>
        </w:tc>
        <w:tc>
          <w:tcPr>
            <w:tcW w:w="1900" w:type="dxa"/>
            <w:vAlign w:val="bottom"/>
          </w:tcPr>
          <w:p>
            <w:pPr>
              <w:spacing w:after="0"/>
              <w:rPr>
                <w:sz w:val="24"/>
                <w:szCs w:val="24"/>
                <w:color w:val="auto"/>
              </w:rPr>
            </w:pP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w w:val="99"/>
              </w:rPr>
              <w:t>1920 - 1927</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1995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r>
      <w:tr>
        <w:trPr>
          <w:trHeight w:val="331"/>
        </w:trPr>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One building in MA</w:t>
            </w: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1930</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1995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w:t>
            </w:r>
          </w:p>
        </w:tc>
      </w:tr>
      <w:tr>
        <w:trPr>
          <w:trHeight w:val="331"/>
        </w:trPr>
        <w:tc>
          <w:tcPr>
            <w:tcW w:w="20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Three buildings in NY</w:t>
            </w:r>
          </w:p>
        </w:tc>
        <w:tc>
          <w:tcPr>
            <w:tcW w:w="1900" w:type="dxa"/>
            <w:vAlign w:val="bottom"/>
          </w:tcPr>
          <w:p>
            <w:pPr>
              <w:spacing w:after="0"/>
              <w:rPr>
                <w:sz w:val="24"/>
                <w:szCs w:val="24"/>
                <w:color w:val="auto"/>
              </w:rPr>
            </w:pPr>
          </w:p>
        </w:tc>
        <w:tc>
          <w:tcPr>
            <w:tcW w:w="1540" w:type="dxa"/>
            <w:vAlign w:val="bottom"/>
          </w:tcPr>
          <w:p>
            <w:pPr>
              <w:ind w:left="600"/>
              <w:spacing w:after="0"/>
              <w:rPr>
                <w:sz w:val="20"/>
                <w:szCs w:val="20"/>
                <w:color w:val="auto"/>
              </w:rPr>
            </w:pPr>
            <w:r>
              <w:rPr>
                <w:rFonts w:ascii="Courier New" w:cs="Courier New" w:eastAsia="Courier New" w:hAnsi="Courier New"/>
                <w:sz w:val="14"/>
                <w:szCs w:val="14"/>
                <w:color w:val="auto"/>
                <w:w w:val="99"/>
              </w:rPr>
              <w:t>1937 - 1987</w:t>
            </w:r>
          </w:p>
        </w:tc>
        <w:tc>
          <w:tcPr>
            <w:tcW w:w="242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1997</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86,000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3980" w:type="dxa"/>
            <w:vAlign w:val="bottom"/>
            <w:gridSpan w:val="4"/>
          </w:tcPr>
          <w:p>
            <w:pPr>
              <w:ind w:left="1040"/>
              <w:spacing w:after="0"/>
              <w:rPr>
                <w:sz w:val="20"/>
                <w:szCs w:val="20"/>
                <w:color w:val="auto"/>
              </w:rPr>
            </w:pPr>
            <w:r>
              <w:rPr>
                <w:rFonts w:ascii="Courier New" w:cs="Courier New" w:eastAsia="Courier New" w:hAnsi="Courier New"/>
                <w:sz w:val="14"/>
                <w:szCs w:val="14"/>
                <w:color w:val="auto"/>
              </w:rPr>
              <w:t>Total Northeast Main Street Retail</w:t>
            </w: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Properties</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300,000</w:t>
            </w: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3980" w:type="dxa"/>
            <w:vAlign w:val="bottom"/>
            <w:gridSpan w:val="4"/>
          </w:tcPr>
          <w:p>
            <w:pPr>
              <w:ind w:left="1040"/>
              <w:spacing w:after="0"/>
              <w:rPr>
                <w:sz w:val="20"/>
                <w:szCs w:val="20"/>
                <w:color w:val="auto"/>
              </w:rPr>
            </w:pPr>
            <w:r>
              <w:rPr>
                <w:rFonts w:ascii="Courier New" w:cs="Courier New" w:eastAsia="Courier New" w:hAnsi="Courier New"/>
                <w:sz w:val="14"/>
                <w:szCs w:val="14"/>
                <w:color w:val="auto"/>
              </w:rPr>
              <w:t>Total Northeast Region</w:t>
            </w: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7,441,000</w:t>
            </w: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828"/>
        </w:trPr>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Overall</w:t>
            </w:r>
          </w:p>
        </w:tc>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Principal</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Acres (3)</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 (1)</w:t>
            </w:r>
          </w:p>
        </w:tc>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Tenants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95%</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Burlington Coat Factory</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Philadelphia, PA 19114</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Tower Records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440" w:type="dxa"/>
            <w:vAlign w:val="bottom"/>
          </w:tcPr>
          <w:p>
            <w:pPr>
              <w:spacing w:after="0"/>
              <w:rPr>
                <w:sz w:val="24"/>
                <w:szCs w:val="24"/>
                <w:color w:val="auto"/>
              </w:rPr>
            </w:pPr>
          </w:p>
        </w:tc>
        <w:tc>
          <w:tcPr>
            <w:tcW w:w="19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88%</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Dominick's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Lake Zurich, IL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60047</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Queen Anne Plaza</w:t>
            </w:r>
          </w:p>
        </w:tc>
        <w:tc>
          <w:tcPr>
            <w:tcW w:w="440" w:type="dxa"/>
            <w:vAlign w:val="bottom"/>
          </w:tcPr>
          <w:p>
            <w:pPr>
              <w:spacing w:after="0"/>
              <w:rPr>
                <w:sz w:val="24"/>
                <w:szCs w:val="24"/>
                <w:color w:val="auto"/>
              </w:rPr>
            </w:pPr>
          </w:p>
        </w:tc>
        <w:tc>
          <w:tcPr>
            <w:tcW w:w="19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18</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TJ Maxx</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Norwell, MA</w:t>
            </w:r>
          </w:p>
        </w:tc>
        <w:tc>
          <w:tcPr>
            <w:tcW w:w="7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02061</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Victory Markets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89%</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Edwards Super Food</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Franklin, N.J. 08873</w:t>
            </w:r>
          </w:p>
        </w:tc>
        <w:tc>
          <w:tcPr>
            <w:tcW w:w="1900" w:type="dxa"/>
            <w:vAlign w:val="bottom"/>
          </w:tcPr>
          <w:p>
            <w:pPr>
              <w:jc w:val="right"/>
              <w:ind w:right="1568"/>
              <w:spacing w:after="0"/>
              <w:rPr>
                <w:sz w:val="20"/>
                <w:szCs w:val="20"/>
                <w:color w:val="auto"/>
              </w:rPr>
            </w:pPr>
            <w:r>
              <w:rPr>
                <w:rFonts w:ascii="Courier New" w:cs="Courier New" w:eastAsia="Courier New" w:hAnsi="Courier New"/>
                <w:sz w:val="14"/>
                <w:szCs w:val="14"/>
                <w:color w:val="auto"/>
                <w:w w:val="95"/>
              </w:rPr>
              <w:t>(4)</w:t>
            </w: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K Mart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K Mart</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Saugus, MA</w:t>
            </w:r>
          </w:p>
        </w:tc>
        <w:tc>
          <w:tcPr>
            <w:tcW w:w="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01906</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Super Stop &amp; Shop</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Comp USA</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Parsippany-Troy,</w:t>
            </w:r>
          </w:p>
        </w:tc>
        <w:tc>
          <w:tcPr>
            <w:tcW w:w="23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NJ 07054</w:t>
            </w: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Pathmark</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Toys R Us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A. C. Moore</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Barnes and Noble</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Willow Grove, PA</w:t>
            </w:r>
          </w:p>
        </w:tc>
        <w:tc>
          <w:tcPr>
            <w:tcW w:w="23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19090</w:t>
            </w: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Toys R Us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16</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99%</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Bed, Bath and Beyond</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Wynnewood, PA</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19096</w:t>
            </w: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Borders Books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Genuardi's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Old Navy</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980" w:type="dxa"/>
            <w:vAlign w:val="bottom"/>
            <w:gridSpan w:val="4"/>
          </w:tcPr>
          <w:p>
            <w:pPr>
              <w:ind w:left="1040"/>
              <w:spacing w:after="0"/>
              <w:rPr>
                <w:sz w:val="20"/>
                <w:szCs w:val="20"/>
                <w:color w:val="auto"/>
              </w:rPr>
            </w:pPr>
            <w:r>
              <w:rPr>
                <w:rFonts w:ascii="Courier New" w:cs="Courier New" w:eastAsia="Courier New" w:hAnsi="Courier New"/>
                <w:sz w:val="14"/>
                <w:szCs w:val="14"/>
                <w:color w:val="auto"/>
              </w:rPr>
              <w:t>Total Northeast Shopping Centers</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96%</w:t>
            </w: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980" w:type="dxa"/>
            <w:vAlign w:val="bottom"/>
            <w:gridSpan w:val="4"/>
          </w:tcPr>
          <w:p>
            <w:pPr>
              <w:spacing w:after="0"/>
              <w:rPr>
                <w:sz w:val="20"/>
                <w:szCs w:val="20"/>
                <w:color w:val="auto"/>
              </w:rPr>
            </w:pPr>
            <w:r>
              <w:rPr>
                <w:rFonts w:ascii="Courier New" w:cs="Courier New" w:eastAsia="Courier New" w:hAnsi="Courier New"/>
                <w:sz w:val="14"/>
                <w:szCs w:val="14"/>
                <w:color w:val="auto"/>
              </w:rPr>
              <w:t>Main Street Retail Properties</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96%</w:t>
            </w:r>
          </w:p>
        </w:tc>
        <w:tc>
          <w:tcPr>
            <w:tcW w:w="2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Ten buildings in CT</w:t>
            </w:r>
          </w:p>
        </w:tc>
        <w:tc>
          <w:tcPr>
            <w:tcW w:w="19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85%</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Sak Fifth Avenue</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Two buildings in IL</w:t>
            </w:r>
          </w:p>
        </w:tc>
        <w:tc>
          <w:tcPr>
            <w:tcW w:w="19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Foodstuffs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The Gap</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One building in MA</w:t>
            </w:r>
          </w:p>
        </w:tc>
        <w:tc>
          <w:tcPr>
            <w:tcW w:w="19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AT&amp;T Wireless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380"/>
          </w:cols>
          <w:pgMar w:left="220" w:top="948" w:right="29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Three buildings in NY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Midway Theatre</w:t>
            </w:r>
          </w:p>
        </w:tc>
      </w:tr>
      <w:tr>
        <w:trPr>
          <w:trHeight w:val="166"/>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Duane Reade</w:t>
            </w:r>
          </w:p>
        </w:tc>
      </w:tr>
      <w:tr>
        <w:trPr>
          <w:trHeight w:val="166"/>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The Gap</w:t>
            </w:r>
          </w:p>
        </w:tc>
      </w:tr>
      <w:tr>
        <w:trPr>
          <w:trHeight w:val="166"/>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166"/>
        </w:trPr>
        <w:tc>
          <w:tcPr>
            <w:tcW w:w="3100" w:type="dxa"/>
            <w:vAlign w:val="bottom"/>
          </w:tcPr>
          <w:p>
            <w:pPr>
              <w:ind w:left="860"/>
              <w:spacing w:after="0"/>
              <w:rPr>
                <w:sz w:val="20"/>
                <w:szCs w:val="20"/>
                <w:color w:val="auto"/>
              </w:rPr>
            </w:pPr>
            <w:r>
              <w:rPr>
                <w:rFonts w:ascii="Courier New" w:cs="Courier New" w:eastAsia="Courier New" w:hAnsi="Courier New"/>
                <w:sz w:val="14"/>
                <w:szCs w:val="14"/>
                <w:color w:val="auto"/>
              </w:rPr>
              <w:t>Total Northeast Main</w:t>
            </w: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100" w:type="dxa"/>
            <w:vAlign w:val="bottom"/>
          </w:tcPr>
          <w:p>
            <w:pPr>
              <w:ind w:left="1040"/>
              <w:spacing w:after="0"/>
              <w:rPr>
                <w:sz w:val="20"/>
                <w:szCs w:val="20"/>
                <w:color w:val="auto"/>
              </w:rPr>
            </w:pPr>
            <w:r>
              <w:rPr>
                <w:rFonts w:ascii="Courier New" w:cs="Courier New" w:eastAsia="Courier New" w:hAnsi="Courier New"/>
                <w:sz w:val="14"/>
                <w:szCs w:val="14"/>
                <w:color w:val="auto"/>
              </w:rPr>
              <w:t>Street Retail Properties</w:t>
            </w:r>
          </w:p>
        </w:tc>
        <w:tc>
          <w:tcPr>
            <w:tcW w:w="80" w:type="dxa"/>
            <w:vAlign w:val="bottom"/>
          </w:tcPr>
          <w:p>
            <w:pPr>
              <w:spacing w:after="0"/>
              <w:rPr>
                <w:sz w:val="14"/>
                <w:szCs w:val="14"/>
                <w:color w:val="auto"/>
              </w:rPr>
            </w:pP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91%</w:t>
            </w:r>
          </w:p>
        </w:tc>
        <w:tc>
          <w:tcPr>
            <w:tcW w:w="138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166"/>
        </w:trPr>
        <w:tc>
          <w:tcPr>
            <w:tcW w:w="3100" w:type="dxa"/>
            <w:vAlign w:val="bottom"/>
          </w:tcPr>
          <w:p>
            <w:pPr>
              <w:ind w:left="860"/>
              <w:spacing w:after="0"/>
              <w:rPr>
                <w:sz w:val="20"/>
                <w:szCs w:val="20"/>
                <w:color w:val="auto"/>
              </w:rPr>
            </w:pPr>
            <w:r>
              <w:rPr>
                <w:rFonts w:ascii="Courier New" w:cs="Courier New" w:eastAsia="Courier New" w:hAnsi="Courier New"/>
                <w:sz w:val="14"/>
                <w:szCs w:val="14"/>
                <w:color w:val="auto"/>
              </w:rPr>
              <w:t>Total Northeast Region</w:t>
            </w:r>
          </w:p>
        </w:tc>
        <w:tc>
          <w:tcPr>
            <w:tcW w:w="80" w:type="dxa"/>
            <w:vAlign w:val="bottom"/>
          </w:tcPr>
          <w:p>
            <w:pPr>
              <w:spacing w:after="0"/>
              <w:rPr>
                <w:sz w:val="14"/>
                <w:szCs w:val="14"/>
                <w:color w:val="auto"/>
              </w:rPr>
            </w:pP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96%</w:t>
            </w:r>
          </w:p>
        </w:tc>
        <w:tc>
          <w:tcPr>
            <w:tcW w:w="138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828"/>
        </w:trPr>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right"/>
              <w:ind w:right="1728"/>
              <w:spacing w:after="0"/>
              <w:rPr>
                <w:sz w:val="20"/>
                <w:szCs w:val="20"/>
                <w:color w:val="auto"/>
              </w:rPr>
            </w:pPr>
            <w:r>
              <w:rPr>
                <w:rFonts w:ascii="Courier New" w:cs="Courier New" w:eastAsia="Courier New" w:hAnsi="Courier New"/>
                <w:sz w:val="14"/>
                <w:szCs w:val="14"/>
                <w:color w:val="auto"/>
                <w:w w:val="94"/>
              </w:rPr>
              <w:t>14</w:t>
            </w:r>
          </w:p>
        </w:tc>
        <w:tc>
          <w:tcPr>
            <w:tcW w:w="1380" w:type="dxa"/>
            <w:vAlign w:val="bottom"/>
          </w:tcPr>
          <w:p>
            <w:pPr>
              <w:spacing w:after="0"/>
              <w:rPr>
                <w:sz w:val="24"/>
                <w:szCs w:val="24"/>
                <w:color w:val="auto"/>
              </w:rPr>
            </w:pPr>
          </w:p>
        </w:tc>
      </w:tr>
    </w:tbl>
    <w:p>
      <w:pPr>
        <w:sectPr>
          <w:pgSz w:w="11900" w:h="16838" w:orient="portrait"/>
          <w:cols w:equalWidth="0" w:num="1">
            <w:col w:w="10059"/>
          </w:cols>
          <w:pgMar w:left="400" w:top="141" w:right="1440" w:bottom="1440" w:gutter="0" w:footer="0" w:header="0"/>
        </w:sectPr>
      </w:pPr>
    </w:p>
    <w:bookmarkStart w:id="17" w:name="page18"/>
    <w:bookmarkEnd w:id="17"/>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Year</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Feet (2)</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Completed</w:t>
            </w:r>
          </w:p>
        </w:tc>
        <w:tc>
          <w:tcPr>
            <w:tcW w:w="2500" w:type="dxa"/>
            <w:vAlign w:val="bottom"/>
          </w:tcPr>
          <w:p>
            <w:pPr>
              <w:jc w:val="center"/>
              <w:ind w:left="508"/>
              <w:spacing w:after="0"/>
              <w:rPr>
                <w:sz w:val="20"/>
                <w:szCs w:val="20"/>
                <w:color w:val="auto"/>
              </w:rPr>
            </w:pPr>
            <w:r>
              <w:rPr>
                <w:rFonts w:ascii="Courier New" w:cs="Courier New" w:eastAsia="Courier New" w:hAnsi="Courier New"/>
                <w:sz w:val="14"/>
                <w:szCs w:val="14"/>
                <w:color w:val="auto"/>
              </w:rPr>
              <w:t>Acquired</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Apartment Units</w:t>
            </w:r>
          </w:p>
        </w:tc>
        <w:tc>
          <w:tcPr>
            <w:tcW w:w="14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MID ATLANTIC REGION</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Shopping Centers</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Barracks Road</w:t>
            </w: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1958</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1985</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484,000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w:t>
            </w: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Charlottesville, VA 22905</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1965</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1965</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339,000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Rockville, MD 20852 (6)</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1970</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1997</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Rockville, MD 20852 (7)</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1963</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1986</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159,000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r>
      <w:tr>
        <w:trPr>
          <w:trHeight w:val="166"/>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Chapel Hill, NC 27514</w:t>
            </w: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1967</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73,000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Falls Church, VA 22046</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Falls Plaza - East</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1972</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71,000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Falls Church, VA 22046</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1970</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1989</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247,000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Gaithersburg Square</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1966</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1993</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219,000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Gaithersburg, MD 20878</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1963</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1985</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252,000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Glen Burnie, MD 21961 (5)</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1994</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73,000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Falls Church, VA 22030</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Laurel Centre</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1956</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1986</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384,000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Laurel, MD 20707</w:t>
            </w: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1967</w:t>
            </w:r>
          </w:p>
        </w:tc>
        <w:tc>
          <w:tcPr>
            <w:tcW w:w="250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1998</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247,000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Leesburg, VA 20176 (7)</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Overall</w:t>
            </w:r>
          </w:p>
        </w:tc>
        <w:tc>
          <w:tcPr>
            <w:tcW w:w="2500" w:type="dxa"/>
            <w:vAlign w:val="bottom"/>
          </w:tcPr>
          <w:p>
            <w:pPr>
              <w:ind w:left="680"/>
              <w:spacing w:after="0"/>
              <w:rPr>
                <w:sz w:val="20"/>
                <w:szCs w:val="20"/>
                <w:color w:val="auto"/>
              </w:rPr>
            </w:pPr>
            <w:r>
              <w:rPr>
                <w:rFonts w:ascii="Courier New" w:cs="Courier New" w:eastAsia="Courier New" w:hAnsi="Courier New"/>
                <w:sz w:val="14"/>
                <w:szCs w:val="14"/>
                <w:color w:val="auto"/>
              </w:rPr>
              <w:t>Principal</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Acres (3)</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 (1)</w:t>
            </w:r>
          </w:p>
        </w:tc>
        <w:tc>
          <w:tcPr>
            <w:tcW w:w="2500" w:type="dxa"/>
            <w:vAlign w:val="bottom"/>
          </w:tcPr>
          <w:p>
            <w:pPr>
              <w:ind w:left="780"/>
              <w:spacing w:after="0"/>
              <w:rPr>
                <w:sz w:val="20"/>
                <w:szCs w:val="20"/>
                <w:color w:val="auto"/>
              </w:rPr>
            </w:pPr>
            <w:r>
              <w:rPr>
                <w:rFonts w:ascii="Courier New" w:cs="Courier New" w:eastAsia="Courier New" w:hAnsi="Courier New"/>
                <w:sz w:val="14"/>
                <w:szCs w:val="14"/>
                <w:color w:val="auto"/>
              </w:rPr>
              <w:t>Tenants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MID ATLANTIC REGION</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Shopping Centers</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Barracks Road</w:t>
            </w:r>
          </w:p>
        </w:tc>
        <w:tc>
          <w:tcPr>
            <w:tcW w:w="300" w:type="dxa"/>
            <w:vAlign w:val="bottom"/>
          </w:tcPr>
          <w:p>
            <w:pPr>
              <w:spacing w:after="0"/>
              <w:rPr>
                <w:sz w:val="14"/>
                <w:szCs w:val="1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Bed, Bath &amp; Beyond</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Charlottesville, VA 22905</w:t>
            </w: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Harris Teeter</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Kroger</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Barnes &amp; Noble</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Old Navy</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300" w:type="dxa"/>
            <w:vAlign w:val="bottom"/>
          </w:tcPr>
          <w:p>
            <w:pPr>
              <w:spacing w:after="0"/>
              <w:rPr>
                <w:sz w:val="24"/>
                <w:szCs w:val="2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95%</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Buy Buy Baby</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86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5"/>
              </w:rPr>
              <w:t>(6)</w:t>
            </w: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Fresh Fields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Tower Records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Container Store</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300" w:type="dxa"/>
            <w:vAlign w:val="bottom"/>
          </w:tcPr>
          <w:p>
            <w:pPr>
              <w:spacing w:after="0"/>
              <w:rPr>
                <w:sz w:val="24"/>
                <w:szCs w:val="2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94%</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Rockville Interiors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86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5"/>
              </w:rPr>
              <w:t>(7)</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300" w:type="dxa"/>
            <w:vAlign w:val="bottom"/>
          </w:tcPr>
          <w:p>
            <w:pPr>
              <w:spacing w:after="0"/>
              <w:rPr>
                <w:sz w:val="24"/>
                <w:szCs w:val="2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Southern Season</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Chapel Hill, NC 27514</w:t>
            </w: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300" w:type="dxa"/>
            <w:vAlign w:val="bottom"/>
          </w:tcPr>
          <w:p>
            <w:pPr>
              <w:spacing w:after="0"/>
              <w:rPr>
                <w:sz w:val="24"/>
                <w:szCs w:val="2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Giant Food</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2160" w:type="dxa"/>
            <w:vAlign w:val="bottom"/>
            <w:gridSpan w:val="2"/>
          </w:tcPr>
          <w:p>
            <w:pPr>
              <w:jc w:val="right"/>
              <w:ind w:right="1608"/>
              <w:spacing w:after="0"/>
              <w:rPr>
                <w:sz w:val="20"/>
                <w:szCs w:val="20"/>
                <w:color w:val="auto"/>
              </w:rPr>
            </w:pPr>
            <w:r>
              <w:rPr>
                <w:rFonts w:ascii="Courier New" w:cs="Courier New" w:eastAsia="Courier New" w:hAnsi="Courier New"/>
                <w:sz w:val="14"/>
                <w:szCs w:val="14"/>
                <w:color w:val="auto"/>
              </w:rPr>
              <w:t>22046</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Falls Plaza - East</w:t>
            </w:r>
          </w:p>
        </w:tc>
        <w:tc>
          <w:tcPr>
            <w:tcW w:w="300" w:type="dxa"/>
            <w:vAlign w:val="bottom"/>
          </w:tcPr>
          <w:p>
            <w:pPr>
              <w:spacing w:after="0"/>
              <w:rPr>
                <w:sz w:val="24"/>
                <w:szCs w:val="2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CVS Pharmacy</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2160" w:type="dxa"/>
            <w:vAlign w:val="bottom"/>
            <w:gridSpan w:val="2"/>
          </w:tcPr>
          <w:p>
            <w:pPr>
              <w:jc w:val="right"/>
              <w:ind w:right="1608"/>
              <w:spacing w:after="0"/>
              <w:rPr>
                <w:sz w:val="20"/>
                <w:szCs w:val="20"/>
                <w:color w:val="auto"/>
              </w:rPr>
            </w:pPr>
            <w:r>
              <w:rPr>
                <w:rFonts w:ascii="Courier New" w:cs="Courier New" w:eastAsia="Courier New" w:hAnsi="Courier New"/>
                <w:sz w:val="14"/>
                <w:szCs w:val="14"/>
                <w:color w:val="auto"/>
              </w:rPr>
              <w:t>22046</w:t>
            </w: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Staples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300" w:type="dxa"/>
            <w:vAlign w:val="bottom"/>
          </w:tcPr>
          <w:p>
            <w:pPr>
              <w:spacing w:after="0"/>
              <w:rPr>
                <w:sz w:val="24"/>
                <w:szCs w:val="2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Comp USA</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Ross Dress For Less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TJ Maxx</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Gaithersburg Square</w:t>
            </w:r>
          </w:p>
        </w:tc>
        <w:tc>
          <w:tcPr>
            <w:tcW w:w="300" w:type="dxa"/>
            <w:vAlign w:val="bottom"/>
          </w:tcPr>
          <w:p>
            <w:pPr>
              <w:spacing w:after="0"/>
              <w:rPr>
                <w:sz w:val="24"/>
                <w:szCs w:val="2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Bed, Bath &amp; Beyond</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Gaithersburg, MD</w:t>
            </w:r>
          </w:p>
        </w:tc>
        <w:tc>
          <w:tcPr>
            <w:tcW w:w="2160" w:type="dxa"/>
            <w:vAlign w:val="bottom"/>
            <w:gridSpan w:val="2"/>
          </w:tcPr>
          <w:p>
            <w:pPr>
              <w:jc w:val="right"/>
              <w:ind w:right="1608"/>
              <w:spacing w:after="0"/>
              <w:rPr>
                <w:sz w:val="20"/>
                <w:szCs w:val="20"/>
                <w:color w:val="auto"/>
              </w:rPr>
            </w:pPr>
            <w:r>
              <w:rPr>
                <w:rFonts w:ascii="Courier New" w:cs="Courier New" w:eastAsia="Courier New" w:hAnsi="Courier New"/>
                <w:sz w:val="14"/>
                <w:szCs w:val="14"/>
                <w:color w:val="auto"/>
              </w:rPr>
              <w:t>20878</w:t>
            </w: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Borders Books and Music</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Ross Dress For Less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300" w:type="dxa"/>
            <w:vAlign w:val="bottom"/>
          </w:tcPr>
          <w:p>
            <w:pPr>
              <w:spacing w:after="0"/>
              <w:rPr>
                <w:sz w:val="24"/>
                <w:szCs w:val="2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Office Depot</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Glen Burnie, MD 21961</w:t>
            </w:r>
          </w:p>
        </w:tc>
        <w:tc>
          <w:tcPr>
            <w:tcW w:w="186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Syms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Comp USA</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Bally's Total Fitness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300" w:type="dxa"/>
            <w:vAlign w:val="bottom"/>
          </w:tcPr>
          <w:p>
            <w:pPr>
              <w:spacing w:after="0"/>
              <w:rPr>
                <w:sz w:val="24"/>
                <w:szCs w:val="2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Fresh Fields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Falls Church, VA 22030</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Laurel Centre</w:t>
            </w:r>
          </w:p>
        </w:tc>
        <w:tc>
          <w:tcPr>
            <w:tcW w:w="300" w:type="dxa"/>
            <w:vAlign w:val="bottom"/>
          </w:tcPr>
          <w:p>
            <w:pPr>
              <w:spacing w:after="0"/>
              <w:rPr>
                <w:sz w:val="24"/>
                <w:szCs w:val="2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Giant Food</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Laurel, MD  20707</w:t>
            </w: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Marshalls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Toys R Us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300" w:type="dxa"/>
            <w:vAlign w:val="bottom"/>
          </w:tcPr>
          <w:p>
            <w:pPr>
              <w:spacing w:after="0"/>
              <w:rPr>
                <w:sz w:val="24"/>
                <w:szCs w:val="2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Giant Food</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80" w:orient="portrait"/>
          <w:cols w:equalWidth="0" w:num="1">
            <w:col w:w="11380"/>
          </w:cols>
          <w:pgMar w:left="220" w:top="947" w:right="299"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Leesburg, VA 20176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K Mart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Peebles</w:t>
      </w:r>
    </w:p>
    <w:p>
      <w:pPr>
        <w:spacing w:after="0" w:line="200" w:lineRule="exact"/>
        <w:rPr>
          <w:sz w:val="20"/>
          <w:szCs w:val="20"/>
          <w:color w:val="auto"/>
        </w:rPr>
      </w:pPr>
    </w:p>
    <w:p>
      <w:pPr>
        <w:sectPr>
          <w:pgSz w:w="11900" w:h="16838" w:orient="portrait"/>
          <w:cols w:equalWidth="0" w:num="3">
            <w:col w:w="1560" w:space="160"/>
            <w:col w:w="2900" w:space="720"/>
            <w:col w:w="4719"/>
          </w:cols>
          <w:pgMar w:left="400" w:top="141" w:right="1440" w:bottom="1440" w:gutter="0" w:footer="0" w:header="0"/>
        </w:sectPr>
      </w:pPr>
    </w:p>
    <w:p>
      <w:pPr>
        <w:spacing w:after="0" w:line="1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059"/>
          </w:cols>
          <w:pgMar w:left="400" w:top="141" w:right="1440"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w:t>
            </w:r>
          </w:p>
        </w:tc>
        <w:tc>
          <w:tcPr>
            <w:tcW w:w="2500" w:type="dxa"/>
            <w:vAlign w:val="bottom"/>
          </w:tcPr>
          <w:p>
            <w:pPr>
              <w:ind w:left="1380"/>
              <w:spacing w:after="0"/>
              <w:rPr>
                <w:sz w:val="20"/>
                <w:szCs w:val="20"/>
                <w:color w:val="auto"/>
              </w:rPr>
            </w:pPr>
            <w:r>
              <w:rPr>
                <w:rFonts w:ascii="Courier New" w:cs="Courier New" w:eastAsia="Courier New" w:hAnsi="Courier New"/>
                <w:sz w:val="14"/>
                <w:szCs w:val="14"/>
                <w:color w:val="auto"/>
              </w:rPr>
              <w:t>Year</w:t>
            </w:r>
          </w:p>
        </w:tc>
        <w:tc>
          <w:tcPr>
            <w:tcW w:w="20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Square Feet (2)</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Completed</w:t>
            </w:r>
          </w:p>
        </w:tc>
        <w:tc>
          <w:tcPr>
            <w:tcW w:w="2500" w:type="dxa"/>
            <w:vAlign w:val="bottom"/>
          </w:tcPr>
          <w:p>
            <w:pPr>
              <w:ind w:left="1200"/>
              <w:spacing w:after="0"/>
              <w:rPr>
                <w:sz w:val="20"/>
                <w:szCs w:val="20"/>
                <w:color w:val="auto"/>
              </w:rPr>
            </w:pPr>
            <w:r>
              <w:rPr>
                <w:rFonts w:ascii="Courier New" w:cs="Courier New" w:eastAsia="Courier New" w:hAnsi="Courier New"/>
                <w:sz w:val="14"/>
                <w:szCs w:val="14"/>
                <w:color w:val="auto"/>
              </w:rPr>
              <w:t>Acquired</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Apartment Units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Loehmann's Plaza</w:t>
            </w: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1971</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1983</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242,000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w:t>
            </w:r>
          </w:p>
        </w:tc>
      </w:tr>
      <w:tr>
        <w:trPr>
          <w:trHeight w:val="166"/>
        </w:trPr>
        <w:tc>
          <w:tcPr>
            <w:tcW w:w="16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Fairfax, VA 22042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Magruder's Center</w:t>
            </w: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1955</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1997</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109,000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r>
      <w:tr>
        <w:trPr>
          <w:trHeight w:val="166"/>
        </w:trPr>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20852</w:t>
            </w:r>
          </w:p>
        </w:tc>
        <w:tc>
          <w:tcPr>
            <w:tcW w:w="1760" w:type="dxa"/>
            <w:vAlign w:val="bottom"/>
          </w:tcPr>
          <w:p>
            <w:pPr>
              <w:jc w:val="right"/>
              <w:ind w:right="1428"/>
              <w:spacing w:after="0"/>
              <w:rPr>
                <w:sz w:val="20"/>
                <w:szCs w:val="20"/>
                <w:color w:val="auto"/>
              </w:rPr>
            </w:pPr>
            <w:r>
              <w:rPr>
                <w:rFonts w:ascii="Courier New" w:cs="Courier New" w:eastAsia="Courier New" w:hAnsi="Courier New"/>
                <w:sz w:val="14"/>
                <w:szCs w:val="14"/>
                <w:color w:val="auto"/>
                <w:w w:val="95"/>
              </w:rPr>
              <w:t>(7)</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1963</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1982</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306,000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r>
      <w:tr>
        <w:trPr>
          <w:trHeight w:val="166"/>
        </w:trPr>
        <w:tc>
          <w:tcPr>
            <w:tcW w:w="20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760" w:type="dxa"/>
            <w:vAlign w:val="bottom"/>
          </w:tcPr>
          <w:p>
            <w:pPr>
              <w:jc w:val="right"/>
              <w:ind w:right="1428"/>
              <w:spacing w:after="0"/>
              <w:rPr>
                <w:sz w:val="20"/>
                <w:szCs w:val="20"/>
                <w:color w:val="auto"/>
              </w:rPr>
            </w:pPr>
            <w:r>
              <w:rPr>
                <w:rFonts w:ascii="Courier New" w:cs="Courier New" w:eastAsia="Courier New" w:hAnsi="Courier New"/>
                <w:sz w:val="14"/>
                <w:szCs w:val="14"/>
                <w:color w:val="auto"/>
                <w:w w:val="95"/>
              </w:rPr>
              <w:t>(4)</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1968</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1976</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92,000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r>
      <w:tr>
        <w:trPr>
          <w:trHeight w:val="166"/>
        </w:trPr>
        <w:tc>
          <w:tcPr>
            <w:tcW w:w="16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22152</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1979</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1993</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218,000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Fairfax, VA</w:t>
            </w:r>
          </w:p>
        </w:tc>
        <w:tc>
          <w:tcPr>
            <w:tcW w:w="80" w:type="dxa"/>
            <w:vAlign w:val="bottom"/>
          </w:tcPr>
          <w:p>
            <w:pPr>
              <w:spacing w:after="0"/>
              <w:rPr>
                <w:sz w:val="14"/>
                <w:szCs w:val="14"/>
                <w:color w:val="auto"/>
              </w:rPr>
            </w:pPr>
          </w:p>
        </w:tc>
        <w:tc>
          <w:tcPr>
            <w:tcW w:w="7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22031</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Perring Plaza</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1963</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1985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412,000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r>
      <w:tr>
        <w:trPr>
          <w:trHeight w:val="166"/>
        </w:trPr>
        <w:tc>
          <w:tcPr>
            <w:tcW w:w="20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Baltimore, MD 21134</w:t>
            </w:r>
          </w:p>
        </w:tc>
        <w:tc>
          <w:tcPr>
            <w:tcW w:w="1760" w:type="dxa"/>
            <w:vAlign w:val="bottom"/>
          </w:tcPr>
          <w:p>
            <w:pPr>
              <w:jc w:val="right"/>
              <w:ind w:right="1428"/>
              <w:spacing w:after="0"/>
              <w:rPr>
                <w:sz w:val="20"/>
                <w:szCs w:val="20"/>
                <w:color w:val="auto"/>
              </w:rPr>
            </w:pPr>
            <w:r>
              <w:rPr>
                <w:rFonts w:ascii="Courier New" w:cs="Courier New" w:eastAsia="Courier New" w:hAnsi="Courier New"/>
                <w:sz w:val="14"/>
                <w:szCs w:val="14"/>
                <w:color w:val="auto"/>
                <w:w w:val="95"/>
              </w:rPr>
              <w:t>(5)</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Pike 7 Plaza</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1968</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1997</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164,000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Vienna, VA</w:t>
            </w:r>
          </w:p>
        </w:tc>
        <w:tc>
          <w:tcPr>
            <w:tcW w:w="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22180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080" w:type="dxa"/>
            <w:vAlign w:val="bottom"/>
            <w:gridSpan w:val="4"/>
          </w:tcPr>
          <w:p>
            <w:pPr>
              <w:spacing w:after="0"/>
              <w:rPr>
                <w:sz w:val="20"/>
                <w:szCs w:val="20"/>
                <w:color w:val="auto"/>
              </w:rPr>
            </w:pPr>
            <w:r>
              <w:rPr>
                <w:rFonts w:ascii="Courier New" w:cs="Courier New" w:eastAsia="Courier New" w:hAnsi="Courier New"/>
                <w:sz w:val="14"/>
                <w:szCs w:val="14"/>
                <w:color w:val="auto"/>
              </w:rPr>
              <w:t>Rollingwood Apartments</w:t>
            </w: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1971</w:t>
            </w:r>
          </w:p>
        </w:tc>
        <w:tc>
          <w:tcPr>
            <w:tcW w:w="2020" w:type="dxa"/>
            <w:vAlign w:val="bottom"/>
          </w:tcPr>
          <w:p>
            <w:pPr>
              <w:ind w:left="680"/>
              <w:spacing w:after="0"/>
              <w:rPr>
                <w:sz w:val="20"/>
                <w:szCs w:val="20"/>
                <w:color w:val="auto"/>
              </w:rPr>
            </w:pPr>
            <w:r>
              <w:rPr>
                <w:rFonts w:ascii="Courier New" w:cs="Courier New" w:eastAsia="Courier New" w:hAnsi="Courier New"/>
                <w:sz w:val="14"/>
                <w:szCs w:val="14"/>
                <w:color w:val="auto"/>
              </w:rPr>
              <w:t>282 units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r>
      <w:tr>
        <w:trPr>
          <w:trHeight w:val="166"/>
        </w:trPr>
        <w:tc>
          <w:tcPr>
            <w:tcW w:w="38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Silver Spring, MD 20910</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8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9 three story buildings</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1975</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1993</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237,000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w:t>
            </w:r>
          </w:p>
        </w:tc>
      </w:tr>
      <w:tr>
        <w:trPr>
          <w:trHeight w:val="166"/>
        </w:trPr>
        <w:tc>
          <w:tcPr>
            <w:tcW w:w="20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Gaithersburg, MD 20877</w:t>
            </w:r>
          </w:p>
        </w:tc>
        <w:tc>
          <w:tcPr>
            <w:tcW w:w="176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(8)</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080" w:type="dxa"/>
            <w:vAlign w:val="bottom"/>
            <w:gridSpan w:val="4"/>
          </w:tcPr>
          <w:p>
            <w:pPr>
              <w:spacing w:after="0"/>
              <w:rPr>
                <w:sz w:val="20"/>
                <w:szCs w:val="20"/>
                <w:color w:val="auto"/>
              </w:rPr>
            </w:pPr>
            <w:r>
              <w:rPr>
                <w:rFonts w:ascii="Courier New" w:cs="Courier New" w:eastAsia="Courier New" w:hAnsi="Courier New"/>
                <w:sz w:val="14"/>
                <w:szCs w:val="14"/>
                <w:color w:val="auto"/>
              </w:rPr>
              <w:t>Tower Shopping Center</w:t>
            </w: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1998</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109,000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w:t>
            </w:r>
          </w:p>
        </w:tc>
      </w:tr>
      <w:tr>
        <w:trPr>
          <w:trHeight w:val="166"/>
        </w:trPr>
        <w:tc>
          <w:tcPr>
            <w:tcW w:w="16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22150</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1954</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1978</w:t>
            </w:r>
          </w:p>
        </w:tc>
        <w:tc>
          <w:tcPr>
            <w:tcW w:w="2020" w:type="dxa"/>
            <w:vAlign w:val="bottom"/>
          </w:tcPr>
          <w:p>
            <w:pPr>
              <w:ind w:left="680"/>
              <w:spacing w:after="0"/>
              <w:rPr>
                <w:sz w:val="20"/>
                <w:szCs w:val="20"/>
                <w:color w:val="auto"/>
              </w:rPr>
            </w:pPr>
            <w:r>
              <w:rPr>
                <w:rFonts w:ascii="Courier New" w:cs="Courier New" w:eastAsia="Courier New" w:hAnsi="Courier New"/>
                <w:sz w:val="14"/>
                <w:szCs w:val="14"/>
                <w:color w:val="auto"/>
              </w:rPr>
              <w:t>50,000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w:t>
            </w:r>
          </w:p>
        </w:tc>
      </w:tr>
      <w:tr>
        <w:trPr>
          <w:trHeight w:val="166"/>
        </w:trPr>
        <w:tc>
          <w:tcPr>
            <w:tcW w:w="16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2200" w:type="dxa"/>
            <w:vAlign w:val="bottom"/>
            <w:gridSpan w:val="2"/>
          </w:tcPr>
          <w:p>
            <w:pPr>
              <w:jc w:val="right"/>
              <w:ind w:right="1608"/>
              <w:spacing w:after="0"/>
              <w:rPr>
                <w:sz w:val="20"/>
                <w:szCs w:val="20"/>
                <w:color w:val="auto"/>
              </w:rPr>
            </w:pPr>
            <w:r>
              <w:rPr>
                <w:rFonts w:ascii="Courier New" w:cs="Courier New" w:eastAsia="Courier New" w:hAnsi="Courier New"/>
                <w:sz w:val="14"/>
                <w:szCs w:val="14"/>
                <w:color w:val="auto"/>
              </w:rPr>
              <w:t>22043</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1958</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1969</w:t>
            </w:r>
          </w:p>
        </w:tc>
        <w:tc>
          <w:tcPr>
            <w:tcW w:w="2020" w:type="dxa"/>
            <w:vAlign w:val="bottom"/>
          </w:tcPr>
          <w:p>
            <w:pPr>
              <w:ind w:left="680"/>
              <w:spacing w:after="0"/>
              <w:rPr>
                <w:sz w:val="20"/>
                <w:szCs w:val="20"/>
                <w:color w:val="auto"/>
              </w:rPr>
            </w:pPr>
            <w:r>
              <w:rPr>
                <w:rFonts w:ascii="Courier New" w:cs="Courier New" w:eastAsia="Courier New" w:hAnsi="Courier New"/>
                <w:sz w:val="14"/>
                <w:szCs w:val="14"/>
                <w:color w:val="auto"/>
              </w:rPr>
              <w:t>84,000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Bethesda, MD</w:t>
            </w:r>
          </w:p>
        </w:tc>
        <w:tc>
          <w:tcPr>
            <w:tcW w:w="80" w:type="dxa"/>
            <w:vAlign w:val="bottom"/>
          </w:tcPr>
          <w:p>
            <w:pPr>
              <w:spacing w:after="0"/>
              <w:rPr>
                <w:sz w:val="14"/>
                <w:szCs w:val="14"/>
                <w:color w:val="auto"/>
              </w:rPr>
            </w:pPr>
          </w:p>
        </w:tc>
        <w:tc>
          <w:tcPr>
            <w:tcW w:w="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20814</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080" w:type="dxa"/>
            <w:vAlign w:val="bottom"/>
            <w:gridSpan w:val="4"/>
          </w:tcPr>
          <w:p>
            <w:pPr>
              <w:spacing w:after="0"/>
              <w:rPr>
                <w:sz w:val="20"/>
                <w:szCs w:val="20"/>
                <w:color w:val="auto"/>
              </w:rPr>
            </w:pPr>
            <w:r>
              <w:rPr>
                <w:rFonts w:ascii="Courier New" w:cs="Courier New" w:eastAsia="Courier New" w:hAnsi="Courier New"/>
                <w:sz w:val="14"/>
                <w:szCs w:val="14"/>
                <w:color w:val="auto"/>
              </w:rPr>
              <w:t>The Shops at Willow Lawn</w:t>
            </w:r>
          </w:p>
        </w:tc>
        <w:tc>
          <w:tcPr>
            <w:tcW w:w="176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1957</w:t>
            </w:r>
          </w:p>
        </w:tc>
        <w:tc>
          <w:tcPr>
            <w:tcW w:w="2500" w:type="dxa"/>
            <w:vAlign w:val="bottom"/>
          </w:tcPr>
          <w:p>
            <w:pPr>
              <w:ind w:left="1280"/>
              <w:spacing w:after="0"/>
              <w:rPr>
                <w:sz w:val="20"/>
                <w:szCs w:val="20"/>
                <w:color w:val="auto"/>
              </w:rPr>
            </w:pPr>
            <w:r>
              <w:rPr>
                <w:rFonts w:ascii="Courier New" w:cs="Courier New" w:eastAsia="Courier New" w:hAnsi="Courier New"/>
                <w:sz w:val="14"/>
                <w:szCs w:val="14"/>
                <w:color w:val="auto"/>
              </w:rPr>
              <w:t>1983</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503,000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w:t>
            </w:r>
          </w:p>
        </w:tc>
      </w:tr>
      <w:tr>
        <w:trPr>
          <w:trHeight w:val="166"/>
        </w:trPr>
        <w:tc>
          <w:tcPr>
            <w:tcW w:w="20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Richmond, VA 23230</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3840" w:type="dxa"/>
            <w:vAlign w:val="bottom"/>
            <w:gridSpan w:val="5"/>
          </w:tcPr>
          <w:p>
            <w:pPr>
              <w:jc w:val="right"/>
              <w:ind w:right="48"/>
              <w:spacing w:after="0"/>
              <w:rPr>
                <w:sz w:val="20"/>
                <w:szCs w:val="20"/>
                <w:color w:val="auto"/>
              </w:rPr>
            </w:pPr>
            <w:r>
              <w:rPr>
                <w:rFonts w:ascii="Courier New" w:cs="Courier New" w:eastAsia="Courier New" w:hAnsi="Courier New"/>
                <w:sz w:val="14"/>
                <w:szCs w:val="14"/>
                <w:color w:val="auto"/>
              </w:rPr>
              <w:t>Total Mid Atlantic Shopping Centers</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5,112,000</w:t>
            </w:r>
          </w:p>
        </w:tc>
        <w:tc>
          <w:tcPr>
            <w:tcW w:w="142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Overall</w:t>
            </w:r>
          </w:p>
        </w:tc>
        <w:tc>
          <w:tcPr>
            <w:tcW w:w="2500" w:type="dxa"/>
            <w:vAlign w:val="bottom"/>
          </w:tcPr>
          <w:p>
            <w:pPr>
              <w:ind w:left="680"/>
              <w:spacing w:after="0"/>
              <w:rPr>
                <w:sz w:val="20"/>
                <w:szCs w:val="20"/>
                <w:color w:val="auto"/>
              </w:rPr>
            </w:pPr>
            <w:r>
              <w:rPr>
                <w:rFonts w:ascii="Courier New" w:cs="Courier New" w:eastAsia="Courier New" w:hAnsi="Courier New"/>
                <w:sz w:val="14"/>
                <w:szCs w:val="14"/>
                <w:color w:val="auto"/>
              </w:rPr>
              <w:t>Principal</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Acres (3)</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 (1)</w:t>
            </w:r>
          </w:p>
        </w:tc>
        <w:tc>
          <w:tcPr>
            <w:tcW w:w="2500" w:type="dxa"/>
            <w:vAlign w:val="bottom"/>
          </w:tcPr>
          <w:p>
            <w:pPr>
              <w:ind w:left="780"/>
              <w:spacing w:after="0"/>
              <w:rPr>
                <w:sz w:val="20"/>
                <w:szCs w:val="20"/>
                <w:color w:val="auto"/>
              </w:rPr>
            </w:pPr>
            <w:r>
              <w:rPr>
                <w:rFonts w:ascii="Courier New" w:cs="Courier New" w:eastAsia="Courier New" w:hAnsi="Courier New"/>
                <w:sz w:val="14"/>
                <w:szCs w:val="14"/>
                <w:color w:val="auto"/>
              </w:rPr>
              <w:t>Tenants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Loehmann's Plaza</w:t>
            </w:r>
          </w:p>
        </w:tc>
        <w:tc>
          <w:tcPr>
            <w:tcW w:w="440" w:type="dxa"/>
            <w:vAlign w:val="bottom"/>
          </w:tcPr>
          <w:p>
            <w:pPr>
              <w:spacing w:after="0"/>
              <w:rPr>
                <w:sz w:val="24"/>
                <w:szCs w:val="2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18</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Linens N Things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Fairfax, VA 22042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Bally's Total Fitness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Loehmann's Dress Shop</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Magruder's Center</w:t>
            </w:r>
          </w:p>
        </w:tc>
        <w:tc>
          <w:tcPr>
            <w:tcW w:w="440" w:type="dxa"/>
            <w:vAlign w:val="bottom"/>
          </w:tcPr>
          <w:p>
            <w:pPr>
              <w:spacing w:after="0"/>
              <w:rPr>
                <w:sz w:val="24"/>
                <w:szCs w:val="2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Magruder's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20852</w:t>
            </w:r>
          </w:p>
        </w:tc>
        <w:tc>
          <w:tcPr>
            <w:tcW w:w="1760" w:type="dxa"/>
            <w:vAlign w:val="bottom"/>
          </w:tcPr>
          <w:p>
            <w:pPr>
              <w:jc w:val="right"/>
              <w:ind w:right="1428"/>
              <w:spacing w:after="0"/>
              <w:rPr>
                <w:sz w:val="20"/>
                <w:szCs w:val="20"/>
                <w:color w:val="auto"/>
              </w:rPr>
            </w:pPr>
            <w:r>
              <w:rPr>
                <w:rFonts w:ascii="Courier New" w:cs="Courier New" w:eastAsia="Courier New" w:hAnsi="Courier New"/>
                <w:sz w:val="14"/>
                <w:szCs w:val="14"/>
                <w:color w:val="auto"/>
                <w:w w:val="95"/>
              </w:rPr>
              <w:t>(7)</w:t>
            </w: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Tuesday Morning</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Bally Total Fitness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0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760" w:type="dxa"/>
            <w:vAlign w:val="bottom"/>
          </w:tcPr>
          <w:p>
            <w:pPr>
              <w:jc w:val="right"/>
              <w:ind w:right="1428"/>
              <w:spacing w:after="0"/>
              <w:rPr>
                <w:sz w:val="20"/>
                <w:szCs w:val="20"/>
                <w:color w:val="auto"/>
              </w:rPr>
            </w:pPr>
            <w:r>
              <w:rPr>
                <w:rFonts w:ascii="Courier New" w:cs="Courier New" w:eastAsia="Courier New" w:hAnsi="Courier New"/>
                <w:sz w:val="14"/>
                <w:szCs w:val="14"/>
                <w:color w:val="auto"/>
                <w:w w:val="95"/>
              </w:rPr>
              <w:t>(4)</w:t>
            </w: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Linens N Things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Toys R Us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A. C. Moore</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Fresh Fields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22152</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Michael's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Fairfax, VA</w:t>
            </w:r>
          </w:p>
        </w:tc>
        <w:tc>
          <w:tcPr>
            <w:tcW w:w="80" w:type="dxa"/>
            <w:vAlign w:val="bottom"/>
          </w:tcPr>
          <w:p>
            <w:pPr>
              <w:spacing w:after="0"/>
              <w:rPr>
                <w:sz w:val="14"/>
                <w:szCs w:val="14"/>
                <w:color w:val="auto"/>
              </w:rPr>
            </w:pPr>
          </w:p>
        </w:tc>
        <w:tc>
          <w:tcPr>
            <w:tcW w:w="7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22031</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Micro Center</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Safeway</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Perring Plaza</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88%</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Burlington Coat Factory</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0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Baltimore, MD 21134</w:t>
            </w:r>
          </w:p>
        </w:tc>
        <w:tc>
          <w:tcPr>
            <w:tcW w:w="1760" w:type="dxa"/>
            <w:vAlign w:val="bottom"/>
          </w:tcPr>
          <w:p>
            <w:pPr>
              <w:jc w:val="right"/>
              <w:ind w:right="1428"/>
              <w:spacing w:after="0"/>
              <w:rPr>
                <w:sz w:val="20"/>
                <w:szCs w:val="20"/>
                <w:color w:val="auto"/>
              </w:rPr>
            </w:pPr>
            <w:r>
              <w:rPr>
                <w:rFonts w:ascii="Courier New" w:cs="Courier New" w:eastAsia="Courier New" w:hAnsi="Courier New"/>
                <w:sz w:val="14"/>
                <w:szCs w:val="14"/>
                <w:color w:val="auto"/>
                <w:w w:val="95"/>
              </w:rPr>
              <w:t>(5)</w:t>
            </w: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Home Depot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Metro Foods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Pike 7 Plaza</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Staples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Vienna, VA</w:t>
            </w:r>
          </w:p>
        </w:tc>
        <w:tc>
          <w:tcPr>
            <w:tcW w:w="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22180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TJ Maxx</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Tower Records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080" w:type="dxa"/>
            <w:vAlign w:val="bottom"/>
            <w:gridSpan w:val="4"/>
          </w:tcPr>
          <w:p>
            <w:pPr>
              <w:spacing w:after="0"/>
              <w:rPr>
                <w:sz w:val="20"/>
                <w:szCs w:val="20"/>
                <w:color w:val="auto"/>
              </w:rPr>
            </w:pPr>
            <w:r>
              <w:rPr>
                <w:rFonts w:ascii="Courier New" w:cs="Courier New" w:eastAsia="Courier New" w:hAnsi="Courier New"/>
                <w:sz w:val="14"/>
                <w:szCs w:val="14"/>
                <w:color w:val="auto"/>
              </w:rPr>
              <w:t>Rollingwood Apartments</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w:t>
            </w:r>
          </w:p>
        </w:tc>
        <w:tc>
          <w:tcPr>
            <w:tcW w:w="2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8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Silver Spring, MD 20910</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8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9 three story buildings</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Circuit City</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0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Gaithersburg, MD 20877</w:t>
            </w:r>
          </w:p>
        </w:tc>
        <w:tc>
          <w:tcPr>
            <w:tcW w:w="176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(8)</w:t>
            </w: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Magruders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Staples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080" w:type="dxa"/>
            <w:vAlign w:val="bottom"/>
            <w:gridSpan w:val="4"/>
          </w:tcPr>
          <w:p>
            <w:pPr>
              <w:spacing w:after="0"/>
              <w:rPr>
                <w:sz w:val="20"/>
                <w:szCs w:val="20"/>
                <w:color w:val="auto"/>
              </w:rPr>
            </w:pPr>
            <w:r>
              <w:rPr>
                <w:rFonts w:ascii="Courier New" w:cs="Courier New" w:eastAsia="Courier New" w:hAnsi="Courier New"/>
                <w:sz w:val="14"/>
                <w:szCs w:val="14"/>
                <w:color w:val="auto"/>
              </w:rPr>
              <w:t>Tower Shopping Center</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88%</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Virginia Fine Wine</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22150</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Talbot's Outlet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Trader Joe's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6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2200" w:type="dxa"/>
            <w:vAlign w:val="bottom"/>
            <w:gridSpan w:val="2"/>
          </w:tcPr>
          <w:p>
            <w:pPr>
              <w:jc w:val="right"/>
              <w:ind w:right="1608"/>
              <w:spacing w:after="0"/>
              <w:rPr>
                <w:sz w:val="20"/>
                <w:szCs w:val="20"/>
                <w:color w:val="auto"/>
              </w:rPr>
            </w:pPr>
            <w:r>
              <w:rPr>
                <w:rFonts w:ascii="Courier New" w:cs="Courier New" w:eastAsia="Courier New" w:hAnsi="Courier New"/>
                <w:sz w:val="14"/>
                <w:szCs w:val="14"/>
                <w:color w:val="auto"/>
              </w:rPr>
              <w:t>22043</w:t>
            </w:r>
          </w:p>
        </w:tc>
        <w:tc>
          <w:tcPr>
            <w:tcW w:w="16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CVS Pharmacy</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Bethesda, MD</w:t>
            </w:r>
          </w:p>
        </w:tc>
        <w:tc>
          <w:tcPr>
            <w:tcW w:w="80" w:type="dxa"/>
            <w:vAlign w:val="bottom"/>
          </w:tcPr>
          <w:p>
            <w:pPr>
              <w:spacing w:after="0"/>
              <w:rPr>
                <w:sz w:val="14"/>
                <w:szCs w:val="14"/>
                <w:color w:val="auto"/>
              </w:rPr>
            </w:pPr>
          </w:p>
        </w:tc>
        <w:tc>
          <w:tcPr>
            <w:tcW w:w="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20814</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Sutton Place Gourmet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ectPr>
          <w:pgSz w:w="11900" w:h="16838" w:orient="portrait"/>
          <w:cols w:equalWidth="0" w:num="1">
            <w:col w:w="11380"/>
          </w:cols>
          <w:pgMar w:left="220" w:top="947" w:right="29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The Shops at Willow Lawn</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87%</w:t>
            </w:r>
          </w:p>
        </w:tc>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Dillards</w:t>
            </w:r>
          </w:p>
        </w:tc>
      </w:tr>
      <w:tr>
        <w:trPr>
          <w:trHeight w:val="166"/>
        </w:trPr>
        <w:tc>
          <w:tcPr>
            <w:tcW w:w="2540" w:type="dxa"/>
            <w:vAlign w:val="bottom"/>
          </w:tcPr>
          <w:p>
            <w:pPr>
              <w:ind w:left="180"/>
              <w:spacing w:after="0"/>
              <w:rPr>
                <w:sz w:val="20"/>
                <w:szCs w:val="20"/>
                <w:color w:val="auto"/>
              </w:rPr>
            </w:pPr>
            <w:r>
              <w:rPr>
                <w:rFonts w:ascii="Courier New" w:cs="Courier New" w:eastAsia="Courier New" w:hAnsi="Courier New"/>
                <w:sz w:val="14"/>
                <w:szCs w:val="14"/>
                <w:color w:val="auto"/>
              </w:rPr>
              <w:t>Richmond, VA 23230</w:t>
            </w:r>
          </w:p>
        </w:tc>
        <w:tc>
          <w:tcPr>
            <w:tcW w:w="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Hannaford Brothers</w:t>
            </w:r>
          </w:p>
        </w:tc>
      </w:tr>
      <w:tr>
        <w:trPr>
          <w:trHeight w:val="166"/>
        </w:trPr>
        <w:tc>
          <w:tcPr>
            <w:tcW w:w="2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Kronger</w:t>
            </w:r>
          </w:p>
        </w:tc>
      </w:tr>
      <w:tr>
        <w:trPr>
          <w:trHeight w:val="166"/>
        </w:trPr>
        <w:tc>
          <w:tcPr>
            <w:tcW w:w="2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Old Navy</w:t>
            </w:r>
          </w:p>
        </w:tc>
      </w:tr>
      <w:tr>
        <w:trPr>
          <w:trHeight w:val="166"/>
        </w:trPr>
        <w:tc>
          <w:tcPr>
            <w:tcW w:w="2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spacing w:after="0"/>
              <w:rPr>
                <w:sz w:val="14"/>
                <w:szCs w:val="14"/>
                <w:color w:val="auto"/>
              </w:rPr>
            </w:pPr>
          </w:p>
        </w:tc>
      </w:tr>
      <w:tr>
        <w:trPr>
          <w:trHeight w:val="166"/>
        </w:trPr>
        <w:tc>
          <w:tcPr>
            <w:tcW w:w="3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 Mid Atlantic Shopping Centers</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96%</w:t>
            </w:r>
          </w:p>
        </w:tc>
        <w:tc>
          <w:tcPr>
            <w:tcW w:w="174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spacing w:after="0"/>
              <w:rPr>
                <w:sz w:val="14"/>
                <w:szCs w:val="14"/>
                <w:color w:val="auto"/>
              </w:rPr>
            </w:pPr>
          </w:p>
        </w:tc>
      </w:tr>
      <w:tr>
        <w:trPr>
          <w:trHeight w:val="497"/>
        </w:trPr>
        <w:tc>
          <w:tcPr>
            <w:tcW w:w="2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tcPr>
          <w:p>
            <w:pPr>
              <w:jc w:val="right"/>
              <w:ind w:right="1728"/>
              <w:spacing w:after="0"/>
              <w:rPr>
                <w:sz w:val="20"/>
                <w:szCs w:val="20"/>
                <w:color w:val="auto"/>
              </w:rPr>
            </w:pPr>
            <w:r>
              <w:rPr>
                <w:rFonts w:ascii="Courier New" w:cs="Courier New" w:eastAsia="Courier New" w:hAnsi="Courier New"/>
                <w:sz w:val="14"/>
                <w:szCs w:val="14"/>
                <w:color w:val="auto"/>
                <w:w w:val="94"/>
              </w:rPr>
              <w:t>16</w:t>
            </w:r>
          </w:p>
        </w:tc>
        <w:tc>
          <w:tcPr>
            <w:tcW w:w="174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21" w:name="page22"/>
    <w:bookmarkEnd w:id="21"/>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w:t>
            </w:r>
          </w:p>
        </w:tc>
        <w:tc>
          <w:tcPr>
            <w:tcW w:w="480" w:type="dxa"/>
            <w:vAlign w:val="bottom"/>
          </w:tcPr>
          <w:p>
            <w:pPr>
              <w:spacing w:after="0"/>
              <w:rPr>
                <w:sz w:val="14"/>
                <w:szCs w:val="14"/>
                <w:color w:val="auto"/>
              </w:rPr>
            </w:pP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Year</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Feet (2)</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Completed</w:t>
            </w:r>
          </w:p>
        </w:tc>
        <w:tc>
          <w:tcPr>
            <w:tcW w:w="480" w:type="dxa"/>
            <w:vAlign w:val="bottom"/>
          </w:tcPr>
          <w:p>
            <w:pPr>
              <w:spacing w:after="0"/>
              <w:rPr>
                <w:sz w:val="14"/>
                <w:szCs w:val="14"/>
                <w:color w:val="auto"/>
              </w:rPr>
            </w:pPr>
          </w:p>
        </w:tc>
        <w:tc>
          <w:tcPr>
            <w:tcW w:w="19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Acquired</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Apartment Units</w:t>
            </w:r>
          </w:p>
        </w:tc>
        <w:tc>
          <w:tcPr>
            <w:tcW w:w="14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Main Street Retail Properties</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1945-1991,</w:t>
            </w:r>
          </w:p>
        </w:tc>
        <w:tc>
          <w:tcPr>
            <w:tcW w:w="480" w:type="dxa"/>
            <w:vAlign w:val="bottom"/>
          </w:tcPr>
          <w:p>
            <w:pPr>
              <w:spacing w:after="0"/>
              <w:rPr>
                <w:sz w:val="24"/>
                <w:szCs w:val="24"/>
                <w:color w:val="auto"/>
              </w:rPr>
            </w:pPr>
          </w:p>
        </w:tc>
        <w:tc>
          <w:tcPr>
            <w:tcW w:w="19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1993-1998</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457,000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Bethesda, MD 20814 (9)</w:t>
            </w:r>
          </w:p>
        </w:tc>
        <w:tc>
          <w:tcPr>
            <w:tcW w:w="780" w:type="dxa"/>
            <w:vAlign w:val="bottom"/>
          </w:tcPr>
          <w:p>
            <w:pPr>
              <w:spacing w:after="0"/>
              <w:rPr>
                <w:sz w:val="14"/>
                <w:szCs w:val="14"/>
                <w:color w:val="auto"/>
              </w:rPr>
            </w:pPr>
          </w:p>
        </w:tc>
        <w:tc>
          <w:tcPr>
            <w:tcW w:w="164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1480" w:type="dxa"/>
            <w:vAlign w:val="bottom"/>
          </w:tcPr>
          <w:p>
            <w:pPr>
              <w:spacing w:after="0"/>
              <w:rPr>
                <w:sz w:val="20"/>
                <w:szCs w:val="20"/>
                <w:color w:val="auto"/>
              </w:rPr>
            </w:pPr>
            <w:r>
              <w:rPr>
                <w:rFonts w:ascii="Courier New" w:cs="Courier New" w:eastAsia="Courier New" w:hAnsi="Courier New"/>
                <w:sz w:val="14"/>
                <w:szCs w:val="14"/>
                <w:color w:val="auto"/>
              </w:rPr>
              <w:t>Friendship Center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24"/>
                <w:szCs w:val="24"/>
                <w:color w:val="auto"/>
              </w:rPr>
            </w:pPr>
          </w:p>
        </w:tc>
        <w:tc>
          <w:tcPr>
            <w:tcW w:w="19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2001</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119,000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Washington, D.C</w:t>
            </w:r>
          </w:p>
        </w:tc>
        <w:tc>
          <w:tcPr>
            <w:tcW w:w="1620" w:type="dxa"/>
            <w:vAlign w:val="bottom"/>
          </w:tcPr>
          <w:p>
            <w:pPr>
              <w:ind w:left="160"/>
              <w:spacing w:after="0"/>
              <w:rPr>
                <w:sz w:val="20"/>
                <w:szCs w:val="20"/>
                <w:color w:val="auto"/>
              </w:rPr>
            </w:pPr>
            <w:r>
              <w:rPr>
                <w:rFonts w:ascii="Courier New" w:cs="Courier New" w:eastAsia="Courier New" w:hAnsi="Courier New"/>
                <w:sz w:val="14"/>
                <w:szCs w:val="14"/>
                <w:color w:val="auto"/>
              </w:rPr>
              <w:t>20015</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ind w:left="780"/>
              <w:spacing w:after="0"/>
              <w:rPr>
                <w:sz w:val="20"/>
                <w:szCs w:val="20"/>
                <w:color w:val="auto"/>
              </w:rPr>
            </w:pPr>
            <w:r>
              <w:rPr>
                <w:rFonts w:ascii="Courier New" w:cs="Courier New" w:eastAsia="Courier New" w:hAnsi="Courier New"/>
                <w:sz w:val="14"/>
                <w:szCs w:val="14"/>
                <w:color w:val="auto"/>
              </w:rPr>
              <w:t>2001-2002</w:t>
            </w:r>
          </w:p>
        </w:tc>
        <w:tc>
          <w:tcPr>
            <w:tcW w:w="480" w:type="dxa"/>
            <w:vAlign w:val="bottom"/>
          </w:tcPr>
          <w:p>
            <w:pPr>
              <w:spacing w:after="0"/>
              <w:rPr>
                <w:sz w:val="24"/>
                <w:szCs w:val="24"/>
                <w:color w:val="auto"/>
              </w:rPr>
            </w:pPr>
          </w:p>
        </w:tc>
        <w:tc>
          <w:tcPr>
            <w:tcW w:w="19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1999</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296,000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Arlington, VA 22202 (8)</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Sam's Park &amp; Shop</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1930</w:t>
            </w:r>
          </w:p>
        </w:tc>
        <w:tc>
          <w:tcPr>
            <w:tcW w:w="480" w:type="dxa"/>
            <w:vAlign w:val="bottom"/>
          </w:tcPr>
          <w:p>
            <w:pPr>
              <w:spacing w:after="0"/>
              <w:rPr>
                <w:sz w:val="24"/>
                <w:szCs w:val="24"/>
                <w:color w:val="auto"/>
              </w:rPr>
            </w:pPr>
          </w:p>
        </w:tc>
        <w:tc>
          <w:tcPr>
            <w:tcW w:w="19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Washington, DC 20008</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Shirlington</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1940</w:t>
            </w:r>
          </w:p>
        </w:tc>
        <w:tc>
          <w:tcPr>
            <w:tcW w:w="480" w:type="dxa"/>
            <w:vAlign w:val="bottom"/>
          </w:tcPr>
          <w:p>
            <w:pPr>
              <w:spacing w:after="0"/>
              <w:rPr>
                <w:sz w:val="24"/>
                <w:szCs w:val="24"/>
                <w:color w:val="auto"/>
              </w:rPr>
            </w:pPr>
          </w:p>
        </w:tc>
        <w:tc>
          <w:tcPr>
            <w:tcW w:w="19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204,000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Arlington, VA 22206</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buildings in FL</w:t>
            </w:r>
          </w:p>
        </w:tc>
        <w:tc>
          <w:tcPr>
            <w:tcW w:w="780" w:type="dxa"/>
            <w:vAlign w:val="bottom"/>
          </w:tcPr>
          <w:p>
            <w:pPr>
              <w:spacing w:after="0"/>
              <w:rPr>
                <w:sz w:val="24"/>
                <w:szCs w:val="24"/>
                <w:color w:val="auto"/>
              </w:rPr>
            </w:pPr>
          </w:p>
        </w:tc>
        <w:tc>
          <w:tcPr>
            <w:tcW w:w="164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1920</w:t>
            </w:r>
          </w:p>
        </w:tc>
        <w:tc>
          <w:tcPr>
            <w:tcW w:w="480" w:type="dxa"/>
            <w:vAlign w:val="bottom"/>
          </w:tcPr>
          <w:p>
            <w:pPr>
              <w:spacing w:after="0"/>
              <w:rPr>
                <w:sz w:val="24"/>
                <w:szCs w:val="24"/>
                <w:color w:val="auto"/>
              </w:rPr>
            </w:pPr>
          </w:p>
        </w:tc>
        <w:tc>
          <w:tcPr>
            <w:tcW w:w="19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1996</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w:t>
            </w: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Total Mid Atlantic Main</w:t>
            </w: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24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Street Retail Properties</w:t>
            </w: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1,154,000</w:t>
            </w: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Land in Bethesda, MD 20814</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1997 - 2000</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148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Total Mid Atlantic Region</w:t>
            </w: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6,266,000</w:t>
            </w:r>
          </w:p>
        </w:tc>
        <w:tc>
          <w:tcPr>
            <w:tcW w:w="142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WEST REGION</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Shopping Centers</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w:t>
            </w:r>
          </w:p>
        </w:tc>
        <w:tc>
          <w:tcPr>
            <w:tcW w:w="780" w:type="dxa"/>
            <w:vAlign w:val="bottom"/>
          </w:tcPr>
          <w:p>
            <w:pPr>
              <w:spacing w:after="0"/>
              <w:rPr>
                <w:sz w:val="24"/>
                <w:szCs w:val="24"/>
                <w:color w:val="auto"/>
              </w:rPr>
            </w:pPr>
          </w:p>
        </w:tc>
        <w:tc>
          <w:tcPr>
            <w:tcW w:w="164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1987</w:t>
            </w:r>
          </w:p>
        </w:tc>
        <w:tc>
          <w:tcPr>
            <w:tcW w:w="480" w:type="dxa"/>
            <w:vAlign w:val="bottom"/>
          </w:tcPr>
          <w:p>
            <w:pPr>
              <w:spacing w:after="0"/>
              <w:rPr>
                <w:sz w:val="24"/>
                <w:szCs w:val="24"/>
                <w:color w:val="auto"/>
              </w:rPr>
            </w:pPr>
          </w:p>
        </w:tc>
        <w:tc>
          <w:tcPr>
            <w:tcW w:w="19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1996</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222,000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Escondido, CA 92029 (10)</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1480" w:type="dxa"/>
            <w:vAlign w:val="bottom"/>
          </w:tcPr>
          <w:p>
            <w:pPr>
              <w:spacing w:after="0"/>
              <w:rPr>
                <w:sz w:val="20"/>
                <w:szCs w:val="20"/>
                <w:color w:val="auto"/>
              </w:rPr>
            </w:pPr>
            <w:r>
              <w:rPr>
                <w:rFonts w:ascii="Courier New" w:cs="Courier New" w:eastAsia="Courier New" w:hAnsi="Courier New"/>
                <w:sz w:val="14"/>
                <w:szCs w:val="14"/>
                <w:color w:val="auto"/>
              </w:rPr>
              <w:t>King's Court</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1960</w:t>
            </w:r>
          </w:p>
        </w:tc>
        <w:tc>
          <w:tcPr>
            <w:tcW w:w="480" w:type="dxa"/>
            <w:vAlign w:val="bottom"/>
          </w:tcPr>
          <w:p>
            <w:pPr>
              <w:spacing w:after="0"/>
              <w:rPr>
                <w:sz w:val="24"/>
                <w:szCs w:val="24"/>
                <w:color w:val="auto"/>
              </w:rPr>
            </w:pPr>
          </w:p>
        </w:tc>
        <w:tc>
          <w:tcPr>
            <w:tcW w:w="19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1998</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79,000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Los Gatos, CA</w:t>
            </w:r>
          </w:p>
        </w:tc>
        <w:tc>
          <w:tcPr>
            <w:tcW w:w="1620" w:type="dxa"/>
            <w:vAlign w:val="bottom"/>
          </w:tcPr>
          <w:p>
            <w:pPr>
              <w:spacing w:after="0"/>
              <w:rPr>
                <w:sz w:val="20"/>
                <w:szCs w:val="20"/>
                <w:color w:val="auto"/>
              </w:rPr>
            </w:pPr>
            <w:r>
              <w:rPr>
                <w:rFonts w:ascii="Courier New" w:cs="Courier New" w:eastAsia="Courier New" w:hAnsi="Courier New"/>
                <w:sz w:val="14"/>
                <w:szCs w:val="14"/>
                <w:color w:val="auto"/>
              </w:rPr>
              <w:t>95032 (7) (8)</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Total West Shopping Centers</w:t>
            </w: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301,000</w:t>
            </w: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Main Street Retail Properties</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Old Town Center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1962</w:t>
            </w:r>
          </w:p>
        </w:tc>
        <w:tc>
          <w:tcPr>
            <w:tcW w:w="480" w:type="dxa"/>
            <w:vAlign w:val="bottom"/>
          </w:tcPr>
          <w:p>
            <w:pPr>
              <w:spacing w:after="0"/>
              <w:rPr>
                <w:sz w:val="24"/>
                <w:szCs w:val="24"/>
                <w:color w:val="auto"/>
              </w:rPr>
            </w:pPr>
          </w:p>
        </w:tc>
        <w:tc>
          <w:tcPr>
            <w:tcW w:w="19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1997</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97,000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Los Gatos, CA</w:t>
            </w:r>
          </w:p>
        </w:tc>
        <w:tc>
          <w:tcPr>
            <w:tcW w:w="1620" w:type="dxa"/>
            <w:vAlign w:val="bottom"/>
          </w:tcPr>
          <w:p>
            <w:pPr>
              <w:spacing w:after="0"/>
              <w:rPr>
                <w:sz w:val="20"/>
                <w:szCs w:val="20"/>
                <w:color w:val="auto"/>
              </w:rPr>
            </w:pPr>
            <w:r>
              <w:rPr>
                <w:rFonts w:ascii="Courier New" w:cs="Courier New" w:eastAsia="Courier New" w:hAnsi="Courier New"/>
                <w:sz w:val="14"/>
                <w:szCs w:val="14"/>
                <w:color w:val="auto"/>
              </w:rPr>
              <w:t>95030</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148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jc w:val="center"/>
              <w:ind w:left="708"/>
              <w:spacing w:after="0"/>
              <w:rPr>
                <w:sz w:val="20"/>
                <w:szCs w:val="20"/>
                <w:color w:val="auto"/>
              </w:rPr>
            </w:pPr>
            <w:r>
              <w:rPr>
                <w:rFonts w:ascii="Courier New" w:cs="Courier New" w:eastAsia="Courier New" w:hAnsi="Courier New"/>
                <w:sz w:val="14"/>
                <w:szCs w:val="14"/>
                <w:color w:val="auto"/>
              </w:rPr>
              <w:t>1965</w:t>
            </w:r>
          </w:p>
        </w:tc>
        <w:tc>
          <w:tcPr>
            <w:tcW w:w="480" w:type="dxa"/>
            <w:vAlign w:val="bottom"/>
          </w:tcPr>
          <w:p>
            <w:pPr>
              <w:spacing w:after="0"/>
              <w:rPr>
                <w:sz w:val="24"/>
                <w:szCs w:val="24"/>
                <w:color w:val="auto"/>
              </w:rPr>
            </w:pPr>
          </w:p>
        </w:tc>
        <w:tc>
          <w:tcPr>
            <w:tcW w:w="19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1997</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103,000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San Francisco, CA 94108</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8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Nine buildings in Santa Monica, CA (11)</w:t>
            </w:r>
          </w:p>
        </w:tc>
        <w:tc>
          <w:tcPr>
            <w:tcW w:w="21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1888 - 1995</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1996 - 2000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209,000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r>
      <w:tr>
        <w:trPr>
          <w:trHeight w:val="497"/>
        </w:trPr>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Overall</w:t>
            </w:r>
          </w:p>
        </w:tc>
        <w:tc>
          <w:tcPr>
            <w:tcW w:w="480" w:type="dxa"/>
            <w:vAlign w:val="bottom"/>
          </w:tcPr>
          <w:p>
            <w:pPr>
              <w:spacing w:after="0"/>
              <w:rPr>
                <w:sz w:val="24"/>
                <w:szCs w:val="24"/>
                <w:color w:val="auto"/>
              </w:rPr>
            </w:pPr>
          </w:p>
        </w:tc>
        <w:tc>
          <w:tcPr>
            <w:tcW w:w="1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Principal</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2400" w:type="dxa"/>
            <w:vAlign w:val="bottom"/>
            <w:gridSpan w:val="2"/>
          </w:tcPr>
          <w:p>
            <w:pPr>
              <w:ind w:left="1280"/>
              <w:spacing w:after="0"/>
              <w:rPr>
                <w:sz w:val="20"/>
                <w:szCs w:val="20"/>
                <w:color w:val="auto"/>
              </w:rPr>
            </w:pPr>
            <w:r>
              <w:rPr>
                <w:rFonts w:ascii="Courier New" w:cs="Courier New" w:eastAsia="Courier New" w:hAnsi="Courier New"/>
                <w:sz w:val="14"/>
                <w:szCs w:val="14"/>
                <w:color w:val="auto"/>
              </w:rPr>
              <w:t>Acres (3)</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Occupancy (1)</w:t>
            </w:r>
          </w:p>
        </w:tc>
        <w:tc>
          <w:tcPr>
            <w:tcW w:w="48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Tenants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240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Main Street Retail Properties</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1620" w:type="dxa"/>
            <w:vAlign w:val="bottom"/>
          </w:tcPr>
          <w:p>
            <w:pPr>
              <w:spacing w:after="0"/>
              <w:rPr>
                <w:sz w:val="24"/>
                <w:szCs w:val="24"/>
                <w:color w:val="auto"/>
              </w:rPr>
            </w:pP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99%</w:t>
            </w: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Barnes and Noble</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Bethesda, MD 20814 (9)</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Giant Food</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Landmark Theater</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Friendship Center</w:t>
            </w:r>
          </w:p>
        </w:tc>
        <w:tc>
          <w:tcPr>
            <w:tcW w:w="1620" w:type="dxa"/>
            <w:vAlign w:val="bottom"/>
          </w:tcPr>
          <w:p>
            <w:pPr>
              <w:spacing w:after="0"/>
              <w:rPr>
                <w:sz w:val="24"/>
                <w:szCs w:val="24"/>
                <w:color w:val="auto"/>
              </w:rPr>
            </w:pP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Maggiano's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Washington, D.C 20015</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Borders Books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1620" w:type="dxa"/>
            <w:vAlign w:val="bottom"/>
          </w:tcPr>
          <w:p>
            <w:pPr>
              <w:spacing w:after="0"/>
              <w:rPr>
                <w:sz w:val="24"/>
                <w:szCs w:val="24"/>
                <w:color w:val="auto"/>
              </w:rPr>
            </w:pP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4"/>
              </w:rPr>
              <w:t>18</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98%</w:t>
            </w: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Harris Teeter</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Arlington, VA 22202 (8)</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Bed, Bath &amp; Beyond</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Cost Plus World Market</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Bally's Total Fitness</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Designer Shoe Warehouse</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Sam's Park &amp; Shop</w:t>
            </w:r>
          </w:p>
        </w:tc>
        <w:tc>
          <w:tcPr>
            <w:tcW w:w="1620" w:type="dxa"/>
            <w:vAlign w:val="bottom"/>
          </w:tcPr>
          <w:p>
            <w:pPr>
              <w:spacing w:after="0"/>
              <w:rPr>
                <w:sz w:val="24"/>
                <w:szCs w:val="24"/>
                <w:color w:val="auto"/>
              </w:rPr>
            </w:pP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Petco</w:t>
            </w:r>
          </w:p>
        </w:tc>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Washington, DC 20008</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Shirlington</w:t>
            </w:r>
          </w:p>
        </w:tc>
        <w:tc>
          <w:tcPr>
            <w:tcW w:w="1620" w:type="dxa"/>
            <w:vAlign w:val="bottom"/>
          </w:tcPr>
          <w:p>
            <w:pPr>
              <w:spacing w:after="0"/>
              <w:rPr>
                <w:sz w:val="24"/>
                <w:szCs w:val="24"/>
                <w:color w:val="auto"/>
              </w:rPr>
            </w:pP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4"/>
              </w:rPr>
              <w:t>16</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95%</w:t>
            </w: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Carlyle Grand Cafe</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Arlington, VA 22206</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Cineplex Odeon</w:t>
            </w: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buildings in FL</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90%</w:t>
            </w: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Express</w:t>
            </w: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Courier New" w:cs="Courier New" w:eastAsia="Courier New" w:hAnsi="Courier New"/>
                <w:sz w:val="14"/>
                <w:szCs w:val="14"/>
                <w:color w:val="auto"/>
              </w:rPr>
              <w:t>Total Mid Atlantic</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4"/>
                <w:szCs w:val="14"/>
                <w:color w:val="auto"/>
              </w:rPr>
              <w:t>Main Street</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4"/>
                <w:szCs w:val="14"/>
                <w:color w:val="auto"/>
              </w:rPr>
              <w:t>Retail Properties</w:t>
            </w:r>
          </w:p>
        </w:tc>
        <w:tc>
          <w:tcPr>
            <w:tcW w:w="78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98%</w:t>
            </w: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Land in Bethesda, MD 20814</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w:t>
            </w: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Courier New" w:cs="Courier New" w:eastAsia="Courier New" w:hAnsi="Courier New"/>
                <w:sz w:val="14"/>
                <w:szCs w:val="14"/>
                <w:color w:val="auto"/>
              </w:rPr>
              <w:t>Total Mid Atlantic</w:t>
            </w: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20" w:type="dxa"/>
            <w:vAlign w:val="bottom"/>
          </w:tcPr>
          <w:p>
            <w:pPr>
              <w:ind w:left="160"/>
              <w:spacing w:after="0"/>
              <w:rPr>
                <w:sz w:val="20"/>
                <w:szCs w:val="20"/>
                <w:color w:val="auto"/>
              </w:rPr>
            </w:pPr>
            <w:r>
              <w:rPr>
                <w:rFonts w:ascii="Courier New" w:cs="Courier New" w:eastAsia="Courier New" w:hAnsi="Courier New"/>
                <w:sz w:val="14"/>
                <w:szCs w:val="14"/>
                <w:color w:val="auto"/>
              </w:rPr>
              <w:t>Region</w:t>
            </w:r>
          </w:p>
        </w:tc>
        <w:tc>
          <w:tcPr>
            <w:tcW w:w="780" w:type="dxa"/>
            <w:vAlign w:val="bottom"/>
          </w:tcPr>
          <w:p>
            <w:pPr>
              <w:spacing w:after="0"/>
              <w:rPr>
                <w:sz w:val="14"/>
                <w:szCs w:val="14"/>
                <w:color w:val="auto"/>
              </w:rPr>
            </w:pP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97%</w:t>
            </w: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ectPr>
          <w:pgSz w:w="11900" w:h="16880" w:orient="portrait"/>
          <w:cols w:equalWidth="0" w:num="1">
            <w:col w:w="11380"/>
          </w:cols>
          <w:pgMar w:left="220" w:top="947" w:right="29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WEST REGION</w:t>
            </w:r>
          </w:p>
        </w:tc>
        <w:tc>
          <w:tcPr>
            <w:tcW w:w="1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Shopping Centers</w:t>
            </w:r>
          </w:p>
        </w:tc>
        <w:tc>
          <w:tcPr>
            <w:tcW w:w="1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Escondido Promenade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96%</w:t>
            </w: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Toys R Us</w:t>
            </w:r>
          </w:p>
        </w:tc>
      </w:tr>
      <w:tr>
        <w:trPr>
          <w:trHeight w:val="166"/>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Escondido,CA 92029 (10)</w:t>
            </w:r>
          </w:p>
        </w:tc>
        <w:tc>
          <w:tcPr>
            <w:tcW w:w="20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TJ Maxx</w:t>
            </w:r>
          </w:p>
        </w:tc>
      </w:tr>
      <w:tr>
        <w:trPr>
          <w:trHeight w:val="166"/>
        </w:trPr>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Cost Plus</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King's Court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98%</w:t>
            </w: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Lunardi's Supermarket</w:t>
            </w:r>
          </w:p>
        </w:tc>
      </w:tr>
      <w:tr>
        <w:trPr>
          <w:trHeight w:val="166"/>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Los Gatos,CA 95032 (7)(8)</w:t>
            </w:r>
          </w:p>
        </w:tc>
        <w:tc>
          <w:tcPr>
            <w:tcW w:w="20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Longs Drug</w:t>
            </w:r>
          </w:p>
        </w:tc>
      </w:tr>
      <w:tr>
        <w:trPr>
          <w:trHeight w:val="166"/>
        </w:trPr>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166"/>
        </w:trPr>
        <w:tc>
          <w:tcPr>
            <w:tcW w:w="3320" w:type="dxa"/>
            <w:vAlign w:val="bottom"/>
            <w:gridSpan w:val="2"/>
          </w:tcPr>
          <w:p>
            <w:pPr>
              <w:ind w:left="1480"/>
              <w:spacing w:after="0"/>
              <w:rPr>
                <w:sz w:val="20"/>
                <w:szCs w:val="20"/>
                <w:color w:val="auto"/>
              </w:rPr>
            </w:pPr>
            <w:r>
              <w:rPr>
                <w:rFonts w:ascii="Courier New" w:cs="Courier New" w:eastAsia="Courier New" w:hAnsi="Courier New"/>
                <w:sz w:val="14"/>
                <w:szCs w:val="14"/>
                <w:color w:val="auto"/>
              </w:rPr>
              <w:t>Total West Shopping</w:t>
            </w:r>
          </w:p>
        </w:tc>
        <w:tc>
          <w:tcPr>
            <w:tcW w:w="20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1680" w:type="dxa"/>
            <w:vAlign w:val="bottom"/>
          </w:tcPr>
          <w:p>
            <w:pPr>
              <w:jc w:val="right"/>
              <w:ind w:right="1008"/>
              <w:spacing w:after="0"/>
              <w:rPr>
                <w:sz w:val="20"/>
                <w:szCs w:val="20"/>
                <w:color w:val="auto"/>
              </w:rPr>
            </w:pPr>
            <w:r>
              <w:rPr>
                <w:rFonts w:ascii="Courier New" w:cs="Courier New" w:eastAsia="Courier New" w:hAnsi="Courier New"/>
                <w:sz w:val="14"/>
                <w:szCs w:val="14"/>
                <w:color w:val="auto"/>
                <w:w w:val="98"/>
              </w:rPr>
              <w:t>Centers</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97%</w:t>
            </w:r>
          </w:p>
        </w:tc>
        <w:tc>
          <w:tcPr>
            <w:tcW w:w="216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Main Street Retail Properties</w:t>
            </w:r>
          </w:p>
        </w:tc>
        <w:tc>
          <w:tcPr>
            <w:tcW w:w="20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Old Town Center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94%</w:t>
            </w: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Borders Books and Music</w:t>
            </w:r>
          </w:p>
        </w:tc>
      </w:tr>
      <w:tr>
        <w:trPr>
          <w:trHeight w:val="166"/>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Los Gatos, CA  95030</w:t>
            </w:r>
          </w:p>
        </w:tc>
        <w:tc>
          <w:tcPr>
            <w:tcW w:w="20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Gap Kids</w:t>
            </w:r>
          </w:p>
        </w:tc>
      </w:tr>
      <w:tr>
        <w:trPr>
          <w:trHeight w:val="166"/>
        </w:trPr>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Banana Republic</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75%</w:t>
            </w: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Brooks Brothers</w:t>
            </w:r>
          </w:p>
        </w:tc>
      </w:tr>
      <w:tr>
        <w:trPr>
          <w:trHeight w:val="166"/>
        </w:trPr>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San Francisco, CA</w:t>
            </w:r>
          </w:p>
        </w:tc>
        <w:tc>
          <w:tcPr>
            <w:tcW w:w="16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94108</w:t>
            </w:r>
          </w:p>
        </w:tc>
        <w:tc>
          <w:tcPr>
            <w:tcW w:w="20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Williams - Sonoma</w:t>
            </w:r>
          </w:p>
        </w:tc>
      </w:tr>
      <w:tr>
        <w:trPr>
          <w:trHeight w:val="331"/>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Nine buildings in Santa Monica,</w:t>
            </w:r>
          </w:p>
        </w:tc>
        <w:tc>
          <w:tcPr>
            <w:tcW w:w="20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CA (11)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97%</w:t>
            </w: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Abercrombie &amp; Fitch</w:t>
            </w:r>
          </w:p>
        </w:tc>
      </w:tr>
      <w:tr>
        <w:trPr>
          <w:trHeight w:val="166"/>
        </w:trPr>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J.Crew</w:t>
            </w:r>
          </w:p>
        </w:tc>
      </w:tr>
      <w:tr>
        <w:trPr>
          <w:trHeight w:val="166"/>
        </w:trPr>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Old Navy</w:t>
            </w:r>
          </w:p>
        </w:tc>
      </w:tr>
      <w:tr>
        <w:trPr>
          <w:trHeight w:val="166"/>
        </w:trPr>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Banana Republic</w:t>
            </w:r>
          </w:p>
        </w:tc>
      </w:tr>
      <w:tr>
        <w:trPr>
          <w:trHeight w:val="497"/>
        </w:trPr>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2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17</w:t>
            </w:r>
          </w:p>
        </w:tc>
        <w:tc>
          <w:tcPr>
            <w:tcW w:w="216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Year</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820" w:type="dxa"/>
            <w:vAlign w:val="bottom"/>
          </w:tcPr>
          <w:p>
            <w:pPr>
              <w:spacing w:after="0"/>
              <w:rPr>
                <w:sz w:val="14"/>
                <w:szCs w:val="14"/>
                <w:color w:val="auto"/>
              </w:rPr>
            </w:pP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Feet (2)</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4"/>
                <w:szCs w:val="14"/>
                <w:color w:val="auto"/>
              </w:rPr>
              <w:t>Completed</w:t>
            </w:r>
          </w:p>
        </w:tc>
        <w:tc>
          <w:tcPr>
            <w:tcW w:w="23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Acquired</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/Apartment Units</w:t>
            </w:r>
          </w:p>
        </w:tc>
        <w:tc>
          <w:tcPr>
            <w:tcW w:w="14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497"/>
        </w:trPr>
        <w:tc>
          <w:tcPr>
            <w:tcW w:w="32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Two buildings in Hollywood, CA (12)</w:t>
            </w:r>
          </w:p>
        </w:tc>
        <w:tc>
          <w:tcPr>
            <w:tcW w:w="780" w:type="dxa"/>
            <w:vAlign w:val="bottom"/>
          </w:tcPr>
          <w:p>
            <w:pPr>
              <w:spacing w:after="0"/>
              <w:rPr>
                <w:sz w:val="24"/>
                <w:szCs w:val="24"/>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4"/>
                <w:szCs w:val="14"/>
                <w:color w:val="auto"/>
              </w:rPr>
              <w:t>1921 - 1991</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spacing w:after="0"/>
              <w:rPr>
                <w:sz w:val="24"/>
                <w:szCs w:val="24"/>
                <w:color w:val="auto"/>
              </w:rPr>
            </w:pP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148,000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r>
      <w:tr>
        <w:trPr>
          <w:trHeight w:val="331"/>
        </w:trPr>
        <w:tc>
          <w:tcPr>
            <w:tcW w:w="39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Four buildings in San Diego, CA (13)</w:t>
            </w:r>
          </w:p>
        </w:tc>
        <w:tc>
          <w:tcPr>
            <w:tcW w:w="1680" w:type="dxa"/>
            <w:vAlign w:val="bottom"/>
          </w:tcPr>
          <w:p>
            <w:pPr>
              <w:ind w:left="680"/>
              <w:spacing w:after="0"/>
              <w:rPr>
                <w:sz w:val="20"/>
                <w:szCs w:val="20"/>
                <w:color w:val="auto"/>
              </w:rPr>
            </w:pPr>
            <w:r>
              <w:rPr>
                <w:rFonts w:ascii="Courier New" w:cs="Courier New" w:eastAsia="Courier New" w:hAnsi="Courier New"/>
                <w:sz w:val="14"/>
                <w:szCs w:val="14"/>
                <w:color w:val="auto"/>
              </w:rPr>
              <w:t>1888 - 1995</w:t>
            </w:r>
          </w:p>
        </w:tc>
        <w:tc>
          <w:tcPr>
            <w:tcW w:w="23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1996 - 1997</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51,000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r>
      <w:tr>
        <w:trPr>
          <w:trHeight w:val="331"/>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buildings in CA</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spacing w:after="0"/>
              <w:rPr>
                <w:sz w:val="24"/>
                <w:szCs w:val="24"/>
                <w:color w:val="auto"/>
              </w:rPr>
            </w:pPr>
          </w:p>
        </w:tc>
        <w:tc>
          <w:tcPr>
            <w:tcW w:w="168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1922</w:t>
            </w:r>
          </w:p>
        </w:tc>
        <w:tc>
          <w:tcPr>
            <w:tcW w:w="23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1996 - 1998</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92,000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r>
      <w:tr>
        <w:trPr>
          <w:trHeight w:val="331"/>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buildings in AZ</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spacing w:after="0"/>
              <w:rPr>
                <w:sz w:val="24"/>
                <w:szCs w:val="24"/>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4"/>
                <w:szCs w:val="14"/>
                <w:color w:val="auto"/>
              </w:rPr>
              <w:t>1996 - 1998</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spacing w:after="0"/>
              <w:rPr>
                <w:sz w:val="24"/>
                <w:szCs w:val="24"/>
                <w:color w:val="auto"/>
              </w:rPr>
            </w:pP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40,000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32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Santana Row - Retail Portion (16)</w:t>
            </w:r>
          </w:p>
        </w:tc>
        <w:tc>
          <w:tcPr>
            <w:tcW w:w="780" w:type="dxa"/>
            <w:vAlign w:val="bottom"/>
          </w:tcPr>
          <w:p>
            <w:pPr>
              <w:spacing w:after="0"/>
              <w:rPr>
                <w:sz w:val="24"/>
                <w:szCs w:val="24"/>
                <w:color w:val="auto"/>
              </w:rPr>
            </w:pPr>
          </w:p>
        </w:tc>
        <w:tc>
          <w:tcPr>
            <w:tcW w:w="168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2002</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spacing w:after="0"/>
              <w:rPr>
                <w:sz w:val="24"/>
                <w:szCs w:val="24"/>
                <w:color w:val="auto"/>
              </w:rPr>
            </w:pP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444,000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w:t>
            </w:r>
          </w:p>
        </w:tc>
      </w:tr>
      <w:tr>
        <w:trPr>
          <w:trHeight w:val="331"/>
        </w:trPr>
        <w:tc>
          <w:tcPr>
            <w:tcW w:w="32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Santana Row - Residential portion</w:t>
            </w: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255 units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w:t>
            </w:r>
          </w:p>
        </w:tc>
      </w:tr>
      <w:tr>
        <w:trPr>
          <w:trHeight w:val="166"/>
        </w:trPr>
        <w:tc>
          <w:tcPr>
            <w:tcW w:w="1420" w:type="dxa"/>
            <w:vAlign w:val="bottom"/>
          </w:tcPr>
          <w:p>
            <w:pPr>
              <w:ind w:left="360"/>
              <w:spacing w:after="0"/>
              <w:rPr>
                <w:sz w:val="20"/>
                <w:szCs w:val="20"/>
                <w:color w:val="auto"/>
              </w:rPr>
            </w:pPr>
            <w:r>
              <w:rPr>
                <w:rFonts w:ascii="Courier New" w:cs="Courier New" w:eastAsia="Courier New" w:hAnsi="Courier New"/>
                <w:sz w:val="14"/>
                <w:szCs w:val="14"/>
                <w:color w:val="auto"/>
              </w:rPr>
              <w:t>San Jose, CA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95128</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2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Nine buildings in San Antonio, TX</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(17)</w:t>
            </w:r>
          </w:p>
        </w:tc>
        <w:tc>
          <w:tcPr>
            <w:tcW w:w="1680" w:type="dxa"/>
            <w:vAlign w:val="bottom"/>
          </w:tcPr>
          <w:p>
            <w:pPr>
              <w:ind w:left="680"/>
              <w:spacing w:after="0"/>
              <w:rPr>
                <w:sz w:val="20"/>
                <w:szCs w:val="20"/>
                <w:color w:val="auto"/>
              </w:rPr>
            </w:pPr>
            <w:r>
              <w:rPr>
                <w:rFonts w:ascii="Courier New" w:cs="Courier New" w:eastAsia="Courier New" w:hAnsi="Courier New"/>
                <w:sz w:val="14"/>
                <w:szCs w:val="14"/>
                <w:color w:val="auto"/>
              </w:rPr>
              <w:t>1890 - 1935</w:t>
            </w:r>
          </w:p>
        </w:tc>
        <w:tc>
          <w:tcPr>
            <w:tcW w:w="23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1998 - 1999</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53,000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w:t>
            </w: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25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Total West Main Street Retail</w:t>
            </w: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Properties</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1,237,000</w:t>
            </w:r>
          </w:p>
        </w:tc>
        <w:tc>
          <w:tcPr>
            <w:tcW w:w="14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Total West Region</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1,538,000</w:t>
            </w:r>
          </w:p>
        </w:tc>
        <w:tc>
          <w:tcPr>
            <w:tcW w:w="14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Total All Regions</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15,245,000</w:t>
            </w:r>
          </w:p>
        </w:tc>
        <w:tc>
          <w:tcPr>
            <w:tcW w:w="14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497"/>
        </w:trPr>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Overall</w:t>
            </w:r>
          </w:p>
        </w:tc>
        <w:tc>
          <w:tcPr>
            <w:tcW w:w="820" w:type="dxa"/>
            <w:vAlign w:val="bottom"/>
          </w:tcPr>
          <w:p>
            <w:pPr>
              <w:spacing w:after="0"/>
              <w:rPr>
                <w:sz w:val="24"/>
                <w:szCs w:val="24"/>
                <w:color w:val="auto"/>
              </w:rPr>
            </w:pPr>
          </w:p>
        </w:tc>
        <w:tc>
          <w:tcPr>
            <w:tcW w:w="19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Principal</w:t>
            </w:r>
          </w:p>
        </w:tc>
        <w:tc>
          <w:tcPr>
            <w:tcW w:w="14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Acres (3)</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Occupancy (1)</w:t>
            </w:r>
          </w:p>
        </w:tc>
        <w:tc>
          <w:tcPr>
            <w:tcW w:w="820" w:type="dxa"/>
            <w:vAlign w:val="bottom"/>
          </w:tcPr>
          <w:p>
            <w:pPr>
              <w:spacing w:after="0"/>
              <w:rPr>
                <w:sz w:val="14"/>
                <w:szCs w:val="14"/>
                <w:color w:val="auto"/>
              </w:rPr>
            </w:pPr>
          </w:p>
        </w:tc>
        <w:tc>
          <w:tcPr>
            <w:tcW w:w="19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Tenants</w:t>
            </w:r>
          </w:p>
        </w:tc>
        <w:tc>
          <w:tcPr>
            <w:tcW w:w="14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497"/>
        </w:trPr>
        <w:tc>
          <w:tcPr>
            <w:tcW w:w="32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Two buildings in Hollywood, CA (12)</w:t>
            </w:r>
          </w:p>
        </w:tc>
        <w:tc>
          <w:tcPr>
            <w:tcW w:w="780" w:type="dxa"/>
            <w:vAlign w:val="bottom"/>
          </w:tcPr>
          <w:p>
            <w:pPr>
              <w:spacing w:after="0"/>
              <w:rPr>
                <w:sz w:val="24"/>
                <w:szCs w:val="24"/>
                <w:color w:val="auto"/>
              </w:rPr>
            </w:pPr>
          </w:p>
        </w:tc>
        <w:tc>
          <w:tcPr>
            <w:tcW w:w="168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78%</w:t>
            </w: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General Cinema</w:t>
            </w:r>
          </w:p>
        </w:tc>
        <w:tc>
          <w:tcPr>
            <w:tcW w:w="14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Hollywood Entertainment Museum</w:t>
            </w:r>
          </w:p>
        </w:tc>
        <w:tc>
          <w:tcPr>
            <w:tcW w:w="1420" w:type="dxa"/>
            <w:vAlign w:val="bottom"/>
          </w:tcPr>
          <w:p>
            <w:pPr>
              <w:spacing w:after="0"/>
              <w:rPr>
                <w:sz w:val="14"/>
                <w:szCs w:val="14"/>
                <w:color w:val="auto"/>
              </w:rPr>
            </w:pPr>
          </w:p>
        </w:tc>
      </w:tr>
      <w:tr>
        <w:trPr>
          <w:trHeight w:val="331"/>
        </w:trPr>
        <w:tc>
          <w:tcPr>
            <w:tcW w:w="39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Four buildings in San Diego, CA (13)</w:t>
            </w:r>
          </w:p>
        </w:tc>
        <w:tc>
          <w:tcPr>
            <w:tcW w:w="168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97%</w:t>
            </w: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Urban Outfitters</w:t>
            </w:r>
          </w:p>
        </w:tc>
        <w:tc>
          <w:tcPr>
            <w:tcW w:w="1420" w:type="dxa"/>
            <w:vAlign w:val="bottom"/>
          </w:tcPr>
          <w:p>
            <w:pPr>
              <w:spacing w:after="0"/>
              <w:rPr>
                <w:sz w:val="24"/>
                <w:szCs w:val="24"/>
                <w:color w:val="auto"/>
              </w:rPr>
            </w:pPr>
          </w:p>
        </w:tc>
      </w:tr>
      <w:tr>
        <w:trPr>
          <w:trHeight w:val="331"/>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buildings in CA</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spacing w:after="0"/>
              <w:rPr>
                <w:sz w:val="24"/>
                <w:szCs w:val="24"/>
                <w:color w:val="auto"/>
              </w:rPr>
            </w:pPr>
          </w:p>
        </w:tc>
        <w:tc>
          <w:tcPr>
            <w:tcW w:w="168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98%</w:t>
            </w: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Pottery Barn</w:t>
            </w:r>
          </w:p>
        </w:tc>
        <w:tc>
          <w:tcPr>
            <w:tcW w:w="14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Banana Republic</w:t>
            </w:r>
          </w:p>
        </w:tc>
        <w:tc>
          <w:tcPr>
            <w:tcW w:w="1420" w:type="dxa"/>
            <w:vAlign w:val="bottom"/>
          </w:tcPr>
          <w:p>
            <w:pPr>
              <w:spacing w:after="0"/>
              <w:rPr>
                <w:sz w:val="14"/>
                <w:szCs w:val="14"/>
                <w:color w:val="auto"/>
              </w:rPr>
            </w:pPr>
          </w:p>
        </w:tc>
      </w:tr>
      <w:tr>
        <w:trPr>
          <w:trHeight w:val="331"/>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buildings in AZ</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spacing w:after="0"/>
              <w:rPr>
                <w:sz w:val="24"/>
                <w:szCs w:val="24"/>
                <w:color w:val="auto"/>
              </w:rPr>
            </w:pPr>
          </w:p>
        </w:tc>
        <w:tc>
          <w:tcPr>
            <w:tcW w:w="168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w:t>
            </w: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Gordon Biersch Brewing Co.</w:t>
            </w:r>
          </w:p>
        </w:tc>
        <w:tc>
          <w:tcPr>
            <w:tcW w:w="1420" w:type="dxa"/>
            <w:vAlign w:val="bottom"/>
          </w:tcPr>
          <w:p>
            <w:pPr>
              <w:spacing w:after="0"/>
              <w:rPr>
                <w:sz w:val="24"/>
                <w:szCs w:val="2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32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Santana Row - Retail Portion (16)</w:t>
            </w:r>
          </w:p>
        </w:tc>
        <w:tc>
          <w:tcPr>
            <w:tcW w:w="780" w:type="dxa"/>
            <w:vAlign w:val="bottom"/>
          </w:tcPr>
          <w:p>
            <w:pPr>
              <w:spacing w:after="0"/>
              <w:rPr>
                <w:sz w:val="24"/>
                <w:szCs w:val="24"/>
                <w:color w:val="auto"/>
              </w:rPr>
            </w:pPr>
          </w:p>
        </w:tc>
        <w:tc>
          <w:tcPr>
            <w:tcW w:w="168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42</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73%</w:t>
            </w: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Crate &amp; Barrel</w:t>
            </w:r>
          </w:p>
        </w:tc>
        <w:tc>
          <w:tcPr>
            <w:tcW w:w="14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Borders Books</w:t>
            </w:r>
          </w:p>
        </w:tc>
        <w:tc>
          <w:tcPr>
            <w:tcW w:w="1420" w:type="dxa"/>
            <w:vAlign w:val="bottom"/>
          </w:tcPr>
          <w:p>
            <w:pPr>
              <w:spacing w:after="0"/>
              <w:rPr>
                <w:sz w:val="14"/>
                <w:szCs w:val="14"/>
                <w:color w:val="auto"/>
              </w:rPr>
            </w:pPr>
          </w:p>
        </w:tc>
      </w:tr>
      <w:tr>
        <w:trPr>
          <w:trHeight w:val="166"/>
        </w:trPr>
        <w:tc>
          <w:tcPr>
            <w:tcW w:w="32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Santana Row - Residential portion</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45%</w:t>
            </w: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20" w:type="dxa"/>
            <w:vAlign w:val="bottom"/>
          </w:tcPr>
          <w:p>
            <w:pPr>
              <w:ind w:left="360"/>
              <w:spacing w:after="0"/>
              <w:rPr>
                <w:sz w:val="20"/>
                <w:szCs w:val="20"/>
                <w:color w:val="auto"/>
              </w:rPr>
            </w:pPr>
            <w:r>
              <w:rPr>
                <w:rFonts w:ascii="Courier New" w:cs="Courier New" w:eastAsia="Courier New" w:hAnsi="Courier New"/>
                <w:sz w:val="14"/>
                <w:szCs w:val="14"/>
                <w:color w:val="auto"/>
              </w:rPr>
              <w:t>San Jose, CA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95128</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2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Nine buildings in San Antonio, TX</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(17)</w:t>
            </w:r>
          </w:p>
        </w:tc>
        <w:tc>
          <w:tcPr>
            <w:tcW w:w="168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37%</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The Palm</w:t>
            </w: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20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Total West Main Street Retail</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200" w:type="dxa"/>
            <w:vAlign w:val="bottom"/>
            <w:gridSpan w:val="3"/>
          </w:tcPr>
          <w:p>
            <w:pPr>
              <w:ind w:left="1220"/>
              <w:spacing w:after="0"/>
              <w:rPr>
                <w:sz w:val="20"/>
                <w:szCs w:val="20"/>
                <w:color w:val="auto"/>
              </w:rPr>
            </w:pPr>
            <w:r>
              <w:rPr>
                <w:rFonts w:ascii="Courier New" w:cs="Courier New" w:eastAsia="Courier New" w:hAnsi="Courier New"/>
                <w:sz w:val="14"/>
                <w:szCs w:val="14"/>
                <w:color w:val="auto"/>
              </w:rPr>
              <w:t>Properties</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81%</w:t>
            </w: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20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Total West Region</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84%</w:t>
            </w: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20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Total All Regions</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95%</w:t>
            </w: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440" w:right="456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 is expressed as a percentage of rentable square feet and includes square feet covered by leases for stores not yet opened. Regional and Total Occupancy reflects retail occupancy only.</w:t>
      </w:r>
    </w:p>
    <w:p>
      <w:pPr>
        <w:spacing w:after="0" w:line="1" w:lineRule="exact"/>
        <w:rPr>
          <w:rFonts w:ascii="Courier New" w:cs="Courier New" w:eastAsia="Courier New" w:hAnsi="Courier New"/>
          <w:sz w:val="14"/>
          <w:szCs w:val="14"/>
          <w:color w:val="auto"/>
        </w:rPr>
      </w:pPr>
    </w:p>
    <w:p>
      <w:pPr>
        <w:ind w:left="440" w:right="466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physical square feet of the property, which may exceed the rentable square feet used to express occupancy.</w:t>
      </w: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Acreage on each individual main street retail building is not significant.</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a leasehold interest in this property.</w:t>
      </w:r>
    </w:p>
    <w:p>
      <w:pPr>
        <w:spacing w:after="0" w:line="7" w:lineRule="exact"/>
        <w:rPr>
          <w:rFonts w:ascii="Courier New" w:cs="Courier New" w:eastAsia="Courier New" w:hAnsi="Courier New"/>
          <w:sz w:val="14"/>
          <w:szCs w:val="14"/>
          <w:color w:val="auto"/>
        </w:rPr>
      </w:pPr>
    </w:p>
    <w:p>
      <w:pPr>
        <w:ind w:left="440" w:right="542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own 99.99% general and limited partnership interests in these properties.</w:t>
      </w: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own a 55.7% general partnership interest in this center.</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own this property in a "downreit" partnership.</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or a portion of this property is subject to a ground lease.</w:t>
      </w:r>
    </w:p>
    <w:p>
      <w:pPr>
        <w:spacing w:after="0" w:line="7" w:lineRule="exact"/>
        <w:rPr>
          <w:rFonts w:ascii="Courier New" w:cs="Courier New" w:eastAsia="Courier New" w:hAnsi="Courier New"/>
          <w:sz w:val="14"/>
          <w:szCs w:val="14"/>
          <w:color w:val="auto"/>
        </w:rPr>
      </w:pPr>
    </w:p>
    <w:p>
      <w:pPr>
        <w:jc w:val="both"/>
        <w:ind w:left="440" w:right="466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property contains twelve buildings; seven are subject to a leasehold interest, one is subject to a ground lease and four are owned 100% by us.</w:t>
      </w: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own the controlling interest in this center.</w:t>
      </w:r>
    </w:p>
    <w:p>
      <w:pPr>
        <w:spacing w:after="0" w:line="7" w:lineRule="exact"/>
        <w:rPr>
          <w:rFonts w:ascii="Courier New" w:cs="Courier New" w:eastAsia="Courier New" w:hAnsi="Courier New"/>
          <w:sz w:val="14"/>
          <w:szCs w:val="14"/>
          <w:color w:val="auto"/>
        </w:rPr>
      </w:pPr>
    </w:p>
    <w:p>
      <w:pPr>
        <w:ind w:left="440" w:right="474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own 100% of seven buildings and a 90% general partnership interest in two buildings.</w:t>
      </w: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own a 90% general partnership interest in these buildings.</w:t>
      </w:r>
    </w:p>
    <w:p>
      <w:pPr>
        <w:spacing w:after="0" w:line="7" w:lineRule="exact"/>
        <w:rPr>
          <w:rFonts w:ascii="Courier New" w:cs="Courier New" w:eastAsia="Courier New" w:hAnsi="Courier New"/>
          <w:sz w:val="14"/>
          <w:szCs w:val="14"/>
          <w:color w:val="auto"/>
        </w:rPr>
      </w:pPr>
    </w:p>
    <w:p>
      <w:pPr>
        <w:ind w:left="440" w:right="474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own 100% of three buildings and a 90% general partnership interest in one building.</w:t>
      </w:r>
    </w:p>
    <w:p>
      <w:pPr>
        <w:ind w:left="440" w:right="466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own 100% of one building and a 90% general partnership interest in two buildings.</w:t>
      </w:r>
    </w:p>
    <w:p>
      <w:pPr>
        <w:ind w:left="440" w:right="466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own 100% of one building and an 85% partnership interest in the second building.</w:t>
      </w:r>
    </w:p>
    <w:p>
      <w:pPr>
        <w:ind w:left="440" w:right="500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Square footage and number of tenants apply only to Phase I retail. No future retail phases are included.</w:t>
      </w: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redeveloping these properties, many of which are currently vacant.</w:t>
      </w:r>
    </w:p>
    <w:p>
      <w:pPr>
        <w:sectPr>
          <w:pgSz w:w="11900" w:h="16838" w:orient="portrait"/>
          <w:cols w:equalWidth="0" w:num="1">
            <w:col w:w="11380"/>
          </w:cols>
          <w:pgMar w:left="220" w:top="947" w:right="299" w:bottom="0" w:gutter="0" w:footer="0" w:header="0"/>
        </w:sectPr>
      </w:pPr>
    </w:p>
    <w:bookmarkStart w:id="24" w:name="page25"/>
    <w:bookmarkEnd w:id="24"/>
    <w:p>
      <w:pPr>
        <w:ind w:left="21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019"/>
          </w:cols>
          <w:pgMar w:left="1440" w:top="14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Neither we nor any of our properties are currently subject to any material legal proceeding nor, to our knowledge, is any material litigation currently threatened against us or any of our properties.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SHAREHOLDERS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No matters were submitted to a vote of our shareholders during the fourth quarter of the fiscal year ended December 31, 2002.</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OUR COMMON EQUITY AND RELATED SHAREHOLDER MATTERS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PRICE PER SHARE</w:t>
            </w:r>
          </w:p>
        </w:tc>
        <w:tc>
          <w:tcPr>
            <w:tcW w:w="2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DIVIDENDS DECLARED PER SHARE</w:t>
            </w:r>
          </w:p>
        </w:tc>
      </w:tr>
      <w:tr>
        <w:trPr>
          <w:trHeight w:val="166"/>
        </w:trPr>
        <w:tc>
          <w:tcPr>
            <w:tcW w:w="1780" w:type="dxa"/>
            <w:vAlign w:val="bottom"/>
          </w:tcPr>
          <w:p>
            <w:pPr>
              <w:spacing w:after="0"/>
              <w:rPr>
                <w:sz w:val="14"/>
                <w:szCs w:val="14"/>
                <w:color w:val="auto"/>
              </w:rPr>
            </w:pPr>
          </w:p>
        </w:tc>
        <w:tc>
          <w:tcPr>
            <w:tcW w:w="1880" w:type="dxa"/>
            <w:vAlign w:val="bottom"/>
            <w:gridSpan w:val="4"/>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HIGH</w:t>
            </w:r>
          </w:p>
        </w:tc>
        <w:tc>
          <w:tcPr>
            <w:tcW w:w="3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LOW</w:t>
            </w:r>
          </w:p>
        </w:tc>
        <w:tc>
          <w:tcPr>
            <w:tcW w:w="10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Fourth quarter</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24.55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0.485</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Third quarter</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27.85</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23.70</w:t>
            </w:r>
          </w:p>
        </w:tc>
        <w:tc>
          <w:tcPr>
            <w:tcW w:w="1000" w:type="dxa"/>
            <w:vAlign w:val="bottom"/>
          </w:tcPr>
          <w:p>
            <w:pPr>
              <w:spacing w:after="0"/>
              <w:rPr>
                <w:sz w:val="14"/>
                <w:szCs w:val="14"/>
                <w:color w:val="auto"/>
              </w:rPr>
            </w:pPr>
          </w:p>
        </w:tc>
        <w:tc>
          <w:tcPr>
            <w:tcW w:w="18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.485</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Second quarter</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28.50</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25.56</w:t>
            </w:r>
          </w:p>
        </w:tc>
        <w:tc>
          <w:tcPr>
            <w:tcW w:w="1000" w:type="dxa"/>
            <w:vAlign w:val="bottom"/>
          </w:tcPr>
          <w:p>
            <w:pPr>
              <w:spacing w:after="0"/>
              <w:rPr>
                <w:sz w:val="14"/>
                <w:szCs w:val="14"/>
                <w:color w:val="auto"/>
              </w:rPr>
            </w:pPr>
          </w:p>
        </w:tc>
        <w:tc>
          <w:tcPr>
            <w:tcW w:w="18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.48</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First quarter</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26.34</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22.93</w:t>
            </w:r>
          </w:p>
        </w:tc>
        <w:tc>
          <w:tcPr>
            <w:tcW w:w="1000" w:type="dxa"/>
            <w:vAlign w:val="bottom"/>
          </w:tcPr>
          <w:p>
            <w:pPr>
              <w:spacing w:after="0"/>
              <w:rPr>
                <w:sz w:val="14"/>
                <w:szCs w:val="14"/>
                <w:color w:val="auto"/>
              </w:rPr>
            </w:pPr>
          </w:p>
        </w:tc>
        <w:tc>
          <w:tcPr>
            <w:tcW w:w="18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.48</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Fourth quarter</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0.48</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Third quarter</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23.71</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20.32</w:t>
            </w:r>
          </w:p>
        </w:tc>
        <w:tc>
          <w:tcPr>
            <w:tcW w:w="1000" w:type="dxa"/>
            <w:vAlign w:val="bottom"/>
          </w:tcPr>
          <w:p>
            <w:pPr>
              <w:spacing w:after="0"/>
              <w:rPr>
                <w:sz w:val="14"/>
                <w:szCs w:val="14"/>
                <w:color w:val="auto"/>
              </w:rPr>
            </w:pPr>
          </w:p>
        </w:tc>
        <w:tc>
          <w:tcPr>
            <w:tcW w:w="18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.48</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Second quarter</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21.56</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18.98</w:t>
            </w:r>
          </w:p>
        </w:tc>
        <w:tc>
          <w:tcPr>
            <w:tcW w:w="1000" w:type="dxa"/>
            <w:vAlign w:val="bottom"/>
          </w:tcPr>
          <w:p>
            <w:pPr>
              <w:spacing w:after="0"/>
              <w:rPr>
                <w:sz w:val="14"/>
                <w:szCs w:val="14"/>
                <w:color w:val="auto"/>
              </w:rPr>
            </w:pPr>
          </w:p>
        </w:tc>
        <w:tc>
          <w:tcPr>
            <w:tcW w:w="18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.47</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First quarter</w:t>
            </w:r>
          </w:p>
        </w:tc>
        <w:tc>
          <w:tcPr>
            <w:tcW w:w="2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20.20</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19.06</w:t>
            </w:r>
          </w:p>
        </w:tc>
        <w:tc>
          <w:tcPr>
            <w:tcW w:w="1000" w:type="dxa"/>
            <w:vAlign w:val="bottom"/>
          </w:tcPr>
          <w:p>
            <w:pPr>
              <w:spacing w:after="0"/>
              <w:rPr>
                <w:sz w:val="14"/>
                <w:szCs w:val="14"/>
                <w:color w:val="auto"/>
              </w:rPr>
            </w:pPr>
          </w:p>
        </w:tc>
        <w:tc>
          <w:tcPr>
            <w:tcW w:w="18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.47</w:t>
            </w:r>
          </w:p>
        </w:tc>
      </w:tr>
    </w:tbl>
    <w:p>
      <w:pPr>
        <w:spacing w:after="0" w:line="17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On March 20, 2003, we estimate that there were 35,787 holders of record of our common shares.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distribute at least 90% of REIT taxable income. State income taxes are not material.</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- 19 -</w:t>
      </w:r>
    </w:p>
    <w:p>
      <w:pPr>
        <w:sectPr>
          <w:pgSz w:w="11900" w:h="16838" w:orient="portrait"/>
          <w:cols w:equalWidth="0" w:num="1">
            <w:col w:w="10239"/>
          </w:cols>
          <w:pgMar w:left="220" w:top="782" w:right="1440" w:bottom="1440" w:gutter="0" w:footer="0" w:header="0"/>
        </w:sectPr>
      </w:pPr>
    </w:p>
    <w:bookmarkStart w:id="26" w:name="page27"/>
    <w:bookmarkEnd w:id="26"/>
    <w:p>
      <w:pPr>
        <w:ind w:right="3339" w:firstLine="431"/>
        <w:spacing w:after="0" w:line="251" w:lineRule="auto"/>
        <w:rPr>
          <w:sz w:val="20"/>
          <w:szCs w:val="20"/>
          <w:color w:val="auto"/>
        </w:rPr>
      </w:pPr>
      <w:r>
        <w:rPr>
          <w:rFonts w:ascii="Courier New" w:cs="Courier New" w:eastAsia="Courier New" w:hAnsi="Courier New"/>
          <w:sz w:val="14"/>
          <w:szCs w:val="14"/>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annual dividend rate for 35 consecutive years.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Our total annual dividends paid per share for 2002 and 2001 were $1.925 per share and $1.89 per share, respectively. The annual dividend amounts are different from total distributions calculated for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deferring taxation until the sale of the shareholder's shares. No assurances can be given regarding what portion, if any, of distributions in 2003 or subsequent years will constitute a return of capital for federal income tax purposes. During a year in which a REIT earns a net long-term capital gain, the REIT can elect under Code Sec. 857(b)(3) to designate a portion of dividends paid to shareholders as capital gain dividends. If this election is made, then the capital gain dividends are taxable to the shareholder as long-term capital gains. During 2002, a portion of the distributions was designated as a capital gain dividend.</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Following is the income tax status of distributions paid during the years ended December 31, 2002 and 2001 to common shareholders: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640" w:type="dxa"/>
            <w:vAlign w:val="bottom"/>
          </w:tcPr>
          <w:p>
            <w:pPr>
              <w:spacing w:after="0"/>
              <w:rPr>
                <w:sz w:val="14"/>
                <w:szCs w:val="14"/>
                <w:color w:val="auto"/>
              </w:rPr>
            </w:pPr>
          </w:p>
        </w:tc>
        <w:tc>
          <w:tcPr>
            <w:tcW w:w="1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Ordinary dividend income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Capital gain</w:t>
            </w:r>
          </w:p>
        </w:tc>
        <w:tc>
          <w:tcPr>
            <w:tcW w:w="7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.370</w:t>
            </w: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Return of capital</w:t>
            </w:r>
          </w:p>
        </w:tc>
        <w:tc>
          <w:tcPr>
            <w:tcW w:w="7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1.925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6"/>
        </w:trPr>
        <w:tc>
          <w:tcPr>
            <w:tcW w:w="2640" w:type="dxa"/>
            <w:vAlign w:val="bottom"/>
          </w:tcPr>
          <w:p>
            <w:pPr>
              <w:spacing w:after="0"/>
              <w:rPr>
                <w:sz w:val="14"/>
                <w:szCs w:val="14"/>
                <w:color w:val="auto"/>
              </w:rPr>
            </w:pPr>
          </w:p>
        </w:tc>
        <w:tc>
          <w:tcPr>
            <w:tcW w:w="1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Distributions on our 7.95% Series A Cumulative Redeemable Preferred Shares and our 8.5% Series B Cumulative Redeemable Preferred Shares are payable at the rate of $1.9875 and $2.125 per share per annum, prior to distributions on our common shares. We do not believe that the preferential rights available to the holders of our preferred shares or the financial covenants contained in our debt agreements will have an adverse impact on our ability to pay dividends in the normal course to our common shareholders or to distribute amounts necessary to maintain our qualification as a REIT.</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- 20 -</w:t>
      </w:r>
    </w:p>
    <w:p>
      <w:pPr>
        <w:sectPr>
          <w:pgSz w:w="11900" w:h="16838" w:orient="portrait"/>
          <w:cols w:equalWidth="0" w:num="1">
            <w:col w:w="10239"/>
          </w:cols>
          <w:pgMar w:left="220" w:top="61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ITEM 6. SELECTED FINANCIAL INFORMATION</w:t>
      </w:r>
    </w:p>
    <w:p>
      <w:pPr>
        <w:spacing w:after="0" w:line="173" w:lineRule="exact"/>
        <w:rPr>
          <w:sz w:val="20"/>
          <w:szCs w:val="20"/>
          <w:color w:val="auto"/>
        </w:rPr>
      </w:pPr>
    </w:p>
    <w:p>
      <w:pPr>
        <w:ind w:right="4400" w:firstLine="431"/>
        <w:spacing w:after="0" w:line="251" w:lineRule="auto"/>
        <w:rPr>
          <w:sz w:val="20"/>
          <w:szCs w:val="20"/>
          <w:color w:val="auto"/>
        </w:rPr>
      </w:pPr>
      <w:r>
        <w:rPr>
          <w:rFonts w:ascii="Courier New" w:cs="Courier New" w:eastAsia="Courier New" w:hAnsi="Courier New"/>
          <w:sz w:val="14"/>
          <w:szCs w:val="14"/>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other and balance sheet data for the years ended 1998 through 2001 have been reclassified to conform to the presentation in 2002 as they relate to income from operations of discontinued assets and the presentation of tax loans receivable issued in connection with employee stock plans as contra-equity.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 Per Share Data and Ratios)</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2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FOR THE YEARS ENDED DECEMBER 31,</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42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1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OPERATING DATA:</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Rental income .........................................</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298,085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274,567</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255,634</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241,356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218,062</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Property operating income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214,057</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204,047</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192,347</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182,493</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162,372</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gain (loss) on sale of real estate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45,833</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59,571</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56,842</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55,493</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44,960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Gain (loss) on sale of real estate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9,454</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9,185</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3,681</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(7,050)</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Net income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55,287</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68,756</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60,523</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48,443</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44,960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Net income available for common shareholders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35,862</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59,722</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52,573</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40,493</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37,010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 by operating activities (1)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119,069</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109,448</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107,056</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102,183</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90,427</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Net cash (used in) investing activities (1) ...........</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(175,744)</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(232,138)</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(121,741)</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(99,313)</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(187,646)</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 by (used in) financing</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activities</w:t>
            </w:r>
          </w:p>
        </w:tc>
        <w:tc>
          <w:tcPr>
            <w:tcW w:w="3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62,235</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128,896</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14,304</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(8,362)</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97,406</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 on common shares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82,273</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75,863</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72,512</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71,630</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69,512</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8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Basic: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41,624</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39,164</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38,796</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39,574</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39,174</w:t>
            </w:r>
          </w:p>
        </w:tc>
      </w:tr>
      <w:tr>
        <w:trPr>
          <w:trHeight w:val="166"/>
        </w:trPr>
        <w:tc>
          <w:tcPr>
            <w:tcW w:w="48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Diluted: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42,882</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40,266</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39,910</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40,638</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40,080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8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Basic: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.86(6)</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r>
      <w:tr>
        <w:trPr>
          <w:trHeight w:val="166"/>
        </w:trPr>
        <w:tc>
          <w:tcPr>
            <w:tcW w:w="48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Diluted: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.85(6)</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 per common share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1.78</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3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Funds from operations (2)(3)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90,503</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110,432</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102,173</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96,795</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86,536</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Ratio of earnings to fixed charges (4) ................</w:t>
            </w:r>
          </w:p>
        </w:tc>
        <w:tc>
          <w:tcPr>
            <w:tcW w:w="38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1.3x(7)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1.5x</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1.5x</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1.7x</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1.7x</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Ratio of earnings to combined fixed charges and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8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preferred share dividends (4) ........................</w:t>
            </w:r>
          </w:p>
        </w:tc>
        <w:tc>
          <w:tcPr>
            <w:tcW w:w="38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1.0x(7)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1.3x</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1.4x</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1.5x</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1.5x</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Ratio of EBITDA to combined fixed charges and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8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preferred share dividends (4)(5) .....................</w:t>
            </w:r>
          </w:p>
        </w:tc>
        <w:tc>
          <w:tcPr>
            <w:tcW w:w="38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1.6x(7)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1.9x</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2.0x</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2.1x</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2.1x</w:t>
            </w:r>
          </w:p>
        </w:tc>
      </w:tr>
      <w:tr>
        <w:trPr>
          <w:trHeight w:val="497"/>
        </w:trPr>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FOR THE YEARS ENDED DECEMBER 31,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42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1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BALANCE SHEET DATA:</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Real estate at cost....................................</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2,306,826</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2,104,304</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1,854,913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1,721,459</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1,642,136</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1,999,378</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1,834,881</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1,618,885</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1,532,764</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1,483,170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Mortgage, construction loans and capital lease</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obligations</w:t>
            </w:r>
          </w:p>
        </w:tc>
        <w:tc>
          <w:tcPr>
            <w:tcW w:w="3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393,212</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450,336</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340,152</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172,573</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173,480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Notes payable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198,311</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174,843</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209,005</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162,768</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263,159</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3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535,000</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410,000</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410,000</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510,000</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335,000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Convertible subordinated debentures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75,289</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75,289</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75,289</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Redeemable preferred shares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235,000</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235,000</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Shareholders' equity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644,287</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589,291</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465,460</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500,543</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528,800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Number of common shares outstanding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43,535</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40,071</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39,469</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40,201</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40,080</w:t>
            </w:r>
          </w:p>
        </w:tc>
      </w:tr>
    </w:tbl>
    <w:p>
      <w:pPr>
        <w:spacing w:after="0" w:line="335" w:lineRule="exact"/>
        <w:rPr>
          <w:sz w:val="20"/>
          <w:szCs w:val="20"/>
          <w:color w:val="auto"/>
        </w:rPr>
      </w:pPr>
    </w:p>
    <w:p>
      <w:pPr>
        <w:ind w:left="860" w:right="4480" w:hanging="421"/>
        <w:spacing w:after="0" w:line="250" w:lineRule="auto"/>
        <w:tabs>
          <w:tab w:leader="none" w:pos="8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in accordance with Financial Accounting Standards Board, which we refer to as FASB, Statement No. 95, Statement of Cash Flows.</w:t>
      </w:r>
    </w:p>
    <w:p>
      <w:pPr>
        <w:ind w:left="860" w:right="4580" w:hanging="421"/>
        <w:spacing w:after="0" w:line="251" w:lineRule="auto"/>
        <w:tabs>
          <w:tab w:leader="none" w:pos="8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historically reported our funds from operations ("FFO") in addition to our net income and net cash provided by operating activities. FFO is a supplemental non-GAAP financial measure of real estate companies' operating performance. The National Association of Real Estate Investment Trusts ("NAREIT") defines FFO as follows: income available for common shareholders before</w:t>
      </w:r>
    </w:p>
    <w:p>
      <w:pPr>
        <w:spacing w:after="0" w:line="164"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21 -</w:t>
      </w:r>
    </w:p>
    <w:p>
      <w:pPr>
        <w:sectPr>
          <w:pgSz w:w="11900" w:h="16838" w:orient="portrait"/>
          <w:cols w:equalWidth="0" w:num="1">
            <w:col w:w="11300"/>
          </w:cols>
          <w:pgMar w:left="220" w:top="616" w:right="379" w:bottom="1440" w:gutter="0" w:footer="0" w:header="0"/>
        </w:sectPr>
      </w:pPr>
    </w:p>
    <w:bookmarkStart w:id="28" w:name="page29"/>
    <w:bookmarkEnd w:id="28"/>
    <w:p>
      <w:pPr>
        <w:ind w:left="860" w:right="520"/>
        <w:spacing w:after="0" w:line="250" w:lineRule="auto"/>
        <w:rPr>
          <w:sz w:val="20"/>
          <w:szCs w:val="20"/>
          <w:color w:val="auto"/>
        </w:rPr>
      </w:pPr>
      <w:r>
        <w:rPr>
          <w:rFonts w:ascii="Courier New" w:cs="Courier New" w:eastAsia="Courier New" w:hAnsi="Courier New"/>
          <w:sz w:val="14"/>
          <w:szCs w:val="14"/>
          <w:color w:val="auto"/>
        </w:rPr>
        <w:t>depreciation and amortization of real estate assets and before extraordinary items less gains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 For a reconciliation of net income available for common shareholders to FFO, please see "Item 7. Management's Discussion and Analysis of Results of Financial Condition and Results of Operations- Funds From Operations."</w:t>
      </w:r>
    </w:p>
    <w:p>
      <w:pPr>
        <w:spacing w:after="0" w:line="10" w:lineRule="exact"/>
        <w:rPr>
          <w:sz w:val="20"/>
          <w:szCs w:val="20"/>
          <w:color w:val="auto"/>
        </w:rPr>
      </w:pPr>
    </w:p>
    <w:p>
      <w:pPr>
        <w:ind w:left="860" w:right="700" w:hanging="421"/>
        <w:spacing w:after="0" w:line="250" w:lineRule="auto"/>
        <w:tabs>
          <w:tab w:leader="none" w:pos="8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$8.5 million restructuring charge incurred in the first quarter of 2002 and a $13.8 million restructuring charge incurred in the fourth quarter of 2002. Excluding these charges, Funds from Operations would have been $112.8 million.</w:t>
      </w:r>
    </w:p>
    <w:p>
      <w:pPr>
        <w:spacing w:after="0" w:line="1" w:lineRule="exact"/>
        <w:rPr>
          <w:rFonts w:ascii="Courier New" w:cs="Courier New" w:eastAsia="Courier New" w:hAnsi="Courier New"/>
          <w:sz w:val="14"/>
          <w:szCs w:val="14"/>
          <w:color w:val="auto"/>
        </w:rPr>
      </w:pPr>
    </w:p>
    <w:p>
      <w:pPr>
        <w:ind w:left="860" w:right="520" w:hanging="421"/>
        <w:spacing w:after="0" w:line="250" w:lineRule="auto"/>
        <w:tabs>
          <w:tab w:leader="none" w:pos="8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consist of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our outstanding Series A preferred shares and Series B preferred shares.</w:t>
      </w:r>
    </w:p>
    <w:p>
      <w:pPr>
        <w:spacing w:after="0" w:line="2" w:lineRule="exact"/>
        <w:rPr>
          <w:rFonts w:ascii="Courier New" w:cs="Courier New" w:eastAsia="Courier New" w:hAnsi="Courier New"/>
          <w:sz w:val="14"/>
          <w:szCs w:val="14"/>
          <w:color w:val="auto"/>
        </w:rPr>
      </w:pPr>
    </w:p>
    <w:p>
      <w:pPr>
        <w:ind w:left="860" w:right="520" w:hanging="421"/>
        <w:spacing w:after="0" w:line="251" w:lineRule="auto"/>
        <w:tabs>
          <w:tab w:leader="none" w:pos="8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is a non-GAAP measure that means net income or loss plus interest expense, income taxes, depreciation and amortization; adjusted for gain or loss on sale of assets, impairment provisions, provision for loss on equity securities and other nonrecurring expenses. EBITDA is presented because it provides useful information regarding our ability to service debt, EBITDA should not be considered an alternative measure of operating results or cash flow from operations as determined in accordance with GAAP. EBITDA as presented may not be comparable to other similarly titled measures used by other REITs.</w:t>
      </w:r>
    </w:p>
    <w:p>
      <w:pPr>
        <w:spacing w:after="0" w:line="163" w:lineRule="exact"/>
        <w:rPr>
          <w:rFonts w:ascii="Courier New" w:cs="Courier New" w:eastAsia="Courier New" w:hAnsi="Courier New"/>
          <w:sz w:val="14"/>
          <w:szCs w:val="14"/>
          <w:color w:val="auto"/>
        </w:rPr>
      </w:pPr>
    </w:p>
    <w:p>
      <w:pPr>
        <w:ind w:left="860" w:right="700" w:hanging="421"/>
        <w:spacing w:after="0" w:line="250" w:lineRule="auto"/>
        <w:tabs>
          <w:tab w:leader="none" w:pos="8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$8.5 million restructuring charge incurred in the first quarter of 2002 and a $13.8 million restructuring charge incurred in the fourth quarter of 2002. Excluding these charges, Earnings per Share - Basic would have been $1.40 and Earnings per Share - Diluted would have been $1.37.</w:t>
      </w:r>
    </w:p>
    <w:p>
      <w:pPr>
        <w:spacing w:after="0" w:line="2" w:lineRule="exact"/>
        <w:rPr>
          <w:rFonts w:ascii="Courier New" w:cs="Courier New" w:eastAsia="Courier New" w:hAnsi="Courier New"/>
          <w:sz w:val="14"/>
          <w:szCs w:val="14"/>
          <w:color w:val="auto"/>
        </w:rPr>
      </w:pPr>
    </w:p>
    <w:p>
      <w:pPr>
        <w:ind w:left="860" w:right="600" w:hanging="421"/>
        <w:spacing w:after="0" w:line="251" w:lineRule="auto"/>
        <w:tabs>
          <w:tab w:leader="none" w:pos="8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Excluding the restructuring charges the ratio of earnings to fixed charges would have been 1.5x, the ratio of earnings to combined fixed charges and preferred share dividends would have been 1.2x, and the ratio of EBITDA to combined fixed charges and preferred share dividends would have been 1.8x.</w:t>
      </w:r>
    </w:p>
    <w:p>
      <w:pPr>
        <w:spacing w:after="0" w:line="165" w:lineRule="exact"/>
        <w:rPr>
          <w:sz w:val="20"/>
          <w:szCs w:val="20"/>
          <w:color w:val="auto"/>
        </w:rPr>
      </w:pPr>
    </w:p>
    <w:p>
      <w:pPr>
        <w:ind w:right="520" w:firstLine="861"/>
        <w:spacing w:after="0" w:line="255" w:lineRule="auto"/>
        <w:rPr>
          <w:sz w:val="20"/>
          <w:szCs w:val="20"/>
          <w:color w:val="auto"/>
        </w:rPr>
      </w:pPr>
      <w:r>
        <w:rPr>
          <w:rFonts w:ascii="Courier New" w:cs="Courier New" w:eastAsia="Courier New" w:hAnsi="Courier New"/>
          <w:sz w:val="14"/>
          <w:szCs w:val="14"/>
          <w:color w:val="auto"/>
        </w:rPr>
        <w:t>The reconciliation of EBITDA, adjusted for discontinued operations, to net income for the period presented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2002</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200" w:type="dxa"/>
            <w:vAlign w:val="bottom"/>
          </w:tcPr>
          <w:p>
            <w:pPr>
              <w:spacing w:after="0"/>
              <w:rPr>
                <w:sz w:val="14"/>
                <w:szCs w:val="14"/>
                <w:color w:val="auto"/>
              </w:rPr>
            </w:pPr>
          </w:p>
        </w:tc>
        <w:tc>
          <w:tcPr>
            <w:tcW w:w="2060" w:type="dxa"/>
            <w:vAlign w:val="bottom"/>
            <w:gridSpan w:val="2"/>
          </w:tcPr>
          <w:p>
            <w:pPr>
              <w:ind w:left="10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w w:val="84"/>
              </w:rPr>
              <w:t>Net income...................................</w:t>
            </w:r>
          </w:p>
        </w:tc>
        <w:tc>
          <w:tcPr>
            <w:tcW w:w="120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55,287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68,756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60,523</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64,529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59,914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53,259</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Interest.....................................</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65,058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69,313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66,418</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(Gain) loss on sale of real estate ..........</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(9,454)</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(9,185)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(3,681)</w:t>
            </w:r>
          </w:p>
        </w:tc>
      </w:tr>
      <w:tr>
        <w:trPr>
          <w:trHeight w:val="166"/>
        </w:trPr>
        <w:tc>
          <w:tcPr>
            <w:tcW w:w="3200" w:type="dxa"/>
            <w:vAlign w:val="bottom"/>
          </w:tcPr>
          <w:p>
            <w:pPr>
              <w:spacing w:after="0"/>
              <w:rPr>
                <w:sz w:val="14"/>
                <w:szCs w:val="14"/>
                <w:color w:val="auto"/>
              </w:rPr>
            </w:pPr>
          </w:p>
        </w:tc>
        <w:tc>
          <w:tcPr>
            <w:tcW w:w="2060" w:type="dxa"/>
            <w:vAlign w:val="bottom"/>
            <w:gridSpan w:val="2"/>
          </w:tcPr>
          <w:p>
            <w:pPr>
              <w:ind w:left="10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w w:val="84"/>
              </w:rPr>
              <w:t>EBITDA.......................................</w:t>
            </w:r>
          </w:p>
        </w:tc>
        <w:tc>
          <w:tcPr>
            <w:tcW w:w="120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175,420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$ 188,798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$ 176,519</w:t>
            </w:r>
          </w:p>
        </w:tc>
      </w:tr>
      <w:tr>
        <w:trPr>
          <w:trHeight w:val="166"/>
        </w:trPr>
        <w:tc>
          <w:tcPr>
            <w:tcW w:w="3200" w:type="dxa"/>
            <w:vAlign w:val="bottom"/>
          </w:tcPr>
          <w:p>
            <w:pPr>
              <w:spacing w:after="0"/>
              <w:rPr>
                <w:sz w:val="14"/>
                <w:szCs w:val="14"/>
                <w:color w:val="auto"/>
              </w:rPr>
            </w:pPr>
          </w:p>
        </w:tc>
        <w:tc>
          <w:tcPr>
            <w:tcW w:w="2060" w:type="dxa"/>
            <w:vAlign w:val="bottom"/>
            <w:gridSpan w:val="2"/>
          </w:tcPr>
          <w:p>
            <w:pPr>
              <w:ind w:left="10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32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- 22 -</w:t>
            </w: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  48,443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44,960</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50,011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46,047</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61,492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55,125</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$ 166,996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$ 146,132</w:t>
            </w:r>
          </w:p>
        </w:tc>
      </w:tr>
      <w:tr>
        <w:trPr>
          <w:trHeight w:val="166"/>
        </w:trPr>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420" w:space="520"/>
            <w:col w:w="2299"/>
          </w:cols>
          <w:pgMar w:left="220" w:top="616" w:right="1440" w:bottom="1440" w:gutter="0" w:footer="0" w:header="0"/>
        </w:sectPr>
      </w:pPr>
    </w:p>
    <w:bookmarkStart w:id="29" w:name="page30"/>
    <w:bookmarkEnd w:id="29"/>
    <w:p>
      <w:pPr>
        <w:ind w:left="700" w:right="3419" w:hanging="688"/>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and notes thereto appearing in Item 8 of this report. Historical results set forth in Selected Financial Information, the Financial Statements and Supplemental Data included in Item 6 and Item 8 and this section should not be taken as indicative of our future operations.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This Annual Report on Form 10-K contains forward-looking statements within the meaning of Section 27A of the Securities Act of 1933, Section 21E of the Securities Exchange Act of 1934 and the Private Securities Litigation Reform Act of 1995. Also, documents that we "incorporate by reference" into this Annual Report on Form 10-K, including documents that we subsequently file with the Securities and Exchange Commission, which we refer to as the SEC, will contain forward-looking statements. When we refer to forward-looking statements or information, sometimes we use words such as "may," "will," "could," "should," "plans," "intends," "expects," "believes," "estimates," "anticipates" and "continues." In particular, the risk factors included or incorporated by reference in this Annual Report on Form 10-K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172" w:lineRule="exact"/>
        <w:rPr>
          <w:sz w:val="20"/>
          <w:szCs w:val="20"/>
          <w:color w:val="auto"/>
        </w:rPr>
      </w:pPr>
    </w:p>
    <w:p>
      <w:pPr>
        <w:ind w:left="860" w:hanging="421"/>
        <w:spacing w:after="0"/>
        <w:tabs>
          <w:tab w:leader="none" w:pos="8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that our tenants will not pay rent;</w:t>
      </w:r>
    </w:p>
    <w:p>
      <w:pPr>
        <w:spacing w:after="0" w:line="173" w:lineRule="exact"/>
        <w:rPr>
          <w:sz w:val="20"/>
          <w:szCs w:val="20"/>
          <w:color w:val="auto"/>
        </w:rPr>
      </w:pPr>
    </w:p>
    <w:p>
      <w:pPr>
        <w:ind w:left="860" w:right="3599" w:hanging="421"/>
        <w:spacing w:after="0" w:line="251" w:lineRule="auto"/>
        <w:tabs>
          <w:tab w:leader="none" w:pos="8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of financing, such as our ability to consummate additional financings or obtain replacement financing on terms which are acceptable to us, our ability to comply with our existing financial covenants and the possibility of increases in interest rates that would result in increased interest expense;</w:t>
      </w:r>
    </w:p>
    <w:p>
      <w:pPr>
        <w:spacing w:after="0" w:line="165" w:lineRule="exact"/>
        <w:rPr>
          <w:sz w:val="20"/>
          <w:szCs w:val="20"/>
          <w:color w:val="auto"/>
        </w:rPr>
      </w:pPr>
    </w:p>
    <w:p>
      <w:pPr>
        <w:ind w:left="860" w:right="3339" w:hanging="421"/>
        <w:spacing w:after="0" w:line="251" w:lineRule="auto"/>
        <w:tabs>
          <w:tab w:leader="none" w:pos="8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normally associated with the real estate industry, including risks that we may be unable to renew leases or relet space at favorable rents as leases expire, that new acquisitions and our development, construction and renovation projects, including our Santana Row project, may fail to perform as expected, that competition for acquisitions could result in increased prices, environmental risks, and, because real estate is illiquid, that we may not be able to sell properties when appropriate;</w:t>
      </w:r>
    </w:p>
    <w:p>
      <w:pPr>
        <w:spacing w:after="0" w:line="164" w:lineRule="exact"/>
        <w:rPr>
          <w:sz w:val="20"/>
          <w:szCs w:val="20"/>
          <w:color w:val="auto"/>
        </w:rPr>
      </w:pPr>
    </w:p>
    <w:p>
      <w:pPr>
        <w:ind w:left="860" w:right="3519" w:hanging="421"/>
        <w:spacing w:after="0" w:line="255" w:lineRule="auto"/>
        <w:tabs>
          <w:tab w:leader="none" w:pos="8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that our growth will be limited if we cannot obtain additional capital; and</w:t>
      </w:r>
    </w:p>
    <w:p>
      <w:pPr>
        <w:spacing w:after="0" w:line="160" w:lineRule="exact"/>
        <w:rPr>
          <w:sz w:val="20"/>
          <w:szCs w:val="20"/>
          <w:color w:val="auto"/>
        </w:rPr>
      </w:pPr>
    </w:p>
    <w:p>
      <w:pPr>
        <w:ind w:left="860" w:right="3419" w:hanging="421"/>
        <w:spacing w:after="0" w:line="251" w:lineRule="auto"/>
        <w:tabs>
          <w:tab w:leader="none" w:pos="8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related to our status as a real estate investment trust, commonly referred to as a REIT, for federal income tax purposes, such as our obligation to comply with complex tax regulations relating to our status as a REIT, the effect of future changes in REIT requirements as a result of new legislation and the adverse consequences if we fail to qualify as a REIT.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Given these uncertainties, readers are cautioned not to place undue reliance on these forward-looking statements or those incorporated into this Annual Report on Form 10-K. We also make no promise to update any of the forward-looking statements. You should carefully review the risks and the risk factors incorporated herein by reference from our Form 8-K filed on March 25, 2003, as well as the other information in this Annual Report on Form 10-K or referred to in this Annual Report on Form 10-K, before making any investment in us.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We are an equity real estate investment trust specializing in the ownership, management, development and redevelopment of high quality retail and mixed-use properties. As of December 31, 2002, we owned or had an interest in 58 community and neighborhood shopping</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- 23 -</w:t>
      </w:r>
    </w:p>
    <w:p>
      <w:pPr>
        <w:sectPr>
          <w:pgSz w:w="11900" w:h="16838" w:orient="portrait"/>
          <w:cols w:equalWidth="0" w:num="1">
            <w:col w:w="10239"/>
          </w:cols>
          <w:pgMar w:left="220" w:top="616" w:right="1440" w:bottom="1440" w:gutter="0" w:footer="0" w:header="0"/>
        </w:sectPr>
      </w:pPr>
    </w:p>
    <w:bookmarkStart w:id="30" w:name="page31"/>
    <w:bookmarkEnd w:id="30"/>
    <w:p>
      <w:pPr>
        <w:ind w:right="3419"/>
        <w:spacing w:after="0" w:line="251" w:lineRule="auto"/>
        <w:rPr>
          <w:sz w:val="20"/>
          <w:szCs w:val="20"/>
          <w:color w:val="auto"/>
        </w:rPr>
      </w:pPr>
      <w:r>
        <w:rPr>
          <w:rFonts w:ascii="Courier New" w:cs="Courier New" w:eastAsia="Courier New" w:hAnsi="Courier New"/>
          <w:sz w:val="14"/>
          <w:szCs w:val="14"/>
          <w:color w:val="auto"/>
        </w:rPr>
        <w:t>centers comprising over 12 million square feet, primarily located in densely populated and affluent communities throughout the Northeast and Mid-Atlantic United States. In addition, we owned 55 urban and retail mixed-use properties comprising over 2 million square feet and one apartment complex, all located in strategic metropolitan markets across the United States. Our properties, excluding Santana Row were 95.5% leased at December 31, 2002 and December 31, 2001. Including Santana Row our occupancy was 94.7% at December 31,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which we refer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The most significant accounting policies which involve the use of estimates and assumptions as to future uncertainties and, therefore, may result in actual amounts that differ from estimates, are as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 and Accounts Receivable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Leases with tenants are classified as operating leases. Base rents are recognized on a straight-line basis over the terms of the related leases, net of valuation adjustments, based on management's assessment of credit, collection and other business risk. We make estimates of the collectibility of our accounts receivable related to base rents, including straight line rentals, expense reimbursements and other revenue or income. In some cases the ultimate collectibility of these claims extends beyond one year. These estimates have a direct impact on our net income. We believe that our revenue recognition policies comply with both generally accepted accounting principles and the Securities and Exchange Commissions Staff Accounting Bulletin No. 101, Revenue Recognition.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Land, buildings and real estate under development are recorded at cost. Depreciation is computed using the straight-line method with useful lives ranging from three to 50 years on buildings and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Certain external and internal costs directly related to the development, redevelopment and leasing of real estate, including applicable salaries and the related direct costs, are capitalized. The capitalized costs associated with developments, redevelopments and leasing are depreciated or amortized over the life of the improvement and lease, respectively. Unamortized leasing costs are charged to operations if the applicable tenant vacates before the expiration of its lease. Undepreciated tenant work is charged to operations if the applicable tenant vacates and the tenant work is replaced.</w:t>
      </w:r>
    </w:p>
    <w:p>
      <w:pPr>
        <w:spacing w:after="0" w:line="32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When applicable as lessee, we classify our leases of land and building as operating or capital leases in accordance with the provisions of Statement of Financial Accounting Standard (SFAS) No. 13, "Accounting for Leases." We are required to use judgment and make estimates</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- 24 -</w:t>
      </w:r>
    </w:p>
    <w:p>
      <w:pPr>
        <w:sectPr>
          <w:pgSz w:w="11900" w:h="16838" w:orient="portrait"/>
          <w:cols w:equalWidth="0" w:num="1">
            <w:col w:w="10239"/>
          </w:cols>
          <w:pgMar w:left="220" w:top="616" w:right="1440" w:bottom="1440" w:gutter="0" w:footer="0" w:header="0"/>
        </w:sectPr>
      </w:pPr>
    </w:p>
    <w:bookmarkStart w:id="31" w:name="page32"/>
    <w:bookmarkEnd w:id="31"/>
    <w:p>
      <w:pPr>
        <w:ind w:right="3519"/>
        <w:spacing w:after="0" w:line="252" w:lineRule="auto"/>
        <w:rPr>
          <w:sz w:val="20"/>
          <w:szCs w:val="20"/>
          <w:color w:val="auto"/>
        </w:rPr>
      </w:pPr>
      <w:r>
        <w:rPr>
          <w:rFonts w:ascii="Courier New" w:cs="Courier New" w:eastAsia="Courier New" w:hAnsi="Courier New"/>
          <w:sz w:val="14"/>
          <w:szCs w:val="14"/>
          <w:color w:val="auto"/>
        </w:rPr>
        <w:t>in determining the lease term, the estimated economic life of the property and the interest rate to be used in applying the provisions of SFAS No. 13. These estimates determine whether or not the lease meets the qualification of a capital lease and is recorded as an asset.</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We are required to make subjective assessments as to the useful lives of our real estate for purposes of determining the amount of depreciation to reflect on an annual basis. These assessments have a direct impact on net income. Should we lengthen the expected useful life of an asset, it would be depreciated over a greater number of years, resulting in less annual depreciation expense and higher annual net income. Likewise, we must make subjective assumptions as to which costs should be capitalized. These assumptions also have a direct impact on net income.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is extended, more interest is capitalized, thereby increasing net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Long-Lived Assets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Through December 31, 2001, we evaluated the carrying value of our long-lived assets in accordance with SFAS No. 121, "Accounting for the Impairment of Long-Lived Assets and for Long-Lived Assets to Be Disposed Of." In cases where particular assets are being held for sale, impairment is based on whether the fair value (estimated sales price less costs of disposal) of each individual property to be sold is less than the net book value. Otherwise, impairment is based on whether it is probable that undiscounted future cash flows from each property will be less than its net book value. If a property is impaired, its basis is adjusted to its estimated fair market value.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August 2001 the FASB issued SFAS No. 144, "Accounting for the Impairment or Disposal of Long-Lived Assets" (effective for us on January 1, 2002). SFAS No. 144 requires that one accounting model be used for long-lived assets to be disposed of by sale, whether previously held and used or newly-acquired, and broadens the presentation of discontinued operations to include components of an entity comprising operations and cash flows that can be distinguished, operationally and for financial reporting purposes from the rest of the entity.</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We are required to make estimates of undiscounted cash flows in determining whether there is an impairment. Actual results could be significantly different from the estimates. These estimates have a direct impact on net income, because recording an impairment charge results in a negative adjustment to net income.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are sometimes involved in lawsuits and environmental matters arising in the ordinary course of business. Management makes assumptions and estimates concerning the amount and</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- 25 -</w:t>
      </w:r>
    </w:p>
    <w:p>
      <w:pPr>
        <w:sectPr>
          <w:pgSz w:w="11900" w:h="16838" w:orient="portrait"/>
          <w:cols w:equalWidth="0" w:num="1">
            <w:col w:w="10239"/>
          </w:cols>
          <w:pgMar w:left="220" w:top="616" w:right="1440" w:bottom="1440" w:gutter="0" w:footer="0" w:header="0"/>
        </w:sectPr>
      </w:pPr>
    </w:p>
    <w:bookmarkStart w:id="32" w:name="page33"/>
    <w:bookmarkEnd w:id="32"/>
    <w:p>
      <w:pPr>
        <w:ind w:right="3599"/>
        <w:spacing w:after="0" w:line="255" w:lineRule="auto"/>
        <w:rPr>
          <w:sz w:val="20"/>
          <w:szCs w:val="20"/>
          <w:color w:val="auto"/>
        </w:rPr>
      </w:pPr>
      <w:r>
        <w:rPr>
          <w:rFonts w:ascii="Courier New" w:cs="Courier New" w:eastAsia="Courier New" w:hAnsi="Courier New"/>
          <w:sz w:val="14"/>
          <w:szCs w:val="14"/>
          <w:color w:val="auto"/>
        </w:rPr>
        <w:t>likelihood of loss relating to these matters. These estimates and assumptions have a direct impact on net income.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Growth in net income and FFO during 2003 will depend primarily on growth in the core portfolio. Growth of net income from the core portfolio depends, in part, on the general economy, the financial health of our tenants and on our ability, directly or indirectly, to control expenses, some of which are beyond our complete control, such as snow removal, insurance and real estate tax assessments. The current weakening of the retail and overall economic environment could adversely impact us by increasing vacancies and decreasing rents. In past weak retail and real estate environments, however, we have been able to replace weak and bankrupt tenants with stronger tenants. Management believes that due to the quality of our properties there will continue to be demand for our space. Our properties, excluding Santana Row were 95.5% leased at December 31, 2002 and December 31, 2001. Including Santana Row our occupancy was 94.7% at December 31, 2002.</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Growth in the core portfolio, however, will be offset by expenses at Santana Row. Operating and marketing expenses, as well as additional depreciation and interest expense as the project is phased into operations will have a dilutive effect on 2003 earnings. As a result of the August 2002 fire at Santana Row, as more fully described in this section at "Santana Row", the projected opening of certain retail spaces have been delayed and approximately 50% of the total residential units for the project scheduled to be phased into service throughout 2003 were destroyed. These delayed openings, while lowering the income we will receive, will not substantially reduce the costs associated with maintaining and operating the infrastructure of the project.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Growth in net income is also dependent on the amount of our leverage and interest rates. Our leverage has increased as we financed our development projects. In addition, to the extent variable-rate debt is unhedged, we will continue to have exposure to changes in market interest rates although we have reduced this exposure as of December 31, 2002 as compared to December 31, 2001. If interest rates increase, net income and FFO, as well as the ultimate cost of our development and redevelopment projects, will be negatively impacted.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PROPERTY ACQUISITIONS AND DISPOSITIONS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did not acquire any properties in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Dispositions</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On April 11, 2002, we sold the street retail property located at 252 Greenwich Avenue in Greenwich, Connecticut for $16.5 million, resulting in a gain of $7.0 million.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April 30, 2002, we sold three street retail properties, two in Westport, Connecticut and one in Westfield, New Jersey, for $19.2 million, resulting in a gain of $6.9 million.</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On June 6, 2002, we sold the Uptown Shopping Center located in Portland, Oregon for $20.8 million, resulting in a gain of $4.5 million.</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- 26 -</w:t>
      </w:r>
    </w:p>
    <w:p>
      <w:pPr>
        <w:sectPr>
          <w:pgSz w:w="11900" w:h="16838" w:orient="portrait"/>
          <w:cols w:equalWidth="0" w:num="1">
            <w:col w:w="10239"/>
          </w:cols>
          <w:pgMar w:left="220" w:top="616" w:right="1440" w:bottom="1440" w:gutter="0" w:footer="0" w:header="0"/>
        </w:sectPr>
      </w:pPr>
    </w:p>
    <w:bookmarkStart w:id="33" w:name="page34"/>
    <w:bookmarkEnd w:id="33"/>
    <w:p>
      <w:pPr>
        <w:ind w:right="3599" w:firstLine="431"/>
        <w:spacing w:after="0" w:line="251" w:lineRule="auto"/>
        <w:rPr>
          <w:sz w:val="20"/>
          <w:szCs w:val="20"/>
          <w:color w:val="auto"/>
        </w:rPr>
      </w:pPr>
      <w:r>
        <w:rPr>
          <w:rFonts w:ascii="Courier New" w:cs="Courier New" w:eastAsia="Courier New" w:hAnsi="Courier New"/>
          <w:sz w:val="14"/>
          <w:szCs w:val="14"/>
          <w:color w:val="auto"/>
        </w:rPr>
        <w:t>The proceeds from the sales of the four street retail properties and the Uptown Shopping Center were used to pay down our syndicated credit facility except $16.0 million which was used to pay down the Santana Row construction loan. As of December 31, 2002 all of the proceeds previously held by the qualified intermediary have been released to us.</w:t>
      </w:r>
    </w:p>
    <w:p>
      <w:pPr>
        <w:spacing w:after="0" w:line="16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On June 18, 2002, a partnership, in which one of our subsidiaries is the general partner, sold the street retail property located at 6410 Hollywood Boulevard in Hollywood, California for $2.3 million, resulting in a gain of $700,000.</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June 20, 2002, the proceeds of $6 million previously held by a qualified intermediary from the 2001 sale of the street retail property located at 101 East Oak Street in Chicago, Illinois were released to 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FINANCING DEVELOPMENTS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February 1, 2002, we received the minority partner's interest in Santana Row in exchange for a $2.6 million investment in a partnership. We made a $5.9 million loan to the partnership on January 12, 2001, that is due February 28, 2003. The loan was not repaid on the due date. We are currently exploring all available options we may have as a result of the borrowers failure to pay at maturity.</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On June 12, 2002 we issued 2.2 million common shares at $25.98 per share netting $56.6 million, after all expenses of the offering.</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November 19, 2002, we completed the sale of $150 million of senior notes in an underwritten public offering under our shelf registration statement declared effective by the SEC on September 30, 1998. Net proceeds, after deducting the discounts and commissions to the underwriters and other expenses of this offering, totaled approximately $148.7 million. We used the net proceeds, together with $20 million in available insurance proceeds relating to the Santana Row fire, and approximately $7.1 million in borrowings under our credit facility, to pay in full and retire the Santana Row construction loan, including all interest owed on the loan.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2002, our single largest capital need was the development of Santana Row, a multi-phase mixed-use project being built on 42 acres in San Jose, California in the heart of Silicon Valley. The project will consist of residential, retail and hotel components, creating a community with the feel of an urban district.</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Phase I of the project includes Santana Row, the "1,500 foot long main street" and eight buildings which will contain approximately 444,000 square feet of retail space, 255 residential units, a 213 room hotel and the supporting infrastructure. The first building, containing 40,000 square feet and occupied by Crate &amp; Barrel, opened on June 27, 2002. Six buildings comprising approximately 317,000 square feet of retail space opened on November 7, 2002. Tenants in the final 87,000 square foot building in Phase I are expected to begin opening in early 2003. As of February 4, 2003, approximately 320,000 square feet, or 73%, of the Phase I retail space is leased, of which approximately 200,000 square feet, or 46%, of the Phase I retail space is open.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August 19, 2002 a fire broke out at Building Seven in the Santana Row project. Building Seven contained approximately 87,000 square feet of retail space, approximately 1,000 parking spaces and 246 residential units. All but eleven of the residential units in the building, which were originally scheduled to open in early 2003, were destroyed. The retail units and parking structure sustained water and smoke damage but were not structurally impaired. The opening of these retail units, originally scheduled for September 2002, will be delayed until early 2003. The damage related to the fire was limited almost entirely to this single building. We believe that our insurance coverage will substantially cover our losses from the fire. We estimate the insurance claim to be in the range of $70 million to $90 million which includes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- 27 -</w:t>
      </w:r>
    </w:p>
    <w:p>
      <w:pPr>
        <w:sectPr>
          <w:pgSz w:w="11900" w:h="16838" w:orient="portrait"/>
          <w:cols w:equalWidth="0" w:num="1">
            <w:col w:w="10239"/>
          </w:cols>
          <w:pgMar w:left="220" w:top="616" w:right="1440" w:bottom="1440" w:gutter="0" w:footer="0" w:header="0"/>
        </w:sectPr>
      </w:pPr>
    </w:p>
    <w:bookmarkStart w:id="34" w:name="page35"/>
    <w:bookmarkEnd w:id="34"/>
    <w:p>
      <w:pPr>
        <w:ind w:right="3339"/>
        <w:spacing w:after="0" w:line="251" w:lineRule="auto"/>
        <w:rPr>
          <w:sz w:val="20"/>
          <w:szCs w:val="20"/>
          <w:color w:val="auto"/>
        </w:rPr>
      </w:pPr>
      <w:r>
        <w:rPr>
          <w:rFonts w:ascii="Courier New" w:cs="Courier New" w:eastAsia="Courier New" w:hAnsi="Courier New"/>
          <w:sz w:val="14"/>
          <w:szCs w:val="14"/>
          <w:color w:val="auto"/>
        </w:rPr>
        <w:t>costs to clean-up, repair and rebuild as well as soft (non-construction) costs and lost rents. The cause of the fire is unknown but will not affect our insurance claim. On October 22, 2002, a $20 million insurance reimbursement was advanced by the insurance carrier bringing the total amount received to date to $21 million. This advance, along with the proceeds from the November 19, 2002 note offering and borrowings under our credit facility, were used to pay in full and retire the Santana Row construction loan. Because our final insurance claim has not yet been submitted, insurance proceeds expected to be received over and above those received to date have not been recorded in our December 31, 2002 financial statements.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estimate the total cost of Phase I to be approximately $445 million, net of anticipated insurance proceeds. Insurance proceeds could exceed our $70 to $90 million estimate due to increased fire related costs. Insurance proceeds increased by such costs would therefore not reduce our anticipated Phase I investment below $445 million. As of December 31, 2002, before applying the $21 million of insurance proceeds received to date, we have incurred costs of $434 million including the purchase of all of the project's, land, the construction of Phase I, costs associated with the Building Seven fire and related cleanup and costs related to future phases of the project. We estimate that we will spend approximately $38 million, before insurance reimbursements, in 2003 relating to the completion of Phase I of the project.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are evaluating our Building Seven residential options and alternatives taking into account costs incurred to date, costs to rebuild and market conditions and believe that we will be able to rebuild a residential component for Building Seven on economically favorable terms as part of a future phase of the project.</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the Silicon Valley.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February 7, 2003, we announced plans for Phase II of Santana Row, which includes 84,000 square feet of retail space on two pad sites and 275 additional parking spaces. 95% of the Phase II retail space has been pre-leased to Best Buy and The Container Store. Total development costs are expected to be approximately $27 million.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not determined the scope of future phases of Santana Row and will not do so until the success of Phase I, Phase II and future demand for rental space is determined. However, as Phases I and II utilize only part of the retail and residential entitlements of the property, and as Phase I includes the costs of land and infrastructure for future phases, we expect to identify and execute relatively small, additional phases on economically favorable terms.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- 28 -</w:t>
      </w:r>
    </w:p>
    <w:p>
      <w:pPr>
        <w:sectPr>
          <w:pgSz w:w="11900" w:h="16838" w:orient="portrait"/>
          <w:cols w:equalWidth="0" w:num="1">
            <w:col w:w="10239"/>
          </w:cols>
          <w:pgMar w:left="220" w:top="616"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NEW BUSINESS PLAN, RESTRUCTURING CHARGES AND CEO TRANSITION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February 28, 2002, we adopted a new business plan which returned our primary focus to our traditional business of acquiring and redeveloping community and neighborhood shopping centers that are anchored by supermarkets, drug stores, or high volume, value oriented retailers that provide consumer necessities. We will complete Bethesda Row and Santana Row (Pentagon Row was completed in 2002) but do not plan to develop any new large-scale, mixed-use, ground-up development projects. Rather, we will seek to acquire income producing centers around our existing markets and will identify and execute redevelopment opportunities in our existing portfolio. Concurrent with the adoption of the business plan, we adopted a management succession plan and restructured our management team.</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this change in our business plan, we recorded a charge of $18.2 million. This charge included a reserve for a restructuring charge of $8.5 million made up of $6.9 million of severance and other compensation costs for several of our senior officers related to the management restructuring, as well as the write-off of $1.6 million of development costs. All charges against the reserve, totaling $8.5 million, were expended during 2002. An additional component of the restructuring charge is an impairment loss of $9.7 million representing the estimated loss on the abandonment of development projects held for sale, primarily the Tanasbourne development project located in Portland, Oregon, thereby adjusting the value of these assets to their estimated fair value. We are marketing these properties for sale. The carrying value of these properties as of December 31, 2002, classified on our consolidated balance sheet as real estate under development, is $8.5 million.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December 20, 2002, we announced the resignation of Steven J. Guttman as Trustee, Chief Executive Officer and Chairman of the Board of Trustees effective January 1, 2003. Donald C. Wood, our then President and Chief Operating Officer, was named Chief Executive Officer and a member of the Board of Trustees. Mark Ordan, a member of the Board of Trustees since 1996, was named non-executive chairman of the board. As a result of this transition, we recorded a charge of $13.8 million in the fourth quarter of 2002 for payments and benefits to Mr. Guttman pursuant to his contractual arrangements with us and for other transition related costs. Of this amount, $7.9 had not been paid as of December 31, 2002, the majority of which was paid in the first quarter of 2003.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2002 to 2001</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Throughout this section, we have provided certain information on a "same center" basis. Information provided on a same center basis is provided only for those properties owned and operated in the periods being compared and includes properties which were redeveloped or expanded during the periods being compared. Properties purchased or sold and properties under development during the periods being compared are excluded.</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- 29 -</w:t>
      </w:r>
    </w:p>
    <w:p>
      <w:pPr>
        <w:sectPr>
          <w:pgSz w:w="11900" w:h="16838" w:orient="portrait"/>
          <w:cols w:equalWidth="0" w:num="1">
            <w:col w:w="10239"/>
          </w:cols>
          <w:pgMar w:left="220" w:top="616" w:right="1440" w:bottom="1440" w:gutter="0" w:footer="0" w:header="0"/>
        </w:sectPr>
      </w:pPr>
    </w:p>
    <w:bookmarkStart w:id="36" w:name="page37"/>
    <w:bookmarkEnd w:id="36"/>
    <w:p>
      <w:pPr>
        <w:ind w:left="440"/>
        <w:spacing w:after="0"/>
        <w:rPr>
          <w:sz w:val="20"/>
          <w:szCs w:val="20"/>
          <w:color w:val="auto"/>
        </w:rPr>
      </w:pPr>
      <w:r>
        <w:rPr>
          <w:rFonts w:ascii="Courier New" w:cs="Courier New" w:eastAsia="Courier New" w:hAnsi="Courier New"/>
          <w:sz w:val="14"/>
          <w:szCs w:val="14"/>
          <w:color w:val="auto"/>
        </w:rPr>
        <w:t>REVENUE</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Total revenues increased $23.7 million, or 8.0%, to $318.8 million for the year ended December 31, 2002, as compared to $295.1 million for the year ended December 31, 2001. The primary components of the increase in total revenues are discussed below.</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Rental Income. Rental income consists of minimum rent, percentage rent and cost recoveries for common area maintenance and real estate taxes. The increase in rental income of $23.5 million, or 8.6%, for the year ended December 31, 2002, as compared to the year ended December 31, 2001, is attributable to:</w:t>
      </w:r>
    </w:p>
    <w:p>
      <w:pPr>
        <w:spacing w:after="0" w:line="162" w:lineRule="exact"/>
        <w:rPr>
          <w:sz w:val="20"/>
          <w:szCs w:val="20"/>
          <w:color w:val="auto"/>
        </w:rPr>
      </w:pPr>
    </w:p>
    <w:p>
      <w:pPr>
        <w:ind w:left="860" w:right="3339" w:hanging="421"/>
        <w:spacing w:after="0" w:line="251" w:lineRule="auto"/>
        <w:tabs>
          <w:tab w:leader="none" w:pos="8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$8.1 million in rental income attributable to the properties acquired subsequent to January 1, 2001 and properties under development in 2001 and 2002 which phased into service during 2001 and 2002, specifically Santana Row and Pentagon Row. These increases were offset by properties sold in 2001; and</w:t>
      </w:r>
    </w:p>
    <w:p>
      <w:pPr>
        <w:spacing w:after="0" w:line="165" w:lineRule="exact"/>
        <w:rPr>
          <w:sz w:val="20"/>
          <w:szCs w:val="20"/>
          <w:color w:val="auto"/>
        </w:rPr>
      </w:pPr>
    </w:p>
    <w:p>
      <w:pPr>
        <w:ind w:left="860" w:right="3419" w:hanging="421"/>
        <w:spacing w:after="0" w:line="251" w:lineRule="auto"/>
        <w:tabs>
          <w:tab w:leader="none" w:pos="8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$15.4 million, or 5.7%, on a same center basis due primarily to the increased rental rates at redeveloped and retenanted centers, as well as increased rental rates associated with lease rollovers and higher cost recoveries as a result of increased rental expenses and real estate tax expenses.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Same center basis for the year ended December 31, 2002 excludes the six properties sold in 2002, the Williamsburg Shopping Center in Williamsburg, Virginia, 101 E. Oak Street in Chicago, Illinois and 70/10 Austin Street in Forest Hills, New York which were sold in 2001, Friendship Center in Washington, D.C. which was purchased on September 21, 2001, the office building located at 580 Market Street in San Francisco, California which was exchanged for the minority partner's interest in Santana Row and properties under development in 2001 and 2002, including Pentagon Row in Arlington, Virginia and Santana Row in San Jose, California. Same center rental income, excluding the contribution from property redevelopments and expansions, for the year ended December 31, 2002 increased 5.1% from 2001, reflecting increases due to retenanting, lease rollovers and cost recoveries.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Interest and Other Income. Interest and other income includes interest earned on mortgage notes receivable, overnight cash investments, including tax-deferred exchange escrow deposits, as well as a provision for estimated losses related to various unconsolidated restaurant joint ventures at Santana Row. The decrease in interest and other income of $1.4 million, or 21.8% for the year ended December 31, 2002, as compared to the year ended December 31, 2001, is attributable to a write down associated with the estimated impairment of $1.3 million which represents our best estimate of the diminution of value based upon the current economic climate surrounding these joint ventures.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Other Property Income. Other property income includes items, which although recurring, tend to fluctuate more than rental income from period to period, such as utility reimbursements, telephone income, merchant association dues, late fees, lease termination fees and temporary tenant income. The increase in other property income of $1.6 million, or 11.8%, for the year ended December 31, 2002, as compared to the year ended December 31, 2001, is attributable to:</w:t>
      </w:r>
    </w:p>
    <w:p>
      <w:pPr>
        <w:spacing w:after="0" w:line="164" w:lineRule="exact"/>
        <w:rPr>
          <w:sz w:val="20"/>
          <w:szCs w:val="20"/>
          <w:color w:val="auto"/>
        </w:rPr>
      </w:pPr>
    </w:p>
    <w:p>
      <w:pPr>
        <w:ind w:left="860" w:right="3599" w:hanging="421"/>
        <w:spacing w:after="0" w:line="252" w:lineRule="auto"/>
        <w:tabs>
          <w:tab w:leader="none" w:pos="8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one-time $800,000 perpetual easement payment from a residential developer that has commenced development on an adjacent site at the Pentagon Row project;</w:t>
      </w:r>
    </w:p>
    <w:p>
      <w:pPr>
        <w:spacing w:after="0" w:line="163" w:lineRule="exact"/>
        <w:rPr>
          <w:sz w:val="20"/>
          <w:szCs w:val="20"/>
          <w:color w:val="auto"/>
        </w:rPr>
      </w:pPr>
    </w:p>
    <w:p>
      <w:pPr>
        <w:ind w:left="860" w:right="3519" w:hanging="421"/>
        <w:spacing w:after="0" w:line="252" w:lineRule="auto"/>
        <w:tabs>
          <w:tab w:leader="none" w:pos="8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of $1.3 million in parking income, utility reimbursements and lease termination fees at Pentagon Row, which began phasing into service in the second quarter of 2001, Santana Row, which</w:t>
      </w:r>
    </w:p>
    <w:p>
      <w:pPr>
        <w:spacing w:after="0" w:line="162"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w:t>
      </w:r>
    </w:p>
    <w:p>
      <w:pPr>
        <w:sectPr>
          <w:pgSz w:w="11900" w:h="16838" w:orient="portrait"/>
          <w:cols w:equalWidth="0" w:num="1">
            <w:col w:w="10239"/>
          </w:cols>
          <w:pgMar w:left="220" w:top="616" w:right="1440" w:bottom="1440" w:gutter="0" w:footer="0" w:header="0"/>
        </w:sectPr>
      </w:pPr>
    </w:p>
    <w:bookmarkStart w:id="37" w:name="page38"/>
    <w:bookmarkEnd w:id="37"/>
    <w:p>
      <w:pPr>
        <w:ind w:left="860" w:right="4199"/>
        <w:spacing w:after="0" w:line="252" w:lineRule="auto"/>
        <w:rPr>
          <w:sz w:val="20"/>
          <w:szCs w:val="20"/>
          <w:color w:val="auto"/>
        </w:rPr>
      </w:pPr>
      <w:r>
        <w:rPr>
          <w:rFonts w:ascii="Courier New" w:cs="Courier New" w:eastAsia="Courier New" w:hAnsi="Courier New"/>
          <w:sz w:val="14"/>
          <w:szCs w:val="14"/>
          <w:color w:val="auto"/>
        </w:rPr>
        <w:t>began phasing into service in the fourth quarter of 2002 and Friendship Center which was purchased in the third quarter of 2001; partially offset by</w:t>
      </w:r>
    </w:p>
    <w:p>
      <w:pPr>
        <w:spacing w:after="0" w:line="163" w:lineRule="exact"/>
        <w:rPr>
          <w:sz w:val="20"/>
          <w:szCs w:val="20"/>
          <w:color w:val="auto"/>
        </w:rPr>
      </w:pPr>
    </w:p>
    <w:p>
      <w:pPr>
        <w:ind w:left="860" w:right="3419" w:hanging="421"/>
        <w:spacing w:after="0" w:line="255" w:lineRule="auto"/>
        <w:tabs>
          <w:tab w:leader="none" w:pos="8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lower lease termination fees and parking income from properties owned and operated in both periods.</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On a same center basis, other property income decreased $500,000 in 2002 as compared to 2001, as explained above.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Total expenses increased $36.3 million to $270.1 million for the year ended December 31, 2002, as compared to $233.8 million for the year ended December 31, 2001. The primary components of the increase in total expenses are discussed below.</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Rental Expense. The increase in rental expense of $10.9 million, or 17.3%, for the year ended December 31, 2002, as compared to the year ended December 31, 2001, is attributable to:</w:t>
      </w:r>
    </w:p>
    <w:p>
      <w:pPr>
        <w:spacing w:after="0" w:line="163" w:lineRule="exact"/>
        <w:rPr>
          <w:sz w:val="20"/>
          <w:szCs w:val="20"/>
          <w:color w:val="auto"/>
        </w:rPr>
      </w:pPr>
    </w:p>
    <w:p>
      <w:pPr>
        <w:ind w:left="860" w:right="3419" w:hanging="421"/>
        <w:spacing w:after="0" w:line="251" w:lineRule="auto"/>
        <w:tabs>
          <w:tab w:leader="none" w:pos="8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$9.1 million in non-capitalized operating, leasing and marketing costs associated with our development projects, primarily operating, pre-opening and marketing expenses at our Santana Row project, as well as increased costs reflecting a full year of operating activity at the Pentagon Row project; and</w:t>
      </w:r>
    </w:p>
    <w:p>
      <w:pPr>
        <w:spacing w:after="0" w:line="165" w:lineRule="exact"/>
        <w:rPr>
          <w:sz w:val="20"/>
          <w:szCs w:val="20"/>
          <w:color w:val="auto"/>
        </w:rPr>
      </w:pPr>
    </w:p>
    <w:p>
      <w:pPr>
        <w:jc w:val="both"/>
        <w:ind w:left="860" w:right="3859" w:hanging="421"/>
        <w:spacing w:after="0" w:line="252" w:lineRule="auto"/>
        <w:tabs>
          <w:tab w:leader="none" w:pos="8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$1.8 million, or 3.1%, on a same center basis due primarily to increased maintenance, insurance and utility costs, offset by lower bad debt and property management costs.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Rental expense as a percentage of rental income and other property income, which we refer to as property income, increased slightly from 21.7% in 2001 to 23.5% in 2002 due primarily to increased marketing and pre-opening expenses at Santana Row. Same center rental expense, excluding the effect of property redevelopments and expansions, as a percentage of property income decreased slightly from 20.0% in 2001 to 19.6% in 2002 and overall for the year ended December 31, 2002 increased 2.2% from 2001.</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Real Estate Taxes. The increase in real estate taxes of $2.8 million, or 10.0%, for the year ended December 31, 2002, as compared to the year ended December 31, 2001, is attributable to increased taxes on new development projects, recently redeveloped properties and overall increases in tax assessments. On a same center basis, real estate taxes increased 7.0% due primarily to increased taxes on recently redeveloped properties and overall increases in tax assessments at various projects, principally Woodmont East, Fresh Meadows, Garden Market and Mid-Pike. Same center real estate taxes, excluding the effect of property redevelopments and expansions, for the year ended December 31, 2002 increased 6.1% from 2001.</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Property Operating Income. As a result of the changes and variances explained above, operating property income, total income less rental expenses and real estate taxes, increased $10.1 million, or 4.9%, to $214.1 million for the year ended December 31, 2002 as compared to $204.0 million for the year ended December 31, 2001.</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Interest Expense. In 2002, we incurred interest expense of $88.6 million, of which $23.5 million was capitalized yielding interest expense of $65.1 million, as compared to interest of $87.1 million in 2001, of which $17.8 million was capitalized yielding interest expense of $69.3 million. The decrease in interest expense of $4.2 million, or 6.1%, for the year ended December 31, 2002, as compared to the year ended December 31, 2001, is attributable to:</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- 31 -</w:t>
      </w:r>
    </w:p>
    <w:p>
      <w:pPr>
        <w:sectPr>
          <w:pgSz w:w="11900" w:h="16838" w:orient="portrait"/>
          <w:cols w:equalWidth="0" w:num="1">
            <w:col w:w="10239"/>
          </w:cols>
          <w:pgMar w:left="220" w:top="616" w:right="1440" w:bottom="1440" w:gutter="0" w:footer="0" w:header="0"/>
        </w:sectPr>
      </w:pPr>
    </w:p>
    <w:bookmarkStart w:id="38" w:name="page39"/>
    <w:bookmarkEnd w:id="38"/>
    <w:p>
      <w:pPr>
        <w:jc w:val="both"/>
        <w:ind w:left="860" w:right="3339" w:hanging="421"/>
        <w:spacing w:after="0" w:line="252" w:lineRule="auto"/>
        <w:tabs>
          <w:tab w:leader="none" w:pos="8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in the weighted-average interest rate on our debt from 7.6% in 2001 to 7.4% in 2002, primarily as a result of decrease in interest rates on our variable rate debt; and</w:t>
      </w:r>
    </w:p>
    <w:p>
      <w:pPr>
        <w:spacing w:after="0" w:line="163" w:lineRule="exact"/>
        <w:rPr>
          <w:sz w:val="20"/>
          <w:szCs w:val="20"/>
          <w:color w:val="auto"/>
        </w:rPr>
      </w:pPr>
    </w:p>
    <w:p>
      <w:pPr>
        <w:ind w:left="860" w:right="3599" w:hanging="421"/>
        <w:spacing w:after="0" w:line="252" w:lineRule="auto"/>
        <w:tabs>
          <w:tab w:leader="none" w:pos="8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capitalized interest at the Santana Row project which was under construction for the majority of 2002 and began to be phased into service beginning with the first tenant opening in June 2002.</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Administrative Expense. The decrease in administrative expense of $500,000, or 3.4%, for the year ended December 31, 2002, as compared to the year ended December 31, 2001, is mostly attributable to lower payroll costs in 2002 as a result of our corporate restructuring. As a result, administrative expenses as a percentage of revenue decreased from 4.8% in the year ended December 31, 2001 to 4.3% in the year ended December 31, 2002.</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Restructuring Charge. On February 28, 2002, we adopted a new business plan which returned our primary focus to our traditional business of acquiring and redeveloping community and neighborhood shopping centers that are anchored by supermarkets, drug stores, or high volume, value oriented retailers that provide consumer necessities. Concurrently with the adoption of the business plan, we adopted a management succession plan and restructured our management team. In connection with this change in business plan, we recorded a charge of $18.2 million. This charge included a reserve for a restructuring charge of $8.5 million made up of $6.9 million of severance and other compensation costs for several of our senior officers related to the management restructuring, as well as the write-off of $1.6 million of our development costs. All charges against the reserve, totaling $8.5 million, were expended during 2002. Please see "New Business Plan, Restructuring Charges and CEO Transition" for additional information.</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in the fourth quarter of 2002 we recorded a charge of $13.8 million as a result of the accelerated executive transition whereby Donald C. Wood, the Trust's President and Chief Operating Officer, replaced Steven Guttman as Chief Executive Officer of the Trust. The fourth quarter charge, which includes an accrual of $7.9 million at December 31, 2002 for payments and benefits due to Mr. Guttman pursuant to his contractual arrangements with us and for other transition related costs. No cash payments were made against this charge in 2002 and we expect to expend the majority of the accrual in 2003.</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Depreciation and Amortization Expense. The increase in depreciation and amortization expense of $5.1 million, or 8.6%, for the year ended December 31, 2002, as compared to the year ended December 31, 2001 reflects the impact of recent new developments, tenant improvements and property redevelopments which were placed into service throughout 2001 and 2002.</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Investors' Share of Operations. Investors' share of operations represents the minority partner's interest in the income of certain properties. The decrease in investors' share of operations of $1.1 million, or 20.5%, for the year ended December 31, 2002, as compared to the year ended December 31, 2001, is attributable to our 2001 purchase of the minority interest in nine street retail buildings in southern California and three street retail buildings in Forest Hills, New York and the operating unit holders share of the decrease in operating income in 2002.</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Gain on Sale of Real Estate Net of Loss on Abandoned Developments Held for Sale. The approximately $300,000 increase in gain on sale of real estate, net of loss on abandoned developments held for sale for the year ended December 31, 2002, as compared to the year ended December 31, 2001, is attributable to:</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- 32 -</w:t>
      </w:r>
    </w:p>
    <w:p>
      <w:pPr>
        <w:sectPr>
          <w:pgSz w:w="11900" w:h="16838" w:orient="portrait"/>
          <w:cols w:equalWidth="0" w:num="1">
            <w:col w:w="10239"/>
          </w:cols>
          <w:pgMar w:left="220" w:top="616" w:right="1440" w:bottom="1440" w:gutter="0" w:footer="0" w:header="0"/>
        </w:sectPr>
      </w:pPr>
    </w:p>
    <w:bookmarkStart w:id="39" w:name="page40"/>
    <w:bookmarkEnd w:id="39"/>
    <w:p>
      <w:pPr>
        <w:ind w:left="860" w:right="3339" w:hanging="421"/>
        <w:spacing w:after="0" w:line="251" w:lineRule="auto"/>
        <w:tabs>
          <w:tab w:leader="none" w:pos="8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in net gains recognized in 2002 from the sale of six properties for a combined gain of $19.1 million in the second quarter of 2002, as compared to the sale of one shopping center in the second quarter of 2001 for a gain of $7.9 million, the sale of one street retail property in the fourth quarter of 2001 for a gain of $1.8 million and the exchange of a 90% interest in a street retail building for a 10% interest in three street retail buildings with a minority partner which resulted in an accounting loss of $500,000 in the fourth quarter of 2001; primarily offset by</w:t>
      </w:r>
    </w:p>
    <w:p>
      <w:pPr>
        <w:spacing w:after="0" w:line="164" w:lineRule="exact"/>
        <w:rPr>
          <w:sz w:val="20"/>
          <w:szCs w:val="20"/>
          <w:color w:val="auto"/>
        </w:rPr>
      </w:pPr>
    </w:p>
    <w:p>
      <w:pPr>
        <w:ind w:left="860" w:right="3339" w:hanging="421"/>
        <w:spacing w:after="0" w:line="252" w:lineRule="auto"/>
        <w:tabs>
          <w:tab w:leader="none" w:pos="8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impairment loss of $9.7 million on the abandonment of developments held for sale as described under "New Business Plan, Restructuring Charges and CEO Transition."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Income from Operations of Discontinued Assets. Beginning in 2002, SFAS No. 144, "Accounting for the Impairment or Disposal of Long-Lived Assets," requires that gains and losses from dispositions of properties and all operating earnings from these properties be reported as income from operations of discontinued assets. This also requires that all past earnings applicable to a property disposed of subsequent to January 1, 2002 be reported as income from operations of discontinued assets. As a result, previously reported income will be updated each time a property is sold. This requirement is for presentation only and has no impact on net income. As described above, in 2002, we sold six properties for a combined gain of $19.1 million. The earnings generated from these properties have been reported as income from operations of discontinued assets in accordance with SFAS No. 144. Income from operations of discontinued assets for the years ended December 31, 2002 and 2001 was $1.3 million and $3.5 million, respectively with the decrease being primarily due to the fact that these properties were owned for less than a full year in 2002.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2001 to 2000</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REVENUE</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Total revenues increased $20.9 million, or 7.6%, to $295.1 million for the year ended December 31, 2001, as compared to $274.2 million for the year ended December 31, 2000. The primary components of the increase in total revenues are discussed below.</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Rental Income. The increase in rental income of $18.9 million, or 7.4%, for the year ended December 31, 2001, as compared to the year ended December 31, 2000, is attributable to:</w:t>
      </w:r>
    </w:p>
    <w:p>
      <w:pPr>
        <w:spacing w:after="0" w:line="163" w:lineRule="exact"/>
        <w:rPr>
          <w:sz w:val="20"/>
          <w:szCs w:val="20"/>
          <w:color w:val="auto"/>
        </w:rPr>
      </w:pPr>
    </w:p>
    <w:p>
      <w:pPr>
        <w:ind w:left="860" w:right="3339" w:hanging="421"/>
        <w:spacing w:after="0" w:line="251" w:lineRule="auto"/>
        <w:tabs>
          <w:tab w:leader="none" w:pos="8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$2.9 million in rental income attributable to the properties acquired subsequent to January 1, 2000 and properties under development in 2000 and 2001 which began phasing into service during 2001, specifically Pentagon Row and Woodmont East. These increases were offset by properties sold in 2001 and 2000; and</w:t>
      </w:r>
    </w:p>
    <w:p>
      <w:pPr>
        <w:spacing w:after="0" w:line="165" w:lineRule="exact"/>
        <w:rPr>
          <w:sz w:val="20"/>
          <w:szCs w:val="20"/>
          <w:color w:val="auto"/>
        </w:rPr>
      </w:pPr>
    </w:p>
    <w:p>
      <w:pPr>
        <w:ind w:left="860" w:right="3419" w:hanging="421"/>
        <w:spacing w:after="0" w:line="252" w:lineRule="auto"/>
        <w:tabs>
          <w:tab w:leader="none" w:pos="8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$16.0 million, or 6.4%, on a same center basis due primarily to the increased rental rates at redeveloped and retenanted centers, as well as increased rental rates associated with lease rollovers and higher cost recoveries.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Same center basis for the year ended December 31, 2001 excludes the six properties sold in 2002 because they have been reclassified to Income from Operations of Discontinued Assets on the Consolidated Statements of Operations, the Williamsburg Shopping Center in Williamsburg, Virginia and Peninsula Shopping Center in Palos Verdes, California which were sold on April 27, 2001 and June 30, 2000, respectively, as well as, properties acquired and properties under development in 2000 and 2001, including Friendship Center in Washington, D.C., Woodmont East in Bethesda, Maryland, Pentagon Row in Arlington, Virginia, 214 Wilshire Boulevard in Santa Monica, California and Town &amp; Country Shopping Center in San Jose, California, which was demolished to make way for the Santana Row development.</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- 33 -</w:t>
      </w:r>
    </w:p>
    <w:p>
      <w:pPr>
        <w:sectPr>
          <w:pgSz w:w="11900" w:h="16838" w:orient="portrait"/>
          <w:cols w:equalWidth="0" w:num="1">
            <w:col w:w="10239"/>
          </w:cols>
          <w:pgMar w:left="220" w:top="616" w:right="1440" w:bottom="1440" w:gutter="0" w:footer="0" w:header="0"/>
        </w:sectPr>
      </w:pPr>
    </w:p>
    <w:bookmarkStart w:id="40" w:name="page41"/>
    <w:bookmarkEnd w:id="40"/>
    <w:p>
      <w:pPr>
        <w:ind w:right="3519" w:firstLine="431"/>
        <w:spacing w:after="0" w:line="251" w:lineRule="auto"/>
        <w:rPr>
          <w:sz w:val="20"/>
          <w:szCs w:val="20"/>
          <w:color w:val="auto"/>
        </w:rPr>
      </w:pPr>
      <w:r>
        <w:rPr>
          <w:rFonts w:ascii="Courier New" w:cs="Courier New" w:eastAsia="Courier New" w:hAnsi="Courier New"/>
          <w:sz w:val="14"/>
          <w:szCs w:val="14"/>
          <w:color w:val="auto"/>
        </w:rPr>
        <w:t>Interest and Other Income. The decrease in interest and other income of $900,000, or 12.5%, for the year ended December 31, 2001, as compared to the year ended December 31, 2000, is attributable to a decrease in interest earned on mortgage notes receivable which reflects the $11.8 million decrease in mortgage notes receivable from December 31, 2000 to December 31, 2001.</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Other Property Income. The increase in other property income of $2.9 million, or 26.6%, for the year ended December 31, 2001, as compared to the year ended December 31, 2000, is attributable to:</w:t>
      </w:r>
    </w:p>
    <w:p>
      <w:pPr>
        <w:spacing w:after="0" w:line="163" w:lineRule="exact"/>
        <w:rPr>
          <w:sz w:val="20"/>
          <w:szCs w:val="20"/>
          <w:color w:val="auto"/>
        </w:rPr>
      </w:pPr>
    </w:p>
    <w:p>
      <w:pPr>
        <w:ind w:left="860" w:hanging="421"/>
        <w:spacing w:after="0"/>
        <w:tabs>
          <w:tab w:leader="none" w:pos="8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approximate $1.2 million increase in lease termination fees; and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parking income and utility reimbursements.</w:t>
      </w:r>
    </w:p>
    <w:p>
      <w:pPr>
        <w:spacing w:after="0" w:line="173" w:lineRule="exact"/>
        <w:rPr>
          <w:sz w:val="20"/>
          <w:szCs w:val="20"/>
          <w:color w:val="auto"/>
        </w:rPr>
      </w:pPr>
    </w:p>
    <w:p>
      <w:pPr>
        <w:jc w:val="both"/>
        <w:ind w:right="4019" w:firstLine="431"/>
        <w:spacing w:after="0" w:line="255" w:lineRule="auto"/>
        <w:rPr>
          <w:sz w:val="20"/>
          <w:szCs w:val="20"/>
          <w:color w:val="auto"/>
        </w:rPr>
      </w:pPr>
      <w:r>
        <w:rPr>
          <w:rFonts w:ascii="Courier New" w:cs="Courier New" w:eastAsia="Courier New" w:hAnsi="Courier New"/>
          <w:sz w:val="14"/>
          <w:szCs w:val="14"/>
          <w:color w:val="auto"/>
        </w:rPr>
        <w:t>On a same center basis, other property income during the year ended December 31, 2001 increased 18.7% from the year ended December 31, 2000.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Total expenses increased $19.7 million, or 9.2%, to $233.8 million for the year ended December 31, 2001, as compared to $214.1 million for the year ended December 31, 2000. The primary components of the decrease in total expenses are discussed below.</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Rental Expense. The increase in rental expense of $7.1 million, or 12.7%, for the year ended December 31, 2001, as compared to the year ended December 31, 2000, is attributable to:</w:t>
      </w:r>
    </w:p>
    <w:p>
      <w:pPr>
        <w:spacing w:after="0" w:line="163" w:lineRule="exact"/>
        <w:rPr>
          <w:sz w:val="20"/>
          <w:szCs w:val="20"/>
          <w:color w:val="auto"/>
        </w:rPr>
      </w:pPr>
    </w:p>
    <w:p>
      <w:pPr>
        <w:ind w:left="860" w:right="3419" w:hanging="421"/>
        <w:spacing w:after="0" w:line="251" w:lineRule="auto"/>
        <w:tabs>
          <w:tab w:leader="none" w:pos="8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$5.7 million in operating, leasing and marketing costs associated with our development projects, primarily leasing and marketing expenses at our Santana Row project, as well as increased costs reflecting the increased operating activity at the Pentagon Row and Woodmont East projects; and</w:t>
      </w:r>
    </w:p>
    <w:p>
      <w:pPr>
        <w:spacing w:after="0" w:line="165" w:lineRule="exact"/>
        <w:rPr>
          <w:sz w:val="20"/>
          <w:szCs w:val="20"/>
          <w:color w:val="auto"/>
        </w:rPr>
      </w:pPr>
    </w:p>
    <w:p>
      <w:pPr>
        <w:ind w:left="860" w:right="3779" w:hanging="421"/>
        <w:spacing w:after="0" w:line="252" w:lineRule="auto"/>
        <w:tabs>
          <w:tab w:leader="none" w:pos="8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$2.3 million, or 4.3%, on a same center basis due primarily to general cost increases along with increased property management costs in 2001; partially offset by</w:t>
      </w:r>
    </w:p>
    <w:p>
      <w:pPr>
        <w:spacing w:after="0" w:line="163" w:lineRule="exact"/>
        <w:rPr>
          <w:sz w:val="20"/>
          <w:szCs w:val="20"/>
          <w:color w:val="auto"/>
        </w:rPr>
      </w:pPr>
    </w:p>
    <w:p>
      <w:pPr>
        <w:ind w:left="860" w:right="3939" w:hanging="421"/>
        <w:spacing w:after="0" w:line="255" w:lineRule="auto"/>
        <w:tabs>
          <w:tab w:leader="none" w:pos="8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of $900,000 in operating costs related to properties acquired and sold during the two periods.</w:t>
      </w:r>
    </w:p>
    <w:p>
      <w:pPr>
        <w:spacing w:after="0" w:line="16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Rental expense as a percentage of rental income and other property income, which we refer to as property income, increased slightly from 20.9% in 2000 to 21.7% in 2001 due primarily to the increased leasing and marketing expenses at Santana Row.</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Real Estate Taxes. The increase in real estate taxes of $2.1 million, or 8.2%, for the year ended December 31, 2001, as compared to the year ended December 31, 2000, is attributable primarily to increased tax assessments on recently redeveloped properties partially offset by taxes on properties sold in 2001 and 2000. On a same center basis, real estate taxes increased 9.4%, reflecting the increases on redeveloped properties.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Property Operating Income. As a result of the changes and variances explained above, property operating income, total income less rental expenses and real estate taxes, increased $11.7 million, or 6.1%, to $204.0 million for the year ended December 31, 2001 as compared to $192.3 million for the year ended December 31, 2000.</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- 34 -</w:t>
      </w:r>
    </w:p>
    <w:p>
      <w:pPr>
        <w:sectPr>
          <w:pgSz w:w="11900" w:h="16838" w:orient="portrait"/>
          <w:cols w:equalWidth="0" w:num="1">
            <w:col w:w="10239"/>
          </w:cols>
          <w:pgMar w:left="220" w:top="616" w:right="1440" w:bottom="1440" w:gutter="0" w:footer="0" w:header="0"/>
        </w:sectPr>
      </w:pPr>
    </w:p>
    <w:bookmarkStart w:id="41" w:name="page42"/>
    <w:bookmarkEnd w:id="41"/>
    <w:p>
      <w:pPr>
        <w:ind w:right="3419" w:firstLine="431"/>
        <w:spacing w:after="0" w:line="251" w:lineRule="auto"/>
        <w:rPr>
          <w:sz w:val="20"/>
          <w:szCs w:val="20"/>
          <w:color w:val="auto"/>
        </w:rPr>
      </w:pPr>
      <w:r>
        <w:rPr>
          <w:rFonts w:ascii="Courier New" w:cs="Courier New" w:eastAsia="Courier New" w:hAnsi="Courier New"/>
          <w:sz w:val="14"/>
          <w:szCs w:val="14"/>
          <w:color w:val="auto"/>
        </w:rPr>
        <w:t>Interest Expense. In 2001, we incurred interest expense of $87.1 million, of which $17.8 million was capitalized, as compared to 2000's $79.7 million, of which $13.3 million was capitalized. The increase in interest expense of $2.9 million, or 4.4%, for the year ended December 31, 2001, as compared to the year ended December 31, 2000, is attributable to:</w:t>
      </w:r>
    </w:p>
    <w:p>
      <w:pPr>
        <w:spacing w:after="0" w:line="165" w:lineRule="exact"/>
        <w:rPr>
          <w:sz w:val="20"/>
          <w:szCs w:val="20"/>
          <w:color w:val="auto"/>
        </w:rPr>
      </w:pPr>
    </w:p>
    <w:p>
      <w:pPr>
        <w:ind w:left="860" w:right="3679" w:hanging="421"/>
        <w:spacing w:after="0" w:line="252" w:lineRule="auto"/>
        <w:tabs>
          <w:tab w:leader="none" w:pos="8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mortgage interest, primarily due to the $152 million of mortgages placed on five properties in the fourth quarter of 2000; partially offset by</w:t>
      </w:r>
    </w:p>
    <w:p>
      <w:pPr>
        <w:spacing w:after="0" w:line="163" w:lineRule="exact"/>
        <w:rPr>
          <w:sz w:val="20"/>
          <w:szCs w:val="20"/>
          <w:color w:val="auto"/>
        </w:rPr>
      </w:pPr>
    </w:p>
    <w:p>
      <w:pPr>
        <w:ind w:left="860" w:right="3339" w:hanging="421"/>
        <w:spacing w:after="0" w:line="252" w:lineRule="auto"/>
        <w:tabs>
          <w:tab w:leader="none" w:pos="8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in the weighted-average interest rate on our debt from 7.9% in 2000 to 7.6% in 2001, primarily as a result of the decrease in interest rates on our variable rate debt; and</w:t>
      </w:r>
    </w:p>
    <w:p>
      <w:pPr>
        <w:spacing w:after="0" w:line="163" w:lineRule="exact"/>
        <w:rPr>
          <w:sz w:val="20"/>
          <w:szCs w:val="20"/>
          <w:color w:val="auto"/>
        </w:rPr>
      </w:pPr>
    </w:p>
    <w:p>
      <w:pPr>
        <w:ind w:left="860" w:right="3599" w:hanging="421"/>
        <w:spacing w:after="0" w:line="255" w:lineRule="auto"/>
        <w:tabs>
          <w:tab w:leader="none" w:pos="8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capitalized interest at the Santana Row project which was under construction during 2001.</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Administrative Expense. The increase in administrative expense of $1.0 million, or 7.2%, for the year ended December 31, 2001, as compared to the year ended December 31, 2000, is attributable to increased personnel costs, legal and accounting fees. However, administrative expenses as a percentage of revenue decreased slightly in 2001 to 4.8% from 4.9% in 2000.</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Depreciation and Amortization Expense. The increase in depreciation and amortization expense of $6.6 million, or 12.6%, for the year ended December 31, 2001, as compared to the year ended December 31, 2000, reflects the impact of recent new development, tenant improvements and property redevelopments which were placed in service during the year, specifically the Pentagon Row and Woodmont East developments.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Investors' Share of Operations. The decrease in investors' share of operations of $1.3 million, or 21.0%, for the year ended December 31, 2001, as compared to the year ended December 31, 2000, is attributable to our buy-out of the minority partners' in nine street retail buildings in southern California, thereby increasing our ownership in these buildings to 100%.</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Gain on Sale of Real Estate Net of Loss on Abandoned Developments Held for Sale. The increase in gain on sale of real estate, net of loss on abandoned developments held for sale, of $5.5 million for the year ended December 31, 2001, as compared to the year ended December 31, 2000, is attributable to an increase in net gains recognized in 2001 from:</w:t>
      </w:r>
    </w:p>
    <w:p>
      <w:pPr>
        <w:spacing w:after="0" w:line="165" w:lineRule="exact"/>
        <w:rPr>
          <w:sz w:val="20"/>
          <w:szCs w:val="20"/>
          <w:color w:val="auto"/>
        </w:rPr>
      </w:pPr>
    </w:p>
    <w:p>
      <w:pPr>
        <w:ind w:left="860" w:right="3599" w:hanging="421"/>
        <w:spacing w:after="0" w:line="255" w:lineRule="auto"/>
        <w:tabs>
          <w:tab w:leader="none" w:pos="8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one shopping center in the second quarter of 2001 for a gain of $7.9 million; and</w:t>
      </w:r>
    </w:p>
    <w:p>
      <w:pPr>
        <w:spacing w:after="0" w:line="160" w:lineRule="exact"/>
        <w:rPr>
          <w:sz w:val="20"/>
          <w:szCs w:val="20"/>
          <w:color w:val="auto"/>
        </w:rPr>
      </w:pPr>
    </w:p>
    <w:p>
      <w:pPr>
        <w:ind w:left="860" w:right="3519" w:hanging="421"/>
        <w:spacing w:after="0" w:line="255" w:lineRule="auto"/>
        <w:tabs>
          <w:tab w:leader="none" w:pos="8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one street retail property in the fourth quarter of 2001 for a gain of $1.8 million; partially offset by</w:t>
      </w:r>
    </w:p>
    <w:p>
      <w:pPr>
        <w:spacing w:after="0" w:line="160" w:lineRule="exact"/>
        <w:rPr>
          <w:sz w:val="20"/>
          <w:szCs w:val="20"/>
          <w:color w:val="auto"/>
        </w:rPr>
      </w:pPr>
    </w:p>
    <w:p>
      <w:pPr>
        <w:ind w:left="860" w:right="3519" w:hanging="421"/>
        <w:spacing w:after="0" w:line="252" w:lineRule="auto"/>
        <w:tabs>
          <w:tab w:leader="none" w:pos="8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 our 90% interest in a street retail building to the minority partner in exchange for the minority partner's 10% interest in three other street retail buildings in the fourth quarter of 2001 resulting in a loss of approximately $500,000; as compared to</w:t>
      </w:r>
    </w:p>
    <w:p>
      <w:pPr>
        <w:spacing w:after="0" w:line="162" w:lineRule="exact"/>
        <w:rPr>
          <w:sz w:val="20"/>
          <w:szCs w:val="20"/>
          <w:color w:val="auto"/>
        </w:rPr>
      </w:pPr>
    </w:p>
    <w:p>
      <w:pPr>
        <w:ind w:left="860" w:right="3599" w:hanging="421"/>
        <w:spacing w:after="0" w:line="255" w:lineRule="auto"/>
        <w:tabs>
          <w:tab w:leader="none" w:pos="8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one shopping center in the second quarter of 2000 for a gain of $3.7 million</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Income from Operations of Discontinued Assets. Beginning in 2002, SFAS No. 144, "Accounting for the Impairment or Disposal of Long-Lived Assets," requires that gains and losses from dispositions of properties and all operating earnings from these properties be reported as income from operations of discontinued assets. This also requires that all past earnings applicable to a property disposed of subsequent to January 1, 2002 be reported as income from operations of discontinued assets. As a result, previously reported income will be updated each time a property is sold. This requirement is for presentation only and has no impact on net income. As described above, in 2002, we sold six properties for a</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- 35 -</w:t>
      </w:r>
    </w:p>
    <w:p>
      <w:pPr>
        <w:sectPr>
          <w:pgSz w:w="11900" w:h="16838" w:orient="portrait"/>
          <w:cols w:equalWidth="0" w:num="1">
            <w:col w:w="10239"/>
          </w:cols>
          <w:pgMar w:left="220" w:top="616" w:right="1440" w:bottom="1440" w:gutter="0" w:footer="0" w:header="0"/>
        </w:sectPr>
      </w:pPr>
    </w:p>
    <w:bookmarkStart w:id="42" w:name="page43"/>
    <w:bookmarkEnd w:id="42"/>
    <w:p>
      <w:pPr>
        <w:ind w:right="3419"/>
        <w:spacing w:after="0" w:line="252" w:lineRule="auto"/>
        <w:rPr>
          <w:sz w:val="20"/>
          <w:szCs w:val="20"/>
          <w:color w:val="auto"/>
        </w:rPr>
      </w:pPr>
      <w:r>
        <w:rPr>
          <w:rFonts w:ascii="Courier New" w:cs="Courier New" w:eastAsia="Courier New" w:hAnsi="Courier New"/>
          <w:sz w:val="14"/>
          <w:szCs w:val="14"/>
          <w:color w:val="auto"/>
        </w:rPr>
        <w:t>combined gain of $19.1 million. The earnings generated from these properties have been reported as income from operations of discontinued assets in accordance with SFAS No. 144. Income from operations of discontinued assets for the years ended December 31, 2001 and 2000 was $3.5 million and $3.3 million,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RESULTS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operate our business on an asset management model, where small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and operates largely autonomously with respect to day to day operating decisions. Incentive compensation, throughout the regional teams, is tied to the net operating income of the respective portfolios.</w:t>
      </w:r>
    </w:p>
    <w:p>
      <w:pPr>
        <w:spacing w:after="0" w:line="164"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Historical operating results for the three regions are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0" w:type="dxa"/>
            <w:vAlign w:val="bottom"/>
            <w:gridSpan w:val="5"/>
          </w:tcPr>
          <w:p>
            <w:pPr>
              <w:jc w:val="right"/>
              <w:ind w:right="26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6"/>
        </w:trPr>
        <w:tc>
          <w:tcPr>
            <w:tcW w:w="3760" w:type="dxa"/>
            <w:vAlign w:val="bottom"/>
          </w:tcPr>
          <w:p>
            <w:pPr>
              <w:spacing w:after="0"/>
              <w:rPr>
                <w:sz w:val="14"/>
                <w:szCs w:val="14"/>
                <w:color w:val="auto"/>
              </w:rPr>
            </w:pP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w:t>
            </w:r>
          </w:p>
        </w:tc>
        <w:tc>
          <w:tcPr>
            <w:tcW w:w="3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760" w:type="dxa"/>
            <w:vAlign w:val="bottom"/>
          </w:tcPr>
          <w:p>
            <w:pPr>
              <w:spacing w:after="0"/>
              <w:rPr>
                <w:sz w:val="14"/>
                <w:szCs w:val="14"/>
                <w:color w:val="auto"/>
              </w:rPr>
            </w:pP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Northeast .............................</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123,093</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117,353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110,256</w:t>
            </w:r>
          </w:p>
        </w:tc>
      </w:tr>
      <w:tr>
        <w:trPr>
          <w:trHeight w:val="166"/>
        </w:trPr>
        <w:tc>
          <w:tcPr>
            <w:tcW w:w="3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Mid-Atlantic ..........................</w:t>
            </w:r>
          </w:p>
        </w:tc>
        <w:tc>
          <w:tcPr>
            <w:tcW w:w="4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139,596</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124,765</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114,371</w:t>
            </w:r>
          </w:p>
        </w:tc>
      </w:tr>
      <w:tr>
        <w:trPr>
          <w:trHeight w:val="166"/>
        </w:trPr>
        <w:tc>
          <w:tcPr>
            <w:tcW w:w="3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West ..................................</w:t>
            </w:r>
          </w:p>
        </w:tc>
        <w:tc>
          <w:tcPr>
            <w:tcW w:w="4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35,396</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32,449</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31,007</w:t>
            </w:r>
          </w:p>
        </w:tc>
      </w:tr>
      <w:tr>
        <w:trPr>
          <w:trHeight w:val="166"/>
        </w:trPr>
        <w:tc>
          <w:tcPr>
            <w:tcW w:w="3760" w:type="dxa"/>
            <w:vAlign w:val="bottom"/>
          </w:tcPr>
          <w:p>
            <w:pPr>
              <w:spacing w:after="0"/>
              <w:rPr>
                <w:sz w:val="14"/>
                <w:szCs w:val="14"/>
                <w:color w:val="auto"/>
              </w:rPr>
            </w:pP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298,085</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274,567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255,634</w:t>
            </w:r>
          </w:p>
        </w:tc>
      </w:tr>
      <w:tr>
        <w:trPr>
          <w:trHeight w:val="166"/>
        </w:trPr>
        <w:tc>
          <w:tcPr>
            <w:tcW w:w="3760" w:type="dxa"/>
            <w:vAlign w:val="bottom"/>
          </w:tcPr>
          <w:p>
            <w:pPr>
              <w:spacing w:after="0"/>
              <w:rPr>
                <w:sz w:val="14"/>
                <w:szCs w:val="14"/>
                <w:color w:val="auto"/>
              </w:rPr>
            </w:pP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Property Operating Income (1)</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Northeast .............................</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92,399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87,831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81,633</w:t>
            </w:r>
          </w:p>
        </w:tc>
      </w:tr>
      <w:tr>
        <w:trPr>
          <w:trHeight w:val="166"/>
        </w:trPr>
        <w:tc>
          <w:tcPr>
            <w:tcW w:w="3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Mid-Atlantic ..........................</w:t>
            </w:r>
          </w:p>
        </w:tc>
        <w:tc>
          <w:tcPr>
            <w:tcW w:w="4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103,429</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92,086</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84,346</w:t>
            </w:r>
          </w:p>
        </w:tc>
      </w:tr>
      <w:tr>
        <w:trPr>
          <w:trHeight w:val="166"/>
        </w:trPr>
        <w:tc>
          <w:tcPr>
            <w:tcW w:w="3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West ..................................</w:t>
            </w:r>
          </w:p>
        </w:tc>
        <w:tc>
          <w:tcPr>
            <w:tcW w:w="4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18,269</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21,982</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24,212</w:t>
            </w:r>
          </w:p>
        </w:tc>
      </w:tr>
      <w:tr>
        <w:trPr>
          <w:trHeight w:val="166"/>
        </w:trPr>
        <w:tc>
          <w:tcPr>
            <w:tcW w:w="3760" w:type="dxa"/>
            <w:vAlign w:val="bottom"/>
          </w:tcPr>
          <w:p>
            <w:pPr>
              <w:spacing w:after="0"/>
              <w:rPr>
                <w:sz w:val="14"/>
                <w:szCs w:val="14"/>
                <w:color w:val="auto"/>
              </w:rPr>
            </w:pP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214,097</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201,899</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190,191</w:t>
            </w:r>
          </w:p>
        </w:tc>
      </w:tr>
      <w:tr>
        <w:trPr>
          <w:trHeight w:val="166"/>
        </w:trPr>
        <w:tc>
          <w:tcPr>
            <w:tcW w:w="3760" w:type="dxa"/>
            <w:vAlign w:val="bottom"/>
          </w:tcPr>
          <w:p>
            <w:pPr>
              <w:spacing w:after="0"/>
              <w:rPr>
                <w:sz w:val="14"/>
                <w:szCs w:val="14"/>
                <w:color w:val="auto"/>
              </w:rPr>
            </w:pP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right="3419" w:hanging="432"/>
        <w:spacing w:after="0" w:line="252" w:lineRule="auto"/>
        <w:tabs>
          <w:tab w:leader="none" w:pos="4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operating income consists of rental income, other property income and interest income on mortgage notes receivable, less rental expense and real estate taxes.</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NORTHEAST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As of December 31, 2002, 48 of our properties were located in the Northeast region. The Northeast region extends from suburban Philadelphia north through New York and its suburbs into New England and west to Illinois and Michigan.</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Rental Income. The increase in rental income of $5.7 million, or 4.9%, for the year ended December 31, 2002 as compared to the year ended December 31, 2001, is attributable to:</w:t>
      </w:r>
    </w:p>
    <w:p>
      <w:pPr>
        <w:spacing w:after="0" w:line="163" w:lineRule="exact"/>
        <w:rPr>
          <w:sz w:val="20"/>
          <w:szCs w:val="20"/>
          <w:color w:val="auto"/>
        </w:rPr>
      </w:pPr>
    </w:p>
    <w:p>
      <w:pPr>
        <w:ind w:left="860" w:right="3519" w:hanging="421"/>
        <w:spacing w:after="0" w:line="251" w:lineRule="auto"/>
        <w:tabs>
          <w:tab w:leader="none" w:pos="8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$6.8 million, or 5.9%, on a same center basis due primarily to the increased rental rates at redeveloped, expanded and retenanted centers, such as Bala Cynwyd, Brunswick, Dedham, Fresh Meadows, Rutgers and Wynnewood, as well as increased rental rates associated with lease rollovers; partially offset by</w:t>
      </w:r>
    </w:p>
    <w:p>
      <w:pPr>
        <w:spacing w:after="0" w:line="165" w:lineRule="exact"/>
        <w:rPr>
          <w:sz w:val="20"/>
          <w:szCs w:val="20"/>
          <w:color w:val="auto"/>
        </w:rPr>
      </w:pPr>
    </w:p>
    <w:p>
      <w:pPr>
        <w:ind w:left="860" w:right="3339" w:hanging="421"/>
        <w:spacing w:after="0" w:line="255" w:lineRule="auto"/>
        <w:tabs>
          <w:tab w:leader="none" w:pos="8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of $1.1 million due to the disposition of 101 E. Oak Street and 70/10 Austin Street in 2001.</w:t>
      </w:r>
    </w:p>
    <w:p>
      <w:pPr>
        <w:spacing w:after="0" w:line="159"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36 -</w:t>
      </w:r>
    </w:p>
    <w:p>
      <w:pPr>
        <w:sectPr>
          <w:pgSz w:w="11900" w:h="16838" w:orient="portrait"/>
          <w:cols w:equalWidth="0" w:num="1">
            <w:col w:w="10239"/>
          </w:cols>
          <w:pgMar w:left="220" w:top="616" w:right="1440" w:bottom="1440" w:gutter="0" w:footer="0" w:header="0"/>
        </w:sectPr>
      </w:pPr>
    </w:p>
    <w:bookmarkStart w:id="43" w:name="page44"/>
    <w:bookmarkEnd w:id="43"/>
    <w:p>
      <w:pPr>
        <w:ind w:right="3419" w:firstLine="431"/>
        <w:spacing w:after="0" w:line="252" w:lineRule="auto"/>
        <w:rPr>
          <w:sz w:val="20"/>
          <w:szCs w:val="20"/>
          <w:color w:val="auto"/>
        </w:rPr>
      </w:pPr>
      <w:r>
        <w:rPr>
          <w:rFonts w:ascii="Courier New" w:cs="Courier New" w:eastAsia="Courier New" w:hAnsi="Courier New"/>
          <w:sz w:val="14"/>
          <w:szCs w:val="14"/>
          <w:color w:val="auto"/>
        </w:rPr>
        <w:t>Same center basis for the year ended December 31, 2002 excludes 101 E. Oak Street and 70/10 Austin Street which were sold in 2001. Same center rental income, excluding the contribution from property redevelopments and expansions, for the year ended December 31, 2002 increased 5.7% from 2001.</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When comparing 2001 with 2000, rental income, on an overall and same center basis, increased $7.1 million, or 6.4%, primarily due to increases at recently redeveloped and retenanted shopping center and street retail properties such as Greenlawn, Blue Star, Brunswick, Ellisburg, Fresh Meadows and Austin Street.</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Property Operating Income. Property operating income consists of rental income, other property income and interest income on mortgage notes receivable, less rental expense and real estate taxes. The increase in property operating income of $4.6 million, or 5.2%, for the year ended December 31, 2002 as compared to the year ended December 31, 2001, is attributable to:</w:t>
      </w:r>
    </w:p>
    <w:p>
      <w:pPr>
        <w:spacing w:after="0" w:line="165" w:lineRule="exact"/>
        <w:rPr>
          <w:sz w:val="20"/>
          <w:szCs w:val="20"/>
          <w:color w:val="auto"/>
        </w:rPr>
      </w:pPr>
    </w:p>
    <w:p>
      <w:pPr>
        <w:ind w:left="860" w:right="3779" w:hanging="421"/>
        <w:spacing w:after="0" w:line="255" w:lineRule="auto"/>
        <w:tabs>
          <w:tab w:leader="none" w:pos="8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$5.7 million in rental revenue as described above; offset by</w:t>
      </w:r>
    </w:p>
    <w:p>
      <w:pPr>
        <w:spacing w:after="0" w:line="160" w:lineRule="exact"/>
        <w:rPr>
          <w:sz w:val="20"/>
          <w:szCs w:val="20"/>
          <w:color w:val="auto"/>
        </w:rPr>
      </w:pPr>
    </w:p>
    <w:p>
      <w:pPr>
        <w:ind w:left="860" w:right="3339" w:hanging="421"/>
        <w:spacing w:after="0" w:line="252" w:lineRule="auto"/>
        <w:tabs>
          <w:tab w:leader="none" w:pos="8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of $600,000 in interest income on mortgage notes receivable as a result of a payoff of a $10 million mortgage note in July 2002; and</w:t>
      </w:r>
    </w:p>
    <w:p>
      <w:pPr>
        <w:spacing w:after="0" w:line="163" w:lineRule="exact"/>
        <w:rPr>
          <w:sz w:val="20"/>
          <w:szCs w:val="20"/>
          <w:color w:val="auto"/>
        </w:rPr>
      </w:pPr>
    </w:p>
    <w:p>
      <w:pPr>
        <w:ind w:left="860" w:right="3419" w:hanging="421"/>
        <w:spacing w:after="0" w:line="255" w:lineRule="auto"/>
        <w:tabs>
          <w:tab w:leader="none" w:pos="8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$500,000 in real estate taxes primarily as a result of increased taxes on recently redeveloped and retenanted properties.</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Same center property operating income in the year ended December 31, 2002 increased 7.2% from 2001. Same center property operating income, excluding the contribution from property redevelopments and expansions, for the year ended December 31, 2002 increased 7.1% from 2001.</w:t>
      </w:r>
    </w:p>
    <w:p>
      <w:pPr>
        <w:spacing w:after="0" w:line="162"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Property operating income increased $6.2 million, or 7.6%, for the year ended December 31, 2001 as compared to December 31, 2000. This increase is attributable to:</w:t>
      </w:r>
    </w:p>
    <w:p>
      <w:pPr>
        <w:spacing w:after="0" w:line="163" w:lineRule="exact"/>
        <w:rPr>
          <w:sz w:val="20"/>
          <w:szCs w:val="20"/>
          <w:color w:val="auto"/>
        </w:rPr>
      </w:pPr>
    </w:p>
    <w:p>
      <w:pPr>
        <w:ind w:left="860" w:hanging="421"/>
        <w:spacing w:after="0"/>
        <w:tabs>
          <w:tab w:leader="none" w:pos="8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$7.1 million in rental revenue as described above;</w:t>
      </w:r>
    </w:p>
    <w:p>
      <w:pPr>
        <w:spacing w:after="0" w:line="173" w:lineRule="exact"/>
        <w:rPr>
          <w:sz w:val="20"/>
          <w:szCs w:val="20"/>
          <w:color w:val="auto"/>
        </w:rPr>
      </w:pPr>
    </w:p>
    <w:p>
      <w:pPr>
        <w:jc w:val="both"/>
        <w:ind w:left="860" w:right="3419" w:hanging="421"/>
        <w:spacing w:after="0" w:line="255" w:lineRule="auto"/>
        <w:tabs>
          <w:tab w:leader="none" w:pos="8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in other property income of $1.4 million due primarily to increased lease termination fees of $1.0 million; partially offset by</w:t>
      </w:r>
    </w:p>
    <w:p>
      <w:pPr>
        <w:spacing w:after="0" w:line="160" w:lineRule="exact"/>
        <w:rPr>
          <w:sz w:val="20"/>
          <w:szCs w:val="20"/>
          <w:color w:val="auto"/>
        </w:rPr>
      </w:pPr>
    </w:p>
    <w:p>
      <w:pPr>
        <w:ind w:left="860" w:right="3339" w:hanging="421"/>
        <w:spacing w:after="0" w:line="255" w:lineRule="auto"/>
        <w:tabs>
          <w:tab w:leader="none" w:pos="8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$1.5 million in real estate taxes primarily as a result of increased taxes on redeveloped and retenanted properties;</w:t>
      </w:r>
    </w:p>
    <w:p>
      <w:pPr>
        <w:spacing w:after="0" w:line="160" w:lineRule="exact"/>
        <w:rPr>
          <w:sz w:val="20"/>
          <w:szCs w:val="20"/>
          <w:color w:val="auto"/>
        </w:rPr>
      </w:pPr>
    </w:p>
    <w:p>
      <w:pPr>
        <w:ind w:left="860" w:hanging="421"/>
        <w:spacing w:after="0"/>
        <w:tabs>
          <w:tab w:leader="none" w:pos="8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in rental expenses of $300,000; and</w:t>
      </w:r>
    </w:p>
    <w:p>
      <w:pPr>
        <w:spacing w:after="0" w:line="173" w:lineRule="exact"/>
        <w:rPr>
          <w:sz w:val="20"/>
          <w:szCs w:val="20"/>
          <w:color w:val="auto"/>
        </w:rPr>
      </w:pPr>
    </w:p>
    <w:p>
      <w:pPr>
        <w:ind w:left="860" w:right="3339" w:hanging="421"/>
        <w:spacing w:after="0" w:line="252" w:lineRule="auto"/>
        <w:tabs>
          <w:tab w:leader="none" w:pos="8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decreased interest income on mortgage notes receivable of $500,000 as a result of mortgage notes of approximately $10 million being paid off in late 2000 and early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MID-ATLANTIC</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As of December 31, 2002, 32 of our properties, including Pentagon Row, were located in the Mid-Atlantic region. The Mid-Atlantic region extends from Baltimore south to metropolitan Washington, D.C. and further south through Virginia and North Carolina into Florida.</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Rental Income. The increase in rental income of $14.8 million, or 11.9%, for the year ended December 31, 2002 as compared to the year ended December 31, 2001, is attributable to:</w:t>
      </w:r>
    </w:p>
    <w:p>
      <w:pPr>
        <w:spacing w:after="0" w:line="163" w:lineRule="exact"/>
        <w:rPr>
          <w:sz w:val="20"/>
          <w:szCs w:val="20"/>
          <w:color w:val="auto"/>
        </w:rPr>
      </w:pPr>
    </w:p>
    <w:p>
      <w:pPr>
        <w:jc w:val="both"/>
        <w:ind w:left="860" w:right="3339" w:hanging="421"/>
        <w:spacing w:after="0" w:line="252" w:lineRule="auto"/>
        <w:tabs>
          <w:tab w:leader="none" w:pos="8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$9.4 million from Friendship Center which was purchased in 2001 and from Pentagon Row which was phased into service throughout 2001 and 2002;</w:t>
      </w:r>
    </w:p>
    <w:p>
      <w:pPr>
        <w:spacing w:after="0" w:line="162"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37 -</w:t>
      </w:r>
    </w:p>
    <w:p>
      <w:pPr>
        <w:sectPr>
          <w:pgSz w:w="11900" w:h="16838" w:orient="portrait"/>
          <w:cols w:equalWidth="0" w:num="1">
            <w:col w:w="10239"/>
          </w:cols>
          <w:pgMar w:left="220" w:top="616" w:right="1440" w:bottom="1440" w:gutter="0" w:footer="0" w:header="0"/>
        </w:sectPr>
      </w:pPr>
    </w:p>
    <w:bookmarkStart w:id="44" w:name="page45"/>
    <w:bookmarkEnd w:id="44"/>
    <w:p>
      <w:pPr>
        <w:ind w:left="860" w:right="3339" w:hanging="421"/>
        <w:spacing w:after="0" w:line="251" w:lineRule="auto"/>
        <w:tabs>
          <w:tab w:leader="none" w:pos="8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net increase of $6.1 million, or 5.0%, on a same center basis due primarily to the increased rental rates attributable to retenanting at several shopping centers and street retail properties, as well as the increased rental income from the Trust's Woodmont East project in Bethesda, Maryland which was open and occupied for a full year in 2002. These increases were partially offset by higher vacancy levels at three of the region's shopping centers; offset by</w:t>
      </w:r>
    </w:p>
    <w:p>
      <w:pPr>
        <w:spacing w:after="0" w:line="164" w:lineRule="exact"/>
        <w:rPr>
          <w:sz w:val="20"/>
          <w:szCs w:val="20"/>
          <w:color w:val="auto"/>
        </w:rPr>
      </w:pPr>
    </w:p>
    <w:p>
      <w:pPr>
        <w:ind w:left="860" w:right="3339" w:hanging="421"/>
        <w:spacing w:after="0" w:line="255" w:lineRule="auto"/>
        <w:tabs>
          <w:tab w:leader="none" w:pos="8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of $700,000 from the Williamsburg Shopping Center which was sold in 2001.</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Same center basis for the year ended December 31, 2002 excludes Williamsburg Shopping Center which was sold in 2001, Friendship Center which was purchased in 2001 and Pentagon Row which was being phased into service throughout 2001 and 2002. There were no significant contributions from redevelopments or expansions in this region during 2001 and 2002.</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When comparing 2001 with 2000, rental income increased $10.4 million, or 9.1%, reflecting the contribution from the recently completed Woodmont East project, the rental income generated from the first three buildings at the Pentagon Row project, as well as Friendship Center which was acquired on September 21, 2001. On a same center basis, which excludes Woodmont East, Pentagon Row, Friendship Center and Williamsburg shopping center which was sold on April 27, 2001, rental income increased $4.8 million, or 4.3%, due to successful retenanting at several of the regions properties.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Property Operating Income. The increase in property operating income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$11.3 million, or 12.3%, for the year ended December 31, 2002 as compared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2001, is attributable to:</w:t>
      </w:r>
    </w:p>
    <w:p>
      <w:pPr>
        <w:spacing w:after="0" w:line="173" w:lineRule="exact"/>
        <w:rPr>
          <w:sz w:val="20"/>
          <w:szCs w:val="20"/>
          <w:color w:val="auto"/>
        </w:rPr>
      </w:pPr>
    </w:p>
    <w:p>
      <w:pPr>
        <w:ind w:left="860" w:hanging="421"/>
        <w:spacing w:after="0"/>
        <w:tabs>
          <w:tab w:leader="none" w:pos="8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$14.8 million in rental revenue as described above; and</w:t>
      </w:r>
    </w:p>
    <w:p>
      <w:pPr>
        <w:spacing w:after="0" w:line="173" w:lineRule="exact"/>
        <w:rPr>
          <w:sz w:val="20"/>
          <w:szCs w:val="20"/>
          <w:color w:val="auto"/>
        </w:rPr>
      </w:pPr>
    </w:p>
    <w:p>
      <w:pPr>
        <w:ind w:left="860" w:right="3419" w:hanging="421"/>
        <w:spacing w:after="0" w:line="252" w:lineRule="auto"/>
        <w:tabs>
          <w:tab w:leader="none" w:pos="8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$1.8 million in other income primarily from Pentagon Row and Friendship Center, as both of these properties were owned and operated for a full year in 2002; partially offset by</w:t>
      </w:r>
    </w:p>
    <w:p>
      <w:pPr>
        <w:spacing w:after="0" w:line="163" w:lineRule="exact"/>
        <w:rPr>
          <w:sz w:val="20"/>
          <w:szCs w:val="20"/>
          <w:color w:val="auto"/>
        </w:rPr>
      </w:pPr>
    </w:p>
    <w:p>
      <w:pPr>
        <w:ind w:left="860" w:right="3599" w:hanging="421"/>
        <w:spacing w:after="0" w:line="252" w:lineRule="auto"/>
        <w:tabs>
          <w:tab w:leader="none" w:pos="8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$3.5 million in rental expense, primarily due to the Pentagon Row and Friendship Center properties as well as increased insurance costs; and</w:t>
      </w:r>
    </w:p>
    <w:p>
      <w:pPr>
        <w:spacing w:after="0" w:line="163" w:lineRule="exact"/>
        <w:rPr>
          <w:sz w:val="20"/>
          <w:szCs w:val="20"/>
          <w:color w:val="auto"/>
        </w:rPr>
      </w:pPr>
    </w:p>
    <w:p>
      <w:pPr>
        <w:ind w:left="860" w:right="3339" w:hanging="421"/>
        <w:spacing w:after="0" w:line="251" w:lineRule="auto"/>
        <w:tabs>
          <w:tab w:leader="none" w:pos="8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$1.8 million in real estate taxes, of which approximately $800,000 was attributable to Pentagon Row and Friendship Center with the remaining increase primarily as a result of increased taxes on recently redeveloped properties and overall increases in tax assessments.</w:t>
      </w:r>
    </w:p>
    <w:p>
      <w:pPr>
        <w:spacing w:after="0" w:line="16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Same center property operating income in the year ended December 31, 2002 increased 4.8% from 2001.</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Property operating income increased $7.7 million, or 9.2%, for the year ended December 31, 2001 when compared to the year ended December 31, 2000. This increase is attributable to:</w:t>
      </w:r>
    </w:p>
    <w:p>
      <w:pPr>
        <w:spacing w:after="0" w:line="163" w:lineRule="exact"/>
        <w:rPr>
          <w:sz w:val="20"/>
          <w:szCs w:val="20"/>
          <w:color w:val="auto"/>
        </w:rPr>
      </w:pPr>
    </w:p>
    <w:p>
      <w:pPr>
        <w:ind w:left="860" w:hanging="421"/>
        <w:spacing w:after="0"/>
        <w:tabs>
          <w:tab w:leader="none" w:pos="8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$10.4 million in rental revenue as described above;</w:t>
      </w:r>
    </w:p>
    <w:p>
      <w:pPr>
        <w:spacing w:after="0" w:line="173" w:lineRule="exact"/>
        <w:rPr>
          <w:sz w:val="20"/>
          <w:szCs w:val="20"/>
          <w:color w:val="auto"/>
        </w:rPr>
      </w:pPr>
    </w:p>
    <w:p>
      <w:pPr>
        <w:ind w:left="860" w:right="3419" w:hanging="421"/>
        <w:spacing w:after="0" w:line="252" w:lineRule="auto"/>
        <w:tabs>
          <w:tab w:leader="none" w:pos="8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in other property income of $1.8 million due primarily to increased lease termination fees and other miscellaneous income; partially offset by</w:t>
      </w:r>
    </w:p>
    <w:p>
      <w:pPr>
        <w:spacing w:after="0" w:line="163" w:lineRule="exact"/>
        <w:rPr>
          <w:sz w:val="20"/>
          <w:szCs w:val="20"/>
          <w:color w:val="auto"/>
        </w:rPr>
      </w:pPr>
    </w:p>
    <w:p>
      <w:pPr>
        <w:ind w:left="860" w:right="3519" w:hanging="421"/>
        <w:spacing w:after="0" w:line="255" w:lineRule="auto"/>
        <w:tabs>
          <w:tab w:leader="none" w:pos="8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$3.7 million in rental expenses primarily at Pentagon Row and Woodmont East; and</w:t>
      </w:r>
    </w:p>
    <w:p>
      <w:pPr>
        <w:spacing w:after="0" w:line="160" w:lineRule="exact"/>
        <w:rPr>
          <w:sz w:val="20"/>
          <w:szCs w:val="20"/>
          <w:color w:val="auto"/>
        </w:rPr>
      </w:pPr>
    </w:p>
    <w:p>
      <w:pPr>
        <w:ind w:left="860" w:right="3519" w:hanging="421"/>
        <w:spacing w:after="0" w:line="252" w:lineRule="auto"/>
        <w:tabs>
          <w:tab w:leader="none" w:pos="8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in real estate taxes of $800,000, approximately $400,000 of which was related to Pentagon Row, Woodmont East and Friendship Center with the remainder attributable to increases in tax assessments throughout the portfolio.</w:t>
      </w:r>
    </w:p>
    <w:p>
      <w:pPr>
        <w:spacing w:after="0" w:line="162"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38 -</w:t>
      </w:r>
    </w:p>
    <w:p>
      <w:pPr>
        <w:sectPr>
          <w:pgSz w:w="11900" w:h="16838" w:orient="portrait"/>
          <w:cols w:equalWidth="0" w:num="1">
            <w:col w:w="10239"/>
          </w:cols>
          <w:pgMar w:left="220" w:top="616"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WEST</w:t>
      </w:r>
    </w:p>
    <w:p>
      <w:pPr>
        <w:spacing w:after="0" w:line="173" w:lineRule="exact"/>
        <w:rPr>
          <w:sz w:val="20"/>
          <w:szCs w:val="20"/>
          <w:color w:val="auto"/>
        </w:rPr>
      </w:pPr>
    </w:p>
    <w:p>
      <w:pPr>
        <w:ind w:right="3419" w:firstLine="431"/>
        <w:spacing w:after="0" w:line="257" w:lineRule="auto"/>
        <w:rPr>
          <w:sz w:val="20"/>
          <w:szCs w:val="20"/>
          <w:color w:val="auto"/>
        </w:rPr>
      </w:pPr>
      <w:r>
        <w:rPr>
          <w:rFonts w:ascii="Courier New" w:cs="Courier New" w:eastAsia="Courier New" w:hAnsi="Courier New"/>
          <w:sz w:val="14"/>
          <w:szCs w:val="14"/>
          <w:color w:val="auto"/>
        </w:rPr>
        <w:t>As of December 31, 2002, 34 of our properties, including Santana Row, were located in the West region. The West region extends from Texas to the West Coast.</w:t>
      </w:r>
    </w:p>
    <w:p>
      <w:pPr>
        <w:spacing w:after="0" w:line="32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Rental. The increase in rental income of $2.9 million, or 9.1%, for the year ended December 31, 2002 as compared to the year ended December 31, 2001, is attributable to:</w:t>
      </w:r>
    </w:p>
    <w:p>
      <w:pPr>
        <w:spacing w:after="0" w:line="163" w:lineRule="exact"/>
        <w:rPr>
          <w:sz w:val="20"/>
          <w:szCs w:val="20"/>
          <w:color w:val="auto"/>
        </w:rPr>
      </w:pPr>
    </w:p>
    <w:p>
      <w:pPr>
        <w:ind w:left="860" w:right="3419" w:hanging="421"/>
        <w:spacing w:after="0" w:line="251" w:lineRule="auto"/>
        <w:tabs>
          <w:tab w:leader="none" w:pos="8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$2.5 million, or 7.9%, on a same center basis due primarily to the increased rental rates at redeveloped and retenanted properties in the Los Angeles area, San Francisco and Los Gatos, California, as well as the increased rental income associated with lease rollovers;</w:t>
      </w:r>
    </w:p>
    <w:p>
      <w:pPr>
        <w:spacing w:after="0" w:line="165" w:lineRule="exact"/>
        <w:rPr>
          <w:sz w:val="20"/>
          <w:szCs w:val="20"/>
          <w:color w:val="auto"/>
        </w:rPr>
      </w:pPr>
    </w:p>
    <w:p>
      <w:pPr>
        <w:ind w:left="860" w:right="3599" w:hanging="421"/>
        <w:spacing w:after="0" w:line="255" w:lineRule="auto"/>
        <w:tabs>
          <w:tab w:leader="none" w:pos="86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approximately $800,000 of rental income generated at Santana Row; offset by</w:t>
      </w:r>
    </w:p>
    <w:p>
      <w:pPr>
        <w:spacing w:after="0" w:line="160" w:lineRule="exact"/>
        <w:rPr>
          <w:sz w:val="20"/>
          <w:szCs w:val="20"/>
          <w:color w:val="auto"/>
        </w:rPr>
      </w:pPr>
    </w:p>
    <w:p>
      <w:pPr>
        <w:ind w:left="860" w:right="3339" w:hanging="421"/>
        <w:spacing w:after="0" w:line="255" w:lineRule="auto"/>
        <w:tabs>
          <w:tab w:leader="none" w:pos="8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of approximately $400,000 due to the exchange of 580 Market Street in 2002.</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Same center basis for the year ended December 31, 2002 excludes 580 Market Street which was exchanged for the minority partner's interest in Santana Row and Santana Row, which was under development in 2001 and 2002. Same center rental income, excluding the contribution from property redevelopments and expansions, for the year ended December 31, 2002 increased 5.1% from 2001.</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When comparing 2001 with 2000, rental income increased $1.4 million, or 4.7%, reflecting the recently redeveloped and retenanted properties in Los Angeles and San Francisco, California, offset by the impact of the sale of Peninsula Shopping Center on June 30, 2000. On a same center basis, which excludes properties acquired and sold in 2001 and 2000 and Santana Row, which is under development, rental income increased $4.1 million, or 15.4%, due to the successful redevelopment and retenanting mentioned above.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Property Operating Income. The decrease in property operating income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 million, or 16.9%, for the year ended December 31, 2002 as compared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2001, is attributable to:</w:t>
      </w:r>
    </w:p>
    <w:p>
      <w:pPr>
        <w:spacing w:after="0" w:line="173" w:lineRule="exact"/>
        <w:rPr>
          <w:sz w:val="20"/>
          <w:szCs w:val="20"/>
          <w:color w:val="auto"/>
        </w:rPr>
      </w:pPr>
    </w:p>
    <w:p>
      <w:pPr>
        <w:ind w:left="860" w:right="3339" w:hanging="421"/>
        <w:spacing w:after="0" w:line="252" w:lineRule="auto"/>
        <w:tabs>
          <w:tab w:leader="none" w:pos="8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$7.4 million in rental expense primarily as a result of leasing, marketing and other start-up costs associated with our Santana Row project;</w:t>
      </w:r>
    </w:p>
    <w:p>
      <w:pPr>
        <w:spacing w:after="0" w:line="163" w:lineRule="exact"/>
        <w:rPr>
          <w:sz w:val="20"/>
          <w:szCs w:val="20"/>
          <w:color w:val="auto"/>
        </w:rPr>
      </w:pPr>
    </w:p>
    <w:p>
      <w:pPr>
        <w:ind w:left="860" w:right="3339" w:hanging="421"/>
        <w:spacing w:after="0" w:line="252" w:lineRule="auto"/>
        <w:tabs>
          <w:tab w:leader="none" w:pos="86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$500,000 in real estate taxes primarily as a result of increased taxes on recently redeveloped properties and real estate tax expense on Santana Row reflecting the period the project was operating in 2002; and</w:t>
      </w:r>
    </w:p>
    <w:p>
      <w:pPr>
        <w:spacing w:after="0" w:line="162" w:lineRule="exact"/>
        <w:rPr>
          <w:sz w:val="20"/>
          <w:szCs w:val="20"/>
          <w:color w:val="auto"/>
        </w:rPr>
      </w:pPr>
    </w:p>
    <w:p>
      <w:pPr>
        <w:ind w:left="860" w:right="3419" w:hanging="421"/>
        <w:spacing w:after="0" w:line="252" w:lineRule="auto"/>
        <w:tabs>
          <w:tab w:leader="none" w:pos="8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of $100,000 in other property income primarily as a result of lower parking income which offset the increase associated with Santana Row; partially offset by</w:t>
      </w:r>
    </w:p>
    <w:p>
      <w:pPr>
        <w:spacing w:after="0" w:line="163" w:lineRule="exact"/>
        <w:rPr>
          <w:sz w:val="20"/>
          <w:szCs w:val="20"/>
          <w:color w:val="auto"/>
        </w:rPr>
      </w:pPr>
    </w:p>
    <w:p>
      <w:pPr>
        <w:ind w:left="860" w:hanging="421"/>
        <w:spacing w:after="0"/>
        <w:tabs>
          <w:tab w:leader="none" w:pos="8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$2.9 million in rental income as described above; and</w:t>
      </w:r>
    </w:p>
    <w:p>
      <w:pPr>
        <w:spacing w:after="0" w:line="173" w:lineRule="exact"/>
        <w:rPr>
          <w:sz w:val="20"/>
          <w:szCs w:val="20"/>
          <w:color w:val="auto"/>
        </w:rPr>
      </w:pPr>
    </w:p>
    <w:p>
      <w:pPr>
        <w:ind w:left="860" w:right="3679" w:hanging="421"/>
        <w:spacing w:after="0" w:line="252" w:lineRule="auto"/>
        <w:tabs>
          <w:tab w:leader="none" w:pos="8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$1.4 million in interest income on mortgage notes receivable primarily as a result of additional loans funded during 2002 and higher participating interest on loans outstanding.</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Same center property operating income in the year ended December 31, 2002 increased 5.4% from 2001. Same center property operating income, excluding the contribution from property redevelopments and expansions, for the year ended December 31, 2002 increased 4.0% from 2001.</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Property operating income decreased $2.2 million, or 9.2%, for the year ended December 31, 2001 when compared to the year ended December 31, 2000. This decrease is attributable to:</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- 39 -</w:t>
      </w:r>
    </w:p>
    <w:p>
      <w:pPr>
        <w:sectPr>
          <w:pgSz w:w="11900" w:h="16838" w:orient="portrait"/>
          <w:cols w:equalWidth="0" w:num="1">
            <w:col w:w="10239"/>
          </w:cols>
          <w:pgMar w:left="220" w:top="616" w:right="1440" w:bottom="1440" w:gutter="0" w:footer="0" w:header="0"/>
        </w:sectPr>
      </w:pPr>
    </w:p>
    <w:bookmarkStart w:id="46" w:name="page47"/>
    <w:bookmarkEnd w:id="46"/>
    <w:p>
      <w:pPr>
        <w:ind w:left="860" w:right="3519" w:hanging="421"/>
        <w:spacing w:after="0" w:line="252" w:lineRule="auto"/>
        <w:tabs>
          <w:tab w:leader="none" w:pos="8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$3.1 million in rental expenses, consisting primarily of the marketing and leasing costs associated with the Santana Row development;</w:t>
      </w:r>
    </w:p>
    <w:p>
      <w:pPr>
        <w:spacing w:after="0" w:line="163" w:lineRule="exact"/>
        <w:rPr>
          <w:sz w:val="20"/>
          <w:szCs w:val="20"/>
          <w:color w:val="auto"/>
        </w:rPr>
      </w:pPr>
    </w:p>
    <w:p>
      <w:pPr>
        <w:ind w:left="860" w:right="3599" w:hanging="421"/>
        <w:spacing w:after="0" w:line="255" w:lineRule="auto"/>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in interest and other income of $400,000 reflecting the payoff of a note in 2001 and higher participation interest in 2000;</w:t>
      </w:r>
    </w:p>
    <w:p>
      <w:pPr>
        <w:spacing w:after="0" w:line="160" w:lineRule="exact"/>
        <w:rPr>
          <w:sz w:val="20"/>
          <w:szCs w:val="20"/>
          <w:color w:val="auto"/>
        </w:rPr>
      </w:pPr>
    </w:p>
    <w:p>
      <w:pPr>
        <w:ind w:left="860" w:right="3419" w:hanging="421"/>
        <w:spacing w:after="0" w:line="252" w:lineRule="auto"/>
        <w:tabs>
          <w:tab w:leader="none" w:pos="8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decrease in other property income of $300,000 due primarily to the reduction in earnings when the old Town &amp; Country Shopping Center was demolished to make way for the new Santana Row project; offset by</w:t>
      </w:r>
    </w:p>
    <w:p>
      <w:pPr>
        <w:spacing w:after="0" w:line="163" w:lineRule="exact"/>
        <w:rPr>
          <w:sz w:val="20"/>
          <w:szCs w:val="20"/>
          <w:color w:val="auto"/>
        </w:rPr>
      </w:pPr>
    </w:p>
    <w:p>
      <w:pPr>
        <w:ind w:left="860" w:hanging="421"/>
        <w:spacing w:after="0"/>
        <w:tabs>
          <w:tab w:leader="none" w:pos="8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$1.4 million in rental income as described above; and</w:t>
      </w:r>
    </w:p>
    <w:p>
      <w:pPr>
        <w:spacing w:after="0" w:line="173" w:lineRule="exact"/>
        <w:rPr>
          <w:sz w:val="20"/>
          <w:szCs w:val="20"/>
          <w:color w:val="auto"/>
        </w:rPr>
      </w:pPr>
    </w:p>
    <w:p>
      <w:pPr>
        <w:ind w:left="860" w:right="3419" w:hanging="421"/>
        <w:spacing w:after="0" w:line="252" w:lineRule="auto"/>
        <w:tabs>
          <w:tab w:leader="none" w:pos="8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net decrease in real estate taxes of $200,000 attributable to the June 30, 2000 sale of Peninsula Shopping Center, which offsets increased assessments on redeveloped properties and overall increases in tax assessments.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Cash and cash equivalents were $23.1 million and $17.5 million at December 31, 2002 and December 31, 2001, respectively. This $5.6 million increase is attributable to $119.1 million and $62.2 million provided by operating and financing activities, respectively, partially offset by $175.7 million used in investing activities.</w:t>
      </w:r>
    </w:p>
    <w:p>
      <w:pPr>
        <w:spacing w:after="0" w:line="200" w:lineRule="exact"/>
        <w:rPr>
          <w:sz w:val="20"/>
          <w:szCs w:val="20"/>
          <w:color w:val="auto"/>
        </w:rPr>
      </w:pPr>
    </w:p>
    <w:p>
      <w:pPr>
        <w:spacing w:after="0" w:line="296"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53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 THE YEAR ENDED</w:t>
            </w:r>
          </w:p>
        </w:tc>
      </w:tr>
      <w:tr>
        <w:trPr>
          <w:trHeight w:val="166"/>
        </w:trPr>
        <w:tc>
          <w:tcPr>
            <w:tcW w:w="538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31, 2002</w:t>
            </w:r>
          </w:p>
        </w:tc>
      </w:tr>
      <w:tr>
        <w:trPr>
          <w:trHeight w:val="166"/>
        </w:trPr>
        <w:tc>
          <w:tcPr>
            <w:tcW w:w="538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5380" w:type="dxa"/>
            <w:vAlign w:val="bottom"/>
          </w:tcPr>
          <w:p>
            <w:pPr>
              <w:spacing w:after="0"/>
              <w:rPr>
                <w:sz w:val="20"/>
                <w:szCs w:val="20"/>
                <w:color w:val="auto"/>
              </w:rPr>
            </w:pPr>
            <w:r>
              <w:rPr>
                <w:rFonts w:ascii="Courier New" w:cs="Courier New" w:eastAsia="Courier New" w:hAnsi="Courier New"/>
                <w:sz w:val="14"/>
                <w:szCs w:val="14"/>
                <w:color w:val="auto"/>
              </w:rPr>
              <w:t>Cash Provided by Operating Activities .......................</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119,069</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Cash Provided by Financing Activities .......................</w:t>
            </w:r>
          </w:p>
        </w:tc>
        <w:tc>
          <w:tcPr>
            <w:tcW w:w="6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62,235</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Cash Used in Investing Activities ...........................</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(175,744)</w:t>
            </w:r>
          </w:p>
        </w:tc>
      </w:tr>
      <w:tr>
        <w:trPr>
          <w:trHeight w:val="166"/>
        </w:trPr>
        <w:tc>
          <w:tcPr>
            <w:tcW w:w="5380" w:type="dxa"/>
            <w:vAlign w:val="bottom"/>
          </w:tcPr>
          <w:p>
            <w:pPr>
              <w:spacing w:after="0"/>
              <w:rPr>
                <w:sz w:val="14"/>
                <w:szCs w:val="14"/>
                <w:color w:val="auto"/>
              </w:rPr>
            </w:pPr>
          </w:p>
        </w:tc>
        <w:tc>
          <w:tcPr>
            <w:tcW w:w="16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Increase in Cash and Cash Equivalents .......................</w:t>
            </w:r>
          </w:p>
        </w:tc>
        <w:tc>
          <w:tcPr>
            <w:tcW w:w="6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5,560</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Period ..............</w:t>
            </w:r>
          </w:p>
        </w:tc>
        <w:tc>
          <w:tcPr>
            <w:tcW w:w="6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17,563</w:t>
            </w:r>
          </w:p>
        </w:tc>
      </w:tr>
      <w:tr>
        <w:trPr>
          <w:trHeight w:val="166"/>
        </w:trPr>
        <w:tc>
          <w:tcPr>
            <w:tcW w:w="5380" w:type="dxa"/>
            <w:vAlign w:val="bottom"/>
          </w:tcPr>
          <w:p>
            <w:pPr>
              <w:spacing w:after="0"/>
              <w:rPr>
                <w:sz w:val="14"/>
                <w:szCs w:val="14"/>
                <w:color w:val="auto"/>
              </w:rPr>
            </w:pPr>
          </w:p>
        </w:tc>
        <w:tc>
          <w:tcPr>
            <w:tcW w:w="16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Period ....................</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23,123</w:t>
            </w:r>
          </w:p>
        </w:tc>
      </w:tr>
      <w:tr>
        <w:trPr>
          <w:trHeight w:val="166"/>
        </w:trPr>
        <w:tc>
          <w:tcPr>
            <w:tcW w:w="5380" w:type="dxa"/>
            <w:vAlign w:val="bottom"/>
          </w:tcPr>
          <w:p>
            <w:pPr>
              <w:spacing w:after="0"/>
              <w:rPr>
                <w:sz w:val="14"/>
                <w:szCs w:val="14"/>
                <w:color w:val="auto"/>
              </w:rPr>
            </w:pPr>
          </w:p>
        </w:tc>
        <w:tc>
          <w:tcPr>
            <w:tcW w:w="16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Activities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cash provided by operating activities for the year ended December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of $119.1 million is attributable to:</w:t>
      </w:r>
    </w:p>
    <w:p>
      <w:pPr>
        <w:spacing w:after="0" w:line="173" w:lineRule="exact"/>
        <w:rPr>
          <w:sz w:val="20"/>
          <w:szCs w:val="20"/>
          <w:color w:val="auto"/>
        </w:rPr>
      </w:pPr>
    </w:p>
    <w:p>
      <w:pPr>
        <w:ind w:left="860" w:hanging="421"/>
        <w:spacing w:after="0"/>
        <w:tabs>
          <w:tab w:leader="none" w:pos="8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$99.5 million from property operations; and</w:t>
      </w:r>
    </w:p>
    <w:p>
      <w:pPr>
        <w:spacing w:after="0" w:line="173" w:lineRule="exact"/>
        <w:rPr>
          <w:sz w:val="20"/>
          <w:szCs w:val="20"/>
          <w:color w:val="auto"/>
        </w:rPr>
      </w:pPr>
    </w:p>
    <w:p>
      <w:pPr>
        <w:ind w:left="860" w:hanging="421"/>
        <w:spacing w:after="0"/>
        <w:tabs>
          <w:tab w:leader="none" w:pos="8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$19.6 million from the non-cash portion of our restructuring expense.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Activities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cash provided by financing activities for the year ended December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of $62.2 million is attributable to:</w:t>
      </w:r>
    </w:p>
    <w:p>
      <w:pPr>
        <w:spacing w:after="0" w:line="173" w:lineRule="exact"/>
        <w:rPr>
          <w:sz w:val="20"/>
          <w:szCs w:val="20"/>
          <w:color w:val="auto"/>
        </w:rPr>
      </w:pPr>
    </w:p>
    <w:p>
      <w:pPr>
        <w:ind w:left="860" w:right="3419" w:hanging="421"/>
        <w:spacing w:after="0" w:line="255" w:lineRule="auto"/>
        <w:tabs>
          <w:tab w:leader="none" w:pos="8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$148.7 million of proceeds, net of costs, from the November 2002 note issuance;</w:t>
      </w:r>
    </w:p>
    <w:p>
      <w:pPr>
        <w:spacing w:after="0" w:line="160" w:lineRule="exact"/>
        <w:rPr>
          <w:sz w:val="20"/>
          <w:szCs w:val="20"/>
          <w:color w:val="auto"/>
        </w:rPr>
      </w:pPr>
    </w:p>
    <w:p>
      <w:pPr>
        <w:ind w:left="860" w:right="3679" w:hanging="421"/>
        <w:spacing w:after="0" w:line="255" w:lineRule="auto"/>
        <w:tabs>
          <w:tab w:leader="none" w:pos="8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$130.6 million of proceeds under the Santana Row and Woodmont East construction loans;</w:t>
      </w:r>
    </w:p>
    <w:p>
      <w:pPr>
        <w:spacing w:after="0" w:line="160" w:lineRule="exact"/>
        <w:rPr>
          <w:sz w:val="20"/>
          <w:szCs w:val="20"/>
          <w:color w:val="auto"/>
        </w:rPr>
      </w:pPr>
    </w:p>
    <w:p>
      <w:pPr>
        <w:ind w:left="860" w:right="3339" w:hanging="421"/>
        <w:spacing w:after="0" w:line="252" w:lineRule="auto"/>
        <w:tabs>
          <w:tab w:leader="none" w:pos="8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$56.6 million of proceeds, net of costs, received from the issuance of 2,200,000 common shares in an underwritten public offering in June 2002;</w:t>
      </w:r>
    </w:p>
    <w:p>
      <w:pPr>
        <w:spacing w:after="0" w:line="163" w:lineRule="exact"/>
        <w:rPr>
          <w:sz w:val="20"/>
          <w:szCs w:val="20"/>
          <w:color w:val="auto"/>
        </w:rPr>
      </w:pPr>
    </w:p>
    <w:p>
      <w:pPr>
        <w:ind w:left="860" w:hanging="421"/>
        <w:spacing w:after="0"/>
        <w:tabs>
          <w:tab w:leader="none" w:pos="8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$27.0 million of net proceeds under our credit facility; and</w:t>
      </w:r>
    </w:p>
    <w:p>
      <w:pPr>
        <w:spacing w:after="0" w:line="173" w:lineRule="exact"/>
        <w:rPr>
          <w:sz w:val="20"/>
          <w:szCs w:val="20"/>
          <w:color w:val="auto"/>
        </w:rPr>
      </w:pPr>
    </w:p>
    <w:p>
      <w:pPr>
        <w:jc w:val="both"/>
        <w:ind w:left="860" w:right="3679" w:hanging="421"/>
        <w:spacing w:after="0" w:line="252" w:lineRule="auto"/>
        <w:tabs>
          <w:tab w:leader="none" w:pos="8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$20.1 million of net proceeds received from the issuance of common shares under our dividend reinvestment plan and exercise of common stock options.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cash provided by financing activities was partially offset by:</w:t>
      </w:r>
    </w:p>
    <w:p>
      <w:pPr>
        <w:spacing w:after="0" w:line="173" w:lineRule="exact"/>
        <w:rPr>
          <w:sz w:val="20"/>
          <w:szCs w:val="20"/>
          <w:color w:val="auto"/>
        </w:rPr>
      </w:pPr>
    </w:p>
    <w:p>
      <w:pPr>
        <w:ind w:left="860" w:right="3519" w:hanging="421"/>
        <w:spacing w:after="0" w:line="255" w:lineRule="auto"/>
        <w:tabs>
          <w:tab w:leader="none" w:pos="8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$191.3 million payoff and retirement of the Santana Row construction loan;</w:t>
      </w:r>
    </w:p>
    <w:p>
      <w:pPr>
        <w:spacing w:after="0" w:line="159"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40 -</w:t>
      </w:r>
    </w:p>
    <w:p>
      <w:pPr>
        <w:sectPr>
          <w:pgSz w:w="11900" w:h="16838" w:orient="portrait"/>
          <w:cols w:equalWidth="0" w:num="1">
            <w:col w:w="10239"/>
          </w:cols>
          <w:pgMar w:left="220" w:top="616" w:right="1440" w:bottom="1440" w:gutter="0" w:footer="0" w:header="0"/>
        </w:sectPr>
      </w:pPr>
    </w:p>
    <w:bookmarkStart w:id="47" w:name="page48"/>
    <w:bookmarkEnd w:id="47"/>
    <w:p>
      <w:pPr>
        <w:ind w:left="860" w:hanging="421"/>
        <w:spacing w:after="0"/>
        <w:tabs>
          <w:tab w:leader="none" w:pos="8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$96.5 million of distributions to shareholders;</w:t>
      </w:r>
    </w:p>
    <w:p>
      <w:pPr>
        <w:spacing w:after="0" w:line="173" w:lineRule="exact"/>
        <w:rPr>
          <w:sz w:val="20"/>
          <w:szCs w:val="20"/>
          <w:color w:val="auto"/>
        </w:rPr>
      </w:pPr>
    </w:p>
    <w:p>
      <w:pPr>
        <w:ind w:left="860" w:hanging="421"/>
        <w:spacing w:after="0"/>
        <w:tabs>
          <w:tab w:leader="none" w:pos="8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repayment and retirement of our 8% Senior Notes of $25 million;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repayment and retirement of a $3.4 million note;</w:t>
      </w:r>
    </w:p>
    <w:p>
      <w:pPr>
        <w:spacing w:after="0" w:line="173" w:lineRule="exact"/>
        <w:rPr>
          <w:sz w:val="20"/>
          <w:szCs w:val="20"/>
          <w:color w:val="auto"/>
        </w:rPr>
      </w:pPr>
    </w:p>
    <w:p>
      <w:pPr>
        <w:ind w:left="860" w:right="3939" w:hanging="421"/>
        <w:spacing w:after="0" w:line="255" w:lineRule="auto"/>
        <w:tabs>
          <w:tab w:leader="none" w:pos="86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repayment of $289,000 of our 5.25% Convertible Subordinated Debentures;</w:t>
      </w:r>
    </w:p>
    <w:p>
      <w:pPr>
        <w:spacing w:after="0" w:line="160" w:lineRule="exact"/>
        <w:rPr>
          <w:sz w:val="20"/>
          <w:szCs w:val="20"/>
          <w:color w:val="auto"/>
        </w:rPr>
      </w:pPr>
    </w:p>
    <w:p>
      <w:pPr>
        <w:ind w:left="860" w:right="3419" w:hanging="421"/>
        <w:spacing w:after="0" w:line="255" w:lineRule="auto"/>
        <w:tabs>
          <w:tab w:leader="none" w:pos="86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$900,000 of principal payments on mortgages, capital leases and notes payable; and</w:t>
      </w:r>
    </w:p>
    <w:p>
      <w:pPr>
        <w:spacing w:after="0" w:line="160" w:lineRule="exact"/>
        <w:rPr>
          <w:sz w:val="20"/>
          <w:szCs w:val="20"/>
          <w:color w:val="auto"/>
        </w:rPr>
      </w:pPr>
    </w:p>
    <w:p>
      <w:pPr>
        <w:ind w:left="860" w:hanging="421"/>
        <w:spacing w:after="0"/>
        <w:tabs>
          <w:tab w:leader="none" w:pos="8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$3.4 million decrease in minority interest.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Investing Activities</w:t>
      </w:r>
    </w:p>
    <w:p>
      <w:pPr>
        <w:spacing w:after="0" w:line="7"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cash used in investing activities for the year ended December 31, 2002 of $175.7 million is attributable to:</w:t>
      </w:r>
    </w:p>
    <w:p>
      <w:pPr>
        <w:spacing w:after="0" w:line="160" w:lineRule="exact"/>
        <w:rPr>
          <w:sz w:val="20"/>
          <w:szCs w:val="20"/>
          <w:color w:val="auto"/>
        </w:rPr>
      </w:pPr>
    </w:p>
    <w:p>
      <w:pPr>
        <w:ind w:left="860" w:right="3599" w:hanging="421"/>
        <w:spacing w:after="0" w:line="255" w:lineRule="auto"/>
        <w:tabs>
          <w:tab w:leader="none" w:pos="8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$200.3 million for the development of Santana Row and Pentagon Row; and</w:t>
      </w:r>
    </w:p>
    <w:p>
      <w:pPr>
        <w:spacing w:after="0" w:line="160" w:lineRule="exact"/>
        <w:rPr>
          <w:sz w:val="20"/>
          <w:szCs w:val="20"/>
          <w:color w:val="auto"/>
        </w:rPr>
      </w:pPr>
    </w:p>
    <w:p>
      <w:pPr>
        <w:ind w:left="860" w:right="3599" w:hanging="421"/>
        <w:spacing w:after="0" w:line="251" w:lineRule="auto"/>
        <w:tabs>
          <w:tab w:leader="none" w:pos="86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$43.6 million of capital expenditures relating to improvements to common areas, tenant work and various redevelopments including the Congressional Apartments in Rockville, Maryland, the redevelopment of retail buildings in San Antonio, Texas and the completion of tenant work at our Woodmont East development in Bethesda, Maryland.</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cash used in investing activities was partially offset by:</w:t>
      </w:r>
    </w:p>
    <w:p>
      <w:pPr>
        <w:spacing w:after="0" w:line="173" w:lineRule="exact"/>
        <w:rPr>
          <w:sz w:val="20"/>
          <w:szCs w:val="20"/>
          <w:color w:val="auto"/>
        </w:rPr>
      </w:pPr>
    </w:p>
    <w:p>
      <w:pPr>
        <w:ind w:left="860" w:right="3419" w:hanging="421"/>
        <w:spacing w:after="0" w:line="252" w:lineRule="auto"/>
        <w:tabs>
          <w:tab w:leader="none" w:pos="8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$62.5 million of net proceeds from the disposition of the six properties sold in the second quarter of 2002 and the 1 street retail property sold in the fourth quarter of 2001; and</w:t>
      </w:r>
    </w:p>
    <w:p>
      <w:pPr>
        <w:spacing w:after="0" w:line="163" w:lineRule="exact"/>
        <w:rPr>
          <w:sz w:val="20"/>
          <w:szCs w:val="20"/>
          <w:color w:val="auto"/>
        </w:rPr>
      </w:pPr>
    </w:p>
    <w:p>
      <w:pPr>
        <w:ind w:left="860" w:right="3859" w:hanging="421"/>
        <w:spacing w:after="0" w:line="255" w:lineRule="auto"/>
        <w:tabs>
          <w:tab w:leader="none" w:pos="86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repayment, net of additional loans to existing borrowers, of mortgage notes receivable of $5.7 million.</w:t>
      </w:r>
    </w:p>
    <w:p>
      <w:pPr>
        <w:spacing w:after="0" w:line="159"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41 -</w:t>
      </w:r>
    </w:p>
    <w:p>
      <w:pPr>
        <w:sectPr>
          <w:pgSz w:w="11900" w:h="16838" w:orient="portrait"/>
          <w:cols w:equalWidth="0" w:num="1">
            <w:col w:w="10239"/>
          </w:cols>
          <w:pgMar w:left="220" w:top="616"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Debt Financing Arrangements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58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As of December 31, 2002, we had total debt outstanding of $1.1</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billion. Of</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7240" w:type="dxa"/>
            <w:vAlign w:val="bottom"/>
            <w:gridSpan w:val="7"/>
          </w:tcPr>
          <w:p>
            <w:pPr>
              <w:spacing w:after="0"/>
              <w:rPr>
                <w:sz w:val="20"/>
                <w:szCs w:val="20"/>
                <w:color w:val="auto"/>
              </w:rPr>
            </w:pPr>
            <w:r>
              <w:rPr>
                <w:rFonts w:ascii="Courier New" w:cs="Courier New" w:eastAsia="Courier New" w:hAnsi="Courier New"/>
                <w:sz w:val="14"/>
                <w:szCs w:val="14"/>
                <w:color w:val="auto"/>
              </w:rPr>
              <w:t>this debt, approximately $289 million (consisting of $238 million of fixed rate</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5820" w:type="dxa"/>
            <w:vAlign w:val="bottom"/>
            <w:gridSpan w:val="5"/>
          </w:tcPr>
          <w:p>
            <w:pPr>
              <w:spacing w:after="0"/>
              <w:rPr>
                <w:sz w:val="20"/>
                <w:szCs w:val="20"/>
                <w:color w:val="auto"/>
              </w:rPr>
            </w:pPr>
            <w:r>
              <w:rPr>
                <w:rFonts w:ascii="Courier New" w:cs="Courier New" w:eastAsia="Courier New" w:hAnsi="Courier New"/>
                <w:sz w:val="14"/>
                <w:szCs w:val="14"/>
                <w:color w:val="auto"/>
              </w:rPr>
              <w:t>and $51 million of variable rate debt) was secured by approximately</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12 of our</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properties.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31"/>
        </w:trPr>
        <w:tc>
          <w:tcPr>
            <w:tcW w:w="58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The following is a summary of our total debt outstanding as of</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w:t>
            </w: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2002 and 2001 (dollars in thousands):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663"/>
        </w:trPr>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ORIGINAL</w:t>
            </w:r>
          </w:p>
        </w:tc>
        <w:tc>
          <w:tcPr>
            <w:tcW w:w="300" w:type="dxa"/>
            <w:vAlign w:val="bottom"/>
          </w:tcPr>
          <w:p>
            <w:pPr>
              <w:spacing w:after="0"/>
              <w:rPr>
                <w:sz w:val="24"/>
                <w:szCs w:val="2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PRINCIPAL</w:t>
            </w:r>
          </w:p>
        </w:tc>
        <w:tc>
          <w:tcPr>
            <w:tcW w:w="260" w:type="dxa"/>
            <w:vAlign w:val="bottom"/>
          </w:tcPr>
          <w:p>
            <w:pPr>
              <w:spacing w:after="0"/>
              <w:rPr>
                <w:sz w:val="24"/>
                <w:szCs w:val="2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PRINCIPAL</w:t>
            </w: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DEBT ISSUED</w:t>
            </w:r>
          </w:p>
        </w:tc>
        <w:tc>
          <w:tcPr>
            <w:tcW w:w="12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BALANCE AS OF</w:t>
            </w:r>
          </w:p>
        </w:tc>
        <w:tc>
          <w:tcPr>
            <w:tcW w:w="1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BALANCE AS OF</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INTEREST RATE</w:t>
            </w:r>
          </w:p>
        </w:tc>
        <w:tc>
          <w:tcPr>
            <w:tcW w:w="18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DESCRIPTION OF DEBT</w:t>
            </w:r>
          </w:p>
        </w:tc>
        <w:tc>
          <w:tcPr>
            <w:tcW w:w="1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OR</w:t>
            </w:r>
          </w:p>
        </w:tc>
        <w:tc>
          <w:tcPr>
            <w:tcW w:w="12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w:t>
            </w:r>
          </w:p>
        </w:tc>
        <w:tc>
          <w:tcPr>
            <w:tcW w:w="1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31,</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AS OF DECEMBER</w:t>
            </w:r>
          </w:p>
        </w:tc>
        <w:tc>
          <w:tcPr>
            <w:tcW w:w="182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AVAILABLE</w:t>
            </w:r>
          </w:p>
        </w:tc>
        <w:tc>
          <w:tcPr>
            <w:tcW w:w="30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26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31, 2002</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MATURITY DATE</w:t>
            </w:r>
          </w:p>
        </w:tc>
      </w:tr>
      <w:tr>
        <w:trPr>
          <w:trHeight w:val="166"/>
        </w:trPr>
        <w:tc>
          <w:tcPr>
            <w:tcW w:w="336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MORTGAGE AND CONSTRUCTION LOANS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Secured Fixed Rate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Leesburg Plaza (1)..................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9,900</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9,900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6.510%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October 1, 2008</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 E. Houston Street (2)...........</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345</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304</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October 6, 2008</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Federal Plaza (3)...................</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36,500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35,936</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36,304</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6.750%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June 1, 2011</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Tysons Station (4)..................</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6,864</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6,967</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September 1, 2011</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Barracks Road (5)...................</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44,300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44,300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44,300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November 1, 2015</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Hauppauge (6).......................</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16,700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November 1, 2015</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Lawrence Park (7)...................</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31,400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31,400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November 1, 2015</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Wildwood (8)........................</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27,600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November 1, 2015</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Wynnewood (9).......................</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32,000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November 1, 2015</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Brick Plaza (10)....................</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33,000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7.415%</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November 1, 2015</w:t>
            </w: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Secured Variable Rate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31"/>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Woodmont East Construction (11).....</w:t>
            </w:r>
          </w:p>
        </w:tc>
        <w:tc>
          <w:tcPr>
            <w:tcW w:w="18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24,500</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24,449</w:t>
            </w:r>
          </w:p>
        </w:tc>
        <w:tc>
          <w:tcPr>
            <w:tcW w:w="26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23,164</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Libor + 1.20%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August 29, 2003</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Friendship Center (11)..............</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17,000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Libor + 1.35%</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September 22, 2003</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Santana Row Construction (12).......</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62,004</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Libor + 2.125%</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April 16, 2004</w:t>
            </w: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Unsecured Variable Rate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Escondido (Municipal Bonds) (13)....</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9,400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November 1, 2015</w:t>
            </w:r>
          </w:p>
        </w:tc>
      </w:tr>
      <w:tr>
        <w:trPr>
          <w:trHeight w:val="166"/>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31"/>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Total Mortgage and Construction</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336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Loans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288,817</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350,043</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Unsecured Fixed Rate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Term note with banks (14)...........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125,000</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6.22%</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December 19,2003</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Perring Plaza Renovation (15).......</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3,087</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2,266</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2,389</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January 31, 2013</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Various</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Various</w:t>
            </w: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Unsecured Variable Rate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Land purchase note (16).............</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Libor + 1.25%</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June 30, 2002</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Revolving credit facilities (17)....</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71,000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Libor + .80%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December 19, 2003</w:t>
            </w:r>
          </w:p>
        </w:tc>
      </w:tr>
      <w:tr>
        <w:trPr>
          <w:trHeight w:val="166"/>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31"/>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Total Notes Payable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198,311</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174,843</w:t>
            </w: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SENIOR NOTES AND DEBENTURES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Unsecured Fixed Rate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 Notes (18)....................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April 21,2002</w:t>
            </w:r>
          </w:p>
        </w:tc>
      </w:tr>
      <w:tr>
        <w:trPr>
          <w:trHeight w:val="166"/>
        </w:trPr>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5.25% Convertible Subordinated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Debentures (19)....................</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April 30, 2002</w:t>
            </w:r>
          </w:p>
        </w:tc>
      </w:tr>
      <w:tr>
        <w:trPr>
          <w:trHeight w:val="166"/>
        </w:trPr>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5.25% Convertible Subordinated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Debentures (20)....................</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75,000</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October 28, 2003</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 Medium Term Notes (21) (22)...</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39,500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March 10, 2004</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6.625% Notes (21)...................</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6.625%</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December 1, 2005</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 Medium Term Notes (21) (23)...</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40,500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40,500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40,500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6.894%</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March 10, 2006</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6.125% Notes (21) (24)..............</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6.325%</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November 15, 2007</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8.75% Notes (21)....................</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175,000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8.750%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December 1, 2009</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 Debentures (21)(25)...........</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August 15, 2026</w:t>
            </w: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6.82% Medium Term Notes (21)(26)....</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40,000</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c>
          <w:tcPr>
            <w:tcW w:w="2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6.820%</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August 1, 2027</w:t>
            </w:r>
          </w:p>
        </w:tc>
      </w:tr>
      <w:tr>
        <w:trPr>
          <w:trHeight w:val="166"/>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Senior Notes and Debentures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610,000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485,289</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31"/>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Total Debt Outstanding</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1 ,097,128</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1,010,175</w:t>
            </w: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r>
    </w:tbl>
    <w:p>
      <w:pPr>
        <w:spacing w:after="0" w:line="335" w:lineRule="exact"/>
        <w:rPr>
          <w:sz w:val="20"/>
          <w:szCs w:val="20"/>
          <w:color w:val="auto"/>
        </w:rPr>
      </w:pPr>
    </w:p>
    <w:p>
      <w:pPr>
        <w:ind w:left="440" w:right="4060" w:hanging="432"/>
        <w:spacing w:after="0" w:line="255" w:lineRule="auto"/>
        <w:tabs>
          <w:tab w:leader="none" w:pos="44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$9.5 million.</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w:t>
      </w:r>
    </w:p>
    <w:p>
      <w:pPr>
        <w:spacing w:after="0" w:line="172"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42 -</w:t>
      </w:r>
    </w:p>
    <w:p>
      <w:pPr>
        <w:sectPr>
          <w:pgSz w:w="11900" w:h="16838" w:orient="portrait"/>
          <w:cols w:equalWidth="0" w:num="1">
            <w:col w:w="10780"/>
          </w:cols>
          <w:pgMar w:left="220" w:top="616" w:right="899" w:bottom="1440" w:gutter="0" w:footer="0" w:header="0"/>
        </w:sectPr>
      </w:pPr>
    </w:p>
    <w:bookmarkStart w:id="49" w:name="page50"/>
    <w:bookmarkEnd w:id="49"/>
    <w:p>
      <w:pPr>
        <w:ind w:left="432" w:right="3519" w:hanging="432"/>
        <w:spacing w:after="0" w:line="255"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$31.7 million.</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$5.6 million.</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$35.0 million.</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$13.2 million.</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$24.8 million.</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$21.8 million.</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$25.3 million.</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 with a final balloon payment at maturity of approximately $25.7 million.</w:t>
      </w:r>
    </w:p>
    <w:p>
      <w:pPr>
        <w:spacing w:after="0" w:line="159" w:lineRule="exact"/>
        <w:rPr>
          <w:rFonts w:ascii="Courier New" w:cs="Courier New" w:eastAsia="Courier New" w:hAnsi="Courier New"/>
          <w:sz w:val="14"/>
          <w:szCs w:val="14"/>
          <w:color w:val="auto"/>
        </w:rPr>
      </w:pPr>
    </w:p>
    <w:p>
      <w:pPr>
        <w:ind w:left="432" w:right="3779" w:hanging="432"/>
        <w:spacing w:after="0" w:line="252"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loans require monthly interest only payments through maturity. The loans were paid off on February 11, 2003 through borrowings under the revolving credit facility.</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was repaid on November 19, 2002.</w:t>
      </w:r>
    </w:p>
    <w:p>
      <w:pPr>
        <w:spacing w:after="0" w:line="17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interest only payments through maturity. This loan bears interest at a variable rate determined weekly to be the interest rate which would enable the bonds to be remarketed at 100% of their principal amount. The weighted average interest rate for the year ended December 31, 2002 was 3.14%. The property is not encumbered by a lien.</w:t>
      </w:r>
    </w:p>
    <w:p>
      <w:pPr>
        <w:spacing w:after="0" w:line="164" w:lineRule="exact"/>
        <w:rPr>
          <w:rFonts w:ascii="Courier New" w:cs="Courier New" w:eastAsia="Courier New" w:hAnsi="Courier New"/>
          <w:sz w:val="14"/>
          <w:szCs w:val="14"/>
          <w:color w:val="auto"/>
        </w:rPr>
      </w:pPr>
    </w:p>
    <w:p>
      <w:pPr>
        <w:ind w:left="432" w:right="3599" w:hanging="432"/>
        <w:spacing w:after="0" w:line="250"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interest only payments through maturity. This loan bears interest at LIBOR plus 95 basis points. We purchased interest rate swaps or hedges on this note, thereby locking in the LIBOR rate at 5.27%. As a result, the interest rate on this loan is currently fixed at</w:t>
      </w:r>
    </w:p>
    <w:p>
      <w:pPr>
        <w:spacing w:after="0" w:line="1"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6.22%.</w:t>
      </w:r>
    </w:p>
    <w:p>
      <w:pPr>
        <w:spacing w:after="0" w:line="17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requires monthly payments of principal and interest.</w:t>
      </w:r>
    </w:p>
    <w:p>
      <w:pPr>
        <w:spacing w:after="0" w:line="17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was repaid on June 18, 2002.</w:t>
      </w:r>
    </w:p>
    <w:p>
      <w:pPr>
        <w:spacing w:after="0" w:line="172" w:lineRule="exact"/>
        <w:rPr>
          <w:rFonts w:ascii="Courier New" w:cs="Courier New" w:eastAsia="Courier New" w:hAnsi="Courier New"/>
          <w:sz w:val="14"/>
          <w:szCs w:val="14"/>
          <w:color w:val="auto"/>
        </w:rPr>
      </w:pPr>
    </w:p>
    <w:p>
      <w:pPr>
        <w:ind w:left="432" w:right="3599" w:hanging="432"/>
        <w:spacing w:after="0" w:line="252" w:lineRule="auto"/>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borrowed under the facility bear interest at LIBOR plus 80 basis points. The maximum amount drawn under the facility during 2002 was $100 million. The weighted average interest rate on borrowings under the facility for the year ended December 31, 2002 was 2.59%.</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were paid off on April 22, 2002.</w:t>
      </w:r>
    </w:p>
    <w:p>
      <w:pPr>
        <w:spacing w:after="0" w:line="172" w:lineRule="exact"/>
        <w:rPr>
          <w:rFonts w:ascii="Courier New" w:cs="Courier New" w:eastAsia="Courier New" w:hAnsi="Courier New"/>
          <w:sz w:val="14"/>
          <w:szCs w:val="14"/>
          <w:color w:val="auto"/>
        </w:rPr>
      </w:pPr>
    </w:p>
    <w:p>
      <w:pPr>
        <w:ind w:left="3352" w:hanging="165"/>
        <w:spacing w:after="0"/>
        <w:tabs>
          <w:tab w:leader="none" w:pos="3352"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43 -</w:t>
      </w:r>
    </w:p>
    <w:p>
      <w:pPr>
        <w:sectPr>
          <w:pgSz w:w="11900" w:h="16838" w:orient="portrait"/>
          <w:cols w:equalWidth="0" w:num="1">
            <w:col w:w="10231"/>
          </w:cols>
          <w:pgMar w:left="228" w:top="616" w:right="1440" w:bottom="1440" w:gutter="0" w:footer="0" w:header="0"/>
        </w:sectPr>
      </w:pPr>
    </w:p>
    <w:bookmarkStart w:id="50" w:name="page51"/>
    <w:bookmarkEnd w:id="50"/>
    <w:p>
      <w:pPr>
        <w:ind w:left="440" w:hanging="432"/>
        <w:spacing w:after="0"/>
        <w:tabs>
          <w:tab w:leader="none" w:pos="4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were paid off on April 29, 2002.</w:t>
      </w:r>
    </w:p>
    <w:p>
      <w:pPr>
        <w:spacing w:after="0" w:line="172" w:lineRule="exact"/>
        <w:rPr>
          <w:rFonts w:ascii="Courier New" w:cs="Courier New" w:eastAsia="Courier New" w:hAnsi="Courier New"/>
          <w:sz w:val="14"/>
          <w:szCs w:val="14"/>
          <w:color w:val="auto"/>
        </w:rPr>
      </w:pPr>
    </w:p>
    <w:p>
      <w:pPr>
        <w:jc w:val="both"/>
        <w:ind w:left="440" w:right="3419" w:hanging="432"/>
        <w:spacing w:after="0" w:line="252" w:lineRule="auto"/>
        <w:tabs>
          <w:tab w:leader="none" w:pos="4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require semi-annual interest payments with principal due at maturity. The debentures are convertible into our common shares at $36 per share. The debentures are redeemable by us, in whole, at any time, at 100% of the principal amount plus accrued interest.</w:t>
      </w:r>
    </w:p>
    <w:p>
      <w:pPr>
        <w:spacing w:after="0" w:line="1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require semi-annual payments of interest only during their terms.</w:t>
      </w:r>
    </w:p>
    <w:p>
      <w:pPr>
        <w:spacing w:after="0" w:line="172" w:lineRule="exact"/>
        <w:rPr>
          <w:rFonts w:ascii="Courier New" w:cs="Courier New" w:eastAsia="Courier New" w:hAnsi="Courier New"/>
          <w:sz w:val="14"/>
          <w:szCs w:val="14"/>
          <w:color w:val="auto"/>
        </w:rPr>
      </w:pPr>
    </w:p>
    <w:p>
      <w:pPr>
        <w:ind w:left="440" w:right="4119" w:hanging="432"/>
        <w:spacing w:after="0" w:line="255" w:lineRule="auto"/>
        <w:tabs>
          <w:tab w:leader="none" w:pos="4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purchased interest rate swaps at issuance, thereby reducing the effective interest rate from 6.74% to 6.37%.</w:t>
      </w:r>
    </w:p>
    <w:p>
      <w:pPr>
        <w:spacing w:after="0" w:line="159" w:lineRule="exact"/>
        <w:rPr>
          <w:rFonts w:ascii="Courier New" w:cs="Courier New" w:eastAsia="Courier New" w:hAnsi="Courier New"/>
          <w:sz w:val="14"/>
          <w:szCs w:val="14"/>
          <w:color w:val="auto"/>
        </w:rPr>
      </w:pPr>
    </w:p>
    <w:p>
      <w:pPr>
        <w:ind w:left="440" w:right="4119" w:hanging="432"/>
        <w:spacing w:after="0" w:line="255" w:lineRule="auto"/>
        <w:tabs>
          <w:tab w:leader="none" w:pos="4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purchased interest rate swaps at issuance, thereby reducing the effective interest rate from 6.99% to 6.894%.</w:t>
      </w:r>
    </w:p>
    <w:p>
      <w:pPr>
        <w:spacing w:after="0" w:line="159" w:lineRule="exact"/>
        <w:rPr>
          <w:rFonts w:ascii="Courier New" w:cs="Courier New" w:eastAsia="Courier New" w:hAnsi="Courier New"/>
          <w:sz w:val="14"/>
          <w:szCs w:val="14"/>
          <w:color w:val="auto"/>
        </w:rPr>
      </w:pPr>
    </w:p>
    <w:p>
      <w:pPr>
        <w:ind w:left="440" w:right="3419" w:hanging="432"/>
        <w:spacing w:after="0" w:line="252" w:lineRule="auto"/>
        <w:tabs>
          <w:tab w:leader="none" w:pos="4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an interest rate lock to hedge the planned note offering. A hedge loss of $1.5 million associated with this hedge is being amortized into the November 2002 note offering thereby increasing the effective interest rate on these notes to 6.325%.</w:t>
      </w:r>
    </w:p>
    <w:p>
      <w:pPr>
        <w:spacing w:after="0" w:line="162"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on August 15, 2008, the debentures are redeemable by the holders thereof at the original purchase price.</w:t>
      </w:r>
    </w:p>
    <w:p>
      <w:pPr>
        <w:spacing w:after="0" w:line="159" w:lineRule="exact"/>
        <w:rPr>
          <w:rFonts w:ascii="Courier New" w:cs="Courier New" w:eastAsia="Courier New" w:hAnsi="Courier New"/>
          <w:sz w:val="14"/>
          <w:szCs w:val="14"/>
          <w:color w:val="auto"/>
        </w:rPr>
      </w:pPr>
    </w:p>
    <w:p>
      <w:pPr>
        <w:ind w:left="440" w:right="3939" w:hanging="432"/>
        <w:spacing w:after="0" w:line="255" w:lineRule="auto"/>
        <w:tabs>
          <w:tab w:leader="none" w:pos="4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on August 1, 2007, the notes are redeemable by the holders thereof at the original purchase price.</w:t>
      </w:r>
    </w:p>
    <w:p>
      <w:pPr>
        <w:spacing w:after="0" w:line="160"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Our credit facility and other debt agreements include financial covenants that may limit our operating activities in the future. These covenants require us to:</w:t>
      </w:r>
    </w:p>
    <w:p>
      <w:pPr>
        <w:spacing w:after="0" w:line="163" w:lineRule="exact"/>
        <w:rPr>
          <w:sz w:val="20"/>
          <w:szCs w:val="20"/>
          <w:color w:val="auto"/>
        </w:rPr>
      </w:pPr>
    </w:p>
    <w:p>
      <w:pPr>
        <w:ind w:left="860" w:right="3419" w:hanging="421"/>
        <w:spacing w:after="0" w:line="252" w:lineRule="auto"/>
        <w:tabs>
          <w:tab w:leader="none" w:pos="86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the amount of debt as a percentage of gross asset value to less than .6 to 1 (we maintained a ratio of .41 to 1 as of December 31, 2002);</w:t>
      </w:r>
    </w:p>
    <w:p>
      <w:pPr>
        <w:spacing w:after="0" w:line="163" w:lineRule="exact"/>
        <w:rPr>
          <w:sz w:val="20"/>
          <w:szCs w:val="20"/>
          <w:color w:val="auto"/>
        </w:rPr>
      </w:pPr>
    </w:p>
    <w:p>
      <w:pPr>
        <w:ind w:left="860" w:right="3419" w:hanging="421"/>
        <w:spacing w:after="0" w:line="252" w:lineRule="auto"/>
        <w:tabs>
          <w:tab w:leader="none" w:pos="86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the amount of secured debt as a percentage of gross asset value to less than .35 to 1 (we maintained a ratio of .13 to 1 as of December 31, 2002);</w:t>
      </w:r>
    </w:p>
    <w:p>
      <w:pPr>
        <w:spacing w:after="0" w:line="163" w:lineRule="exact"/>
        <w:rPr>
          <w:sz w:val="20"/>
          <w:szCs w:val="20"/>
          <w:color w:val="auto"/>
        </w:rPr>
      </w:pPr>
    </w:p>
    <w:p>
      <w:pPr>
        <w:ind w:left="860" w:right="3599" w:hanging="421"/>
        <w:spacing w:after="0" w:line="250" w:lineRule="auto"/>
        <w:tabs>
          <w:tab w:leader="none" w:pos="8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the amount of debt so that our interest coverage will exceed 1.75 to 1 on a rolling four quarter basis (we maintained a ratio of</w:t>
      </w: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2.45 to 1 as of December 31, 2002);</w:t>
      </w:r>
    </w:p>
    <w:p>
      <w:pPr>
        <w:spacing w:after="0" w:line="173" w:lineRule="exact"/>
        <w:rPr>
          <w:sz w:val="20"/>
          <w:szCs w:val="20"/>
          <w:color w:val="auto"/>
        </w:rPr>
      </w:pPr>
    </w:p>
    <w:p>
      <w:pPr>
        <w:jc w:val="both"/>
        <w:ind w:left="860" w:right="3519" w:hanging="421"/>
        <w:spacing w:after="0" w:line="252" w:lineRule="auto"/>
        <w:tabs>
          <w:tab w:leader="none" w:pos="86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the amount of secured debt so that unencumbered asset value to unsecured debt will equal or exceed 1.67 to 1 (we maintained a ratio of 1.81 to 1 as of December 31, 2002); and</w:t>
      </w:r>
    </w:p>
    <w:p>
      <w:pPr>
        <w:spacing w:after="0" w:line="163" w:lineRule="exact"/>
        <w:rPr>
          <w:sz w:val="20"/>
          <w:szCs w:val="20"/>
          <w:color w:val="auto"/>
        </w:rPr>
      </w:pPr>
    </w:p>
    <w:p>
      <w:pPr>
        <w:ind w:left="860" w:right="3339" w:hanging="421"/>
        <w:spacing w:after="0" w:line="252" w:lineRule="auto"/>
        <w:tabs>
          <w:tab w:leader="none" w:pos="8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the total cost of development projects under construction to 30% or less of gross asset value (the budgeted total cost of our projects under construction represented 15.4% of gross asset value as of December 31, 2002).</w:t>
      </w:r>
    </w:p>
    <w:p>
      <w:pPr>
        <w:spacing w:after="0" w:line="162"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We are also obligated to comply with other covenants, including, among others, provisions:</w:t>
      </w:r>
    </w:p>
    <w:p>
      <w:pPr>
        <w:spacing w:after="0" w:line="160" w:lineRule="exact"/>
        <w:rPr>
          <w:sz w:val="20"/>
          <w:szCs w:val="20"/>
          <w:color w:val="auto"/>
        </w:rPr>
      </w:pPr>
    </w:p>
    <w:p>
      <w:pPr>
        <w:ind w:left="860" w:hanging="421"/>
        <w:spacing w:after="0"/>
        <w:tabs>
          <w:tab w:leader="none" w:pos="8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relating to the maintenance of property securing a mortgage;</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restricting our ability to pledge assets or create liens;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restricting our ability to incur additional debt;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restricting our ability to amend or modify existing leases;</w:t>
      </w:r>
    </w:p>
    <w:p>
      <w:pPr>
        <w:spacing w:after="0" w:line="173" w:lineRule="exact"/>
        <w:rPr>
          <w:sz w:val="20"/>
          <w:szCs w:val="20"/>
          <w:color w:val="auto"/>
        </w:rPr>
      </w:pPr>
    </w:p>
    <w:p>
      <w:pPr>
        <w:ind w:left="860" w:right="3599" w:hanging="421"/>
        <w:spacing w:after="0" w:line="255" w:lineRule="auto"/>
        <w:tabs>
          <w:tab w:leader="none" w:pos="86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restricting our ability to enter into transactions with affiliates; and</w:t>
      </w:r>
    </w:p>
    <w:p>
      <w:pPr>
        <w:spacing w:after="0" w:line="160" w:lineRule="exact"/>
        <w:rPr>
          <w:sz w:val="20"/>
          <w:szCs w:val="20"/>
          <w:color w:val="auto"/>
        </w:rPr>
      </w:pPr>
    </w:p>
    <w:p>
      <w:pPr>
        <w:ind w:left="860" w:right="4199" w:hanging="421"/>
        <w:spacing w:after="0" w:line="255" w:lineRule="auto"/>
        <w:tabs>
          <w:tab w:leader="none" w:pos="86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restricting our ability to consolidate, merge or sell all or substantially all of our assets.</w:t>
      </w:r>
    </w:p>
    <w:p>
      <w:pPr>
        <w:spacing w:after="0" w:line="159"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44 -</w:t>
      </w:r>
    </w:p>
    <w:p>
      <w:pPr>
        <w:sectPr>
          <w:pgSz w:w="11900" w:h="16838" w:orient="portrait"/>
          <w:cols w:equalWidth="0" w:num="1">
            <w:col w:w="10239"/>
          </w:cols>
          <w:pgMar w:left="220" w:top="616" w:right="1440" w:bottom="1440" w:gutter="0" w:footer="0" w:header="0"/>
        </w:sectPr>
      </w:pPr>
    </w:p>
    <w:bookmarkStart w:id="51" w:name="page52"/>
    <w:bookmarkEnd w:id="51"/>
    <w:p>
      <w:pPr>
        <w:ind w:right="3339" w:firstLine="431"/>
        <w:spacing w:after="0" w:line="251" w:lineRule="auto"/>
        <w:rPr>
          <w:sz w:val="20"/>
          <w:szCs w:val="20"/>
          <w:color w:val="auto"/>
        </w:rPr>
      </w:pPr>
      <w:r>
        <w:rPr>
          <w:rFonts w:ascii="Courier New" w:cs="Courier New" w:eastAsia="Courier New" w:hAnsi="Courier New"/>
          <w:sz w:val="14"/>
          <w:szCs w:val="14"/>
          <w:color w:val="auto"/>
        </w:rPr>
        <w:t>As of December 31, 2002, we were in compliance with all of the listed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Below are the aggregate principal payments required as of December 31, 2002 under our debt financing arrangements by year. Scheduled principal installments and amounts due at maturity are included.</w:t>
      </w:r>
    </w:p>
    <w:p>
      <w:pPr>
        <w:spacing w:after="0" w:line="16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14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SECURED</w:t>
            </w:r>
          </w:p>
        </w:tc>
        <w:tc>
          <w:tcPr>
            <w:tcW w:w="32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UNSECURED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42,149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271,137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313,286</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7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2,659</w:t>
            </w:r>
          </w:p>
        </w:tc>
        <w:tc>
          <w:tcPr>
            <w:tcW w:w="32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42,311</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7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2,896</w:t>
            </w:r>
          </w:p>
        </w:tc>
        <w:tc>
          <w:tcPr>
            <w:tcW w:w="32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40,168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43,064</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17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3,227</w:t>
            </w:r>
          </w:p>
        </w:tc>
        <w:tc>
          <w:tcPr>
            <w:tcW w:w="32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43,912</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17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3,482</w:t>
            </w:r>
          </w:p>
        </w:tc>
        <w:tc>
          <w:tcPr>
            <w:tcW w:w="32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150,204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153,686</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and thereafter</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234,404</w:t>
            </w:r>
          </w:p>
        </w:tc>
        <w:tc>
          <w:tcPr>
            <w:tcW w:w="32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266,465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500,869</w:t>
            </w:r>
          </w:p>
        </w:tc>
      </w:tr>
      <w:tr>
        <w:trPr>
          <w:trHeight w:val="166"/>
        </w:trPr>
        <w:tc>
          <w:tcPr>
            <w:tcW w:w="380" w:type="dxa"/>
            <w:vAlign w:val="bottom"/>
          </w:tcPr>
          <w:p>
            <w:pPr>
              <w:spacing w:after="0"/>
              <w:rPr>
                <w:sz w:val="14"/>
                <w:szCs w:val="14"/>
                <w:color w:val="auto"/>
              </w:rPr>
            </w:pPr>
          </w:p>
        </w:tc>
        <w:tc>
          <w:tcPr>
            <w:tcW w:w="26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288,817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808,311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$1,097,128</w:t>
            </w:r>
          </w:p>
        </w:tc>
      </w:tr>
      <w:tr>
        <w:trPr>
          <w:trHeight w:val="166"/>
        </w:trPr>
        <w:tc>
          <w:tcPr>
            <w:tcW w:w="380" w:type="dxa"/>
            <w:vAlign w:val="bottom"/>
          </w:tcPr>
          <w:p>
            <w:pPr>
              <w:spacing w:after="0"/>
              <w:rPr>
                <w:sz w:val="14"/>
                <w:szCs w:val="14"/>
                <w:color w:val="auto"/>
              </w:rPr>
            </w:pPr>
          </w:p>
        </w:tc>
        <w:tc>
          <w:tcPr>
            <w:tcW w:w="26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Our organizational documents do not limit the level or amount of debt that we may incur. Also see "Liquidity Requirements" in this section regarding management's plans with respect to debt maturing in 2003.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Hedging</w:t>
      </w:r>
    </w:p>
    <w:p>
      <w:pPr>
        <w:spacing w:after="0" w:line="173"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We enter into derivative contracts, which qualify as cash flow hedges under SFAS No. 133 "Accounting for Derivative Instruments and Hedging Activities", in order to manage interest rate risk. Derivatives are not purchased for speculation.</w:t>
      </w:r>
    </w:p>
    <w:p>
      <w:pPr>
        <w:spacing w:after="0" w:line="32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During 2001, to hedge our exposure to interest rates on our $125 million term loan, we entered into interest rate swaps, which fixed the LIBOR interest rate on the term loan at 5.27%. The current interest rate on the term loan is LIBOR plus 95 basis points, thus fixing the interest rate at 6.22% on notional amounts totaling $125 million. We are exposed to credit loss in the event of non-performance by the counterparties to the interest rate protection agreement should interest rates exceed the cap. However, management does not anticipate non-performance by the counterparties. The counterparties have long-term debt ratings of A- or above by Standard and Poor's Ratings Service ("S&amp;P") and Aa2 or above by Moody's Investors Service ("Moody's"). Although our cap is not exchange traded, there are a number of financial institutions which enter into these types of transactions as part of their day-to-day activities. The interest rate swaps mature concurrently with the $125 million term loan on December 19, 2003. The swaps were documented as cash flow hedges and designated as effective at inception of the swap contract. Consequently, the unrealized gain or loss upon measuring the swaps at their fair value is recorded as a component of other comprehensive income within shareholders' equity and either a derivative instrument asset or liability is recorded on the balance sheet. At December 31, 2002, a</w:t>
      </w:r>
    </w:p>
    <w:p>
      <w:pPr>
        <w:spacing w:after="0" w:line="33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- 45 -</w:t>
      </w:r>
    </w:p>
    <w:p>
      <w:pPr>
        <w:sectPr>
          <w:pgSz w:w="11900" w:h="16838" w:orient="portrait"/>
          <w:cols w:equalWidth="0" w:num="1">
            <w:col w:w="10239"/>
          </w:cols>
          <w:pgMar w:left="220" w:top="616" w:right="1440" w:bottom="1440" w:gutter="0" w:footer="0" w:header="0"/>
        </w:sectPr>
      </w:pPr>
    </w:p>
    <w:bookmarkStart w:id="52" w:name="page53"/>
    <w:bookmarkEnd w:id="52"/>
    <w:p>
      <w:pPr>
        <w:ind w:right="3620"/>
        <w:spacing w:after="0" w:line="251" w:lineRule="auto"/>
        <w:rPr>
          <w:sz w:val="20"/>
          <w:szCs w:val="20"/>
          <w:color w:val="auto"/>
        </w:rPr>
      </w:pPr>
      <w:r>
        <w:rPr>
          <w:rFonts w:ascii="Courier New" w:cs="Courier New" w:eastAsia="Courier New" w:hAnsi="Courier New"/>
          <w:sz w:val="14"/>
          <w:szCs w:val="14"/>
          <w:color w:val="auto"/>
        </w:rPr>
        <w:t>cumulative unrealized loss of $4.6 million, representing the difference between the current market value and the 6.22% fixed interest rate on the swap, was recorded in other comprehensive income with a corresponding derivative liability on the balance sheet. Interest expense of approximately $4.6 million will be reclassified from other comprehensive income into current earnings during 2003 to bring the effective interest rate up to 6.22%.</w:t>
      </w:r>
    </w:p>
    <w:p>
      <w:pPr>
        <w:spacing w:after="0" w:line="164" w:lineRule="exact"/>
        <w:rPr>
          <w:sz w:val="20"/>
          <w:szCs w:val="20"/>
          <w:color w:val="auto"/>
        </w:rPr>
      </w:pPr>
    </w:p>
    <w:p>
      <w:pPr>
        <w:ind w:right="3620" w:firstLine="431"/>
        <w:spacing w:after="0" w:line="251" w:lineRule="auto"/>
        <w:rPr>
          <w:sz w:val="20"/>
          <w:szCs w:val="20"/>
          <w:color w:val="auto"/>
        </w:rPr>
      </w:pPr>
      <w:r>
        <w:rPr>
          <w:rFonts w:ascii="Courier New" w:cs="Courier New" w:eastAsia="Courier New" w:hAnsi="Courier New"/>
          <w:sz w:val="14"/>
          <w:szCs w:val="14"/>
          <w:color w:val="auto"/>
        </w:rPr>
        <w:t>In anticipation of a $150 million Senior Unsecured Note offering, on August 1, 2002, we entered into a treasury rate lock that fixed the benchmark five year treasury rate at 3.472% through August 19, 2002. The rate lock was documented as a cash flow hedge of a forecasted transaction and designated as effective at the inception of the contract. On August 16, 2002, we priced the Senior Unsecured Notes with a scheduled closing date of August 21, 2002 and closed out the associated rate lock. Five year treasury rates declined between the pricing period and the settlement of the hedge purchase; therefore, to settle the rate lock, we paid $1.5 million. As a result of the August 19, 2002 fire at Santana Row, we elected not to proceed with the note offering at that time. However, we consummated a $150 Senior Unsecured Note offering on November 15, 2002, and thus, the hedge loss will be amortized into interest expense over the life of these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Requirements</w:t>
      </w:r>
    </w:p>
    <w:p>
      <w:pPr>
        <w:spacing w:after="0" w:line="173" w:lineRule="exact"/>
        <w:rPr>
          <w:sz w:val="20"/>
          <w:szCs w:val="20"/>
          <w:color w:val="auto"/>
        </w:rPr>
      </w:pPr>
    </w:p>
    <w:p>
      <w:pPr>
        <w:ind w:right="3620" w:firstLine="431"/>
        <w:spacing w:after="0" w:line="252" w:lineRule="auto"/>
        <w:rPr>
          <w:sz w:val="20"/>
          <w:szCs w:val="20"/>
          <w:color w:val="auto"/>
        </w:rPr>
      </w:pPr>
      <w:r>
        <w:rPr>
          <w:rFonts w:ascii="Courier New" w:cs="Courier New" w:eastAsia="Courier New" w:hAnsi="Courier New"/>
          <w:sz w:val="14"/>
          <w:szCs w:val="14"/>
          <w:color w:val="auto"/>
        </w:rPr>
        <w:t>As of December 31, 2002, we had unfunded contractual payment obligations of approximately $403 million due within the next twelve months. The table below specifies our total contractual payment obligations as of December 31, 2002.</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CONTRACTUAL OBLIGATIONS(1)(2)(3)(4)</w:t>
            </w:r>
          </w:p>
        </w:tc>
        <w:tc>
          <w:tcPr>
            <w:tcW w:w="22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TOTAL COST</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LESS THAN 1 YEAR</w:t>
            </w:r>
          </w:p>
        </w:tc>
        <w:tc>
          <w:tcPr>
            <w:tcW w:w="18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1 - 3 YEARS</w:t>
            </w:r>
          </w:p>
        </w:tc>
        <w:tc>
          <w:tcPr>
            <w:tcW w:w="18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4 - 5 YEARS</w:t>
            </w:r>
          </w:p>
        </w:tc>
        <w:tc>
          <w:tcPr>
            <w:tcW w:w="160" w:type="dxa"/>
            <w:vAlign w:val="bottom"/>
          </w:tcPr>
          <w:p>
            <w:pPr>
              <w:spacing w:after="0"/>
              <w:rPr>
                <w:sz w:val="14"/>
                <w:szCs w:val="14"/>
                <w:color w:val="auto"/>
              </w:rPr>
            </w:pP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AFTER 5 YEARS</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7200" w:type="dxa"/>
            <w:vAlign w:val="bottom"/>
            <w:gridSpan w:val="9"/>
          </w:tcPr>
          <w:p>
            <w:pPr>
              <w:ind w:left="40"/>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Notes and loans payable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1,097,128</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313,286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85,375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197,598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500,869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principal only ................</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104,395</w:t>
            </w: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254</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591</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722</w:t>
            </w:r>
          </w:p>
        </w:tc>
        <w:tc>
          <w:tcPr>
            <w:tcW w:w="1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102,828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Operating leases ...............</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265,944</w:t>
            </w: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3,910</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7,849</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7,999</w:t>
            </w:r>
          </w:p>
        </w:tc>
        <w:tc>
          <w:tcPr>
            <w:tcW w:w="1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246,186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Development and</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redevelopment obligations......</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78,403</w:t>
            </w: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78,403</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Joint venture obligations.......</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2,991</w:t>
            </w: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2,991</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Contractual operating</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obligations ...................</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5,104</w:t>
            </w: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4,381</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723</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 -----------------</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contractual cash</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obligations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1,553,965</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403,225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94,538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206,319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849,883</w:t>
            </w:r>
          </w:p>
        </w:tc>
      </w:tr>
      <w:tr>
        <w:trPr>
          <w:trHeight w:val="166"/>
        </w:trPr>
        <w:tc>
          <w:tcPr>
            <w:tcW w:w="31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right="3620" w:hanging="432"/>
        <w:spacing w:after="0" w:line="251" w:lineRule="auto"/>
        <w:tabs>
          <w:tab w:leader="none" w:pos="44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the Congressional Plaza partnership agreement, from and after January 1, 1986 Rockville Plaza Company ("RPC"), an unaffiliated third party, has the right to require us and the two other minority partners to purchase from half to all of RPC's 37.5% interest in Congressional Plaza at the interest's then-current fair market value. Based on management's current estimate of fair market value, our estimated liability upon exercise of the put option is approximately $27.5 million. Since the timing of this transaction is unknown, the put option is excluded from our capital requirements.</w:t>
      </w:r>
    </w:p>
    <w:p>
      <w:pPr>
        <w:spacing w:after="0" w:line="163"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46 -</w:t>
      </w:r>
    </w:p>
    <w:p>
      <w:pPr>
        <w:sectPr>
          <w:pgSz w:w="11900" w:h="16838" w:orient="portrait"/>
          <w:cols w:equalWidth="0" w:num="1">
            <w:col w:w="10520"/>
          </w:cols>
          <w:pgMar w:left="220" w:top="616" w:right="1159" w:bottom="1440" w:gutter="0" w:footer="0" w:header="0"/>
        </w:sectPr>
      </w:pPr>
    </w:p>
    <w:bookmarkStart w:id="53" w:name="page54"/>
    <w:bookmarkEnd w:id="53"/>
    <w:p>
      <w:pPr>
        <w:ind w:left="432" w:right="3339"/>
        <w:spacing w:after="0" w:line="251" w:lineRule="auto"/>
        <w:rPr>
          <w:sz w:val="20"/>
          <w:szCs w:val="20"/>
          <w:color w:val="auto"/>
        </w:rPr>
      </w:pPr>
      <w:r>
        <w:rPr>
          <w:rFonts w:ascii="Courier New" w:cs="Courier New" w:eastAsia="Courier New" w:hAnsi="Courier New"/>
          <w:sz w:val="14"/>
          <w:szCs w:val="14"/>
          <w:color w:val="auto"/>
        </w:rPr>
        <w:t>In conjunction with a redevelopment currently taking place at the property, we have agreed to acquire an additional 7.5% interest in Congressional Plaza from RPC, thereby lowering their ownership percentage to 30%, in exchange for funding approximately $7 million of RPC's share of the redevelopment cost. The funding will take place through the first quarter of 2003 and the transaction will be completed in 2003. After the completion of this transaction, our estimated liability upon the exercise of the put option will be approximately $22 million.</w:t>
      </w:r>
    </w:p>
    <w:p>
      <w:pPr>
        <w:spacing w:after="0" w:line="164" w:lineRule="exact"/>
        <w:rPr>
          <w:sz w:val="20"/>
          <w:szCs w:val="20"/>
          <w:color w:val="auto"/>
        </w:rPr>
      </w:pPr>
    </w:p>
    <w:p>
      <w:pPr>
        <w:ind w:left="432" w:right="3339" w:hanging="432"/>
        <w:spacing w:after="0" w:line="251" w:lineRule="auto"/>
        <w:tabs>
          <w:tab w:leader="none" w:pos="43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four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net operating income. The purchase price may be paid in cash or, for two of the partnerships, a limited number of our common shares at the election of the other partners. Because we may elect to issue common shares in settlement of part of our obligations, we have excluded these amounts from our capital requirements. In certain of these partnerships, if the other partners do not redeem their interest, we may choose to purchase the limited partnership interests upon the same terms.</w:t>
      </w:r>
    </w:p>
    <w:p>
      <w:pPr>
        <w:spacing w:after="0" w:line="162" w:lineRule="exact"/>
        <w:rPr>
          <w:rFonts w:ascii="Courier New" w:cs="Courier New" w:eastAsia="Courier New" w:hAnsi="Courier New"/>
          <w:sz w:val="14"/>
          <w:szCs w:val="14"/>
          <w:color w:val="auto"/>
        </w:rPr>
      </w:pPr>
    </w:p>
    <w:p>
      <w:pPr>
        <w:ind w:left="432" w:right="3519" w:hanging="432"/>
        <w:spacing w:after="0" w:line="251" w:lineRule="auto"/>
        <w:tabs>
          <w:tab w:leader="none" w:pos="43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various other partnerships which own shopping center properties with a cost of approximately $71 million, the partners may exchange their 796,773 operating units for cash or the same number of our common shares, at our option. Because we may elect to issue common shares in settlement of our obligation we have excluded these amounts from our capital requirements. During the second quarter of 2002 we issued 100,000 of our common shares valued at $2.8 million in exchange for 100,000 operating units and cash of $205,000 in exchange for an additional 7,816 operating units. On February 14, 2003 we paid $333,000 to redeem an additional 12,000 operating units.</w:t>
      </w:r>
    </w:p>
    <w:p>
      <w:pPr>
        <w:spacing w:after="0" w:line="163"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Street Retail San Antonio LP, a wholly-owned subsidiary of the Trust, entered into a Development Agreement (the "Agreement") on March 13, 2000 with the City of San Antonio, Texas (the "City") related to the redevelopment of land and buildings that we own along Houston Street in the City. Houston Street and the surrounding area have been designated by the City as a Reinvestment Zone (the "Zone"). The City has agreed to facilitate redevelopment of the Zone by undertaking and financing certain public improvements based on our agreement to redevelop our properties in the Zone. Under the terms of the Agreement, the City issued debt to fund specific public improvements within the Zone. The initial and primary source of funding to the City for repayment of the debt and debt service is the incremental tax revenue that accretes to the City as the taxable value of the redeveloped properties within the Zone increase. We are required to issue an annual letter of credit, commencing on October 1, 2002 through September 30, 2014, that covers our designated portion of the debt service should the incremental tax revenue generated not cover the debt service. We posted a letter of credit with the City on September 25, 2002 for $795,000. Our obligation under this agreement cannot be determined at this time because it is dependent on the annual assessed value of the properties in the Zone and the related tax revenue generated. We were not required to provide any funding in 2002 or for the semi-annual payment due March 15, 2003. Based on the current assessed value of the properties in the Zone, we expect to provide some funding under the Agreement prior to its expiration on September 30, 2014, but anticipate that our obligation will not exceed $600,000 in any year and will be between $2 million</w:t>
      </w:r>
    </w:p>
    <w:p>
      <w:pPr>
        <w:spacing w:after="0" w:line="176" w:lineRule="exact"/>
        <w:rPr>
          <w:rFonts w:ascii="Courier New" w:cs="Courier New" w:eastAsia="Courier New" w:hAnsi="Courier New"/>
          <w:sz w:val="14"/>
          <w:szCs w:val="14"/>
          <w:color w:val="auto"/>
        </w:rPr>
      </w:pPr>
    </w:p>
    <w:p>
      <w:pPr>
        <w:ind w:left="3352" w:hanging="165"/>
        <w:spacing w:after="0"/>
        <w:tabs>
          <w:tab w:leader="none" w:pos="3352"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47 -</w:t>
      </w:r>
    </w:p>
    <w:p>
      <w:pPr>
        <w:sectPr>
          <w:pgSz w:w="11900" w:h="16838" w:orient="portrait"/>
          <w:cols w:equalWidth="0" w:num="1">
            <w:col w:w="10231"/>
          </w:cols>
          <w:pgMar w:left="228" w:top="616" w:right="1440" w:bottom="1440" w:gutter="0" w:footer="0" w:header="0"/>
        </w:sectPr>
      </w:pPr>
    </w:p>
    <w:bookmarkStart w:id="54" w:name="page55"/>
    <w:bookmarkEnd w:id="54"/>
    <w:p>
      <w:pPr>
        <w:ind w:left="440" w:right="3419"/>
        <w:spacing w:after="0" w:line="252" w:lineRule="auto"/>
        <w:rPr>
          <w:sz w:val="20"/>
          <w:szCs w:val="20"/>
          <w:color w:val="auto"/>
        </w:rPr>
      </w:pPr>
      <w:r>
        <w:rPr>
          <w:rFonts w:ascii="Courier New" w:cs="Courier New" w:eastAsia="Courier New" w:hAnsi="Courier New"/>
          <w:sz w:val="14"/>
          <w:szCs w:val="14"/>
          <w:color w:val="auto"/>
        </w:rPr>
        <w:t>and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of December 31, 2002, our current contractual payment obligations due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within one year total approximately $403 million. Included in this amount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$196 million that represents our revolving credit facility and term loan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mature on December 19, 2003, which we plan to renew.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non-recurring corporate expenditures (such as tenant improvements and redevelopments) and dividends to common and preferred shareholders. Overall capital requirements in 2003 will depend upon acquisition opportunities, the level of improvements and redevelopments on existing properties and the timing and cost of future phases of Santana Row. We expect to fund the remaining capital requirements of $207 million, as well as our development and redevelopment costs, acquisitions and normal recurring operating costs through a combination of cash provided by operating activities, borrowings under our credit facility and other funding sources which may consist of additional debt, both secured and unsecured, additional equity, joint venture relationships and property dispositions.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expect to fund our long-term capital requirements, which consist primarily of maturities under our long-term debt, development and redevelopment costs and potential acquisition opportunities through a combination of funding sources which we believe will be available to us including debt, both secured and unsecured, additional equity, joint venture relationships and property dispositions.</w:t>
      </w:r>
    </w:p>
    <w:p>
      <w:pPr>
        <w:spacing w:after="0" w:line="164"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The following factors could affect our ability to meet our liquidity requirements:</w:t>
      </w:r>
    </w:p>
    <w:p>
      <w:pPr>
        <w:spacing w:after="0" w:line="160" w:lineRule="exact"/>
        <w:rPr>
          <w:sz w:val="20"/>
          <w:szCs w:val="20"/>
          <w:color w:val="auto"/>
        </w:rPr>
      </w:pPr>
    </w:p>
    <w:p>
      <w:pPr>
        <w:ind w:left="860" w:right="3679" w:hanging="421"/>
        <w:spacing w:after="0" w:line="252" w:lineRule="auto"/>
        <w:tabs>
          <w:tab w:leader="none" w:pos="8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obtain debt or equity financing on favorable terms, or at all, as a result of our financial condition or market conditions at the time we seek additional financing;</w:t>
      </w:r>
    </w:p>
    <w:p>
      <w:pPr>
        <w:spacing w:after="0" w:line="163" w:lineRule="exact"/>
        <w:rPr>
          <w:sz w:val="20"/>
          <w:szCs w:val="20"/>
          <w:color w:val="auto"/>
        </w:rPr>
      </w:pPr>
    </w:p>
    <w:p>
      <w:pPr>
        <w:ind w:left="860" w:right="3419" w:hanging="421"/>
        <w:spacing w:after="0" w:line="252" w:lineRule="auto"/>
        <w:tabs>
          <w:tab w:leader="none" w:pos="8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our debt instruments or outstanding equity may prohibit us from incurring debt or issuing equity at all, or on terms available under then-prevailing market conditions; and</w:t>
      </w:r>
    </w:p>
    <w:p>
      <w:pPr>
        <w:spacing w:after="0" w:line="163" w:lineRule="exact"/>
        <w:rPr>
          <w:sz w:val="20"/>
          <w:szCs w:val="20"/>
          <w:color w:val="auto"/>
        </w:rPr>
      </w:pPr>
    </w:p>
    <w:p>
      <w:pPr>
        <w:ind w:left="860" w:right="3339" w:hanging="421"/>
        <w:spacing w:after="0" w:line="255" w:lineRule="auto"/>
        <w:tabs>
          <w:tab w:leader="none" w:pos="8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service additional or replacement debt due to increases in interest rates or a decline in our operating performance.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Reinvestment and Share Purchase Plan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implemented a Dividend Reinvestment and Share Purchase Plan, which was subsequently amended in March 2002 (the "DRIP"). Under the DRIP, current shareholders are permitted to elect to reinvest all, a portion or none of their cash dividends to purchase common shares. The DRIP also allows both new investors and existing shareholders to make optional cash payments to purchase common shares.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DRIP permits current shareholders and new investors to invest a minimum of $25 up to a maximum of $10,000 in common shares per month. Shares purchased under the DRIP through reinvestment of dividends and optional cash payments are purchased at market price.</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- 48 -</w:t>
      </w:r>
    </w:p>
    <w:p>
      <w:pPr>
        <w:sectPr>
          <w:pgSz w:w="11900" w:h="16838" w:orient="portrait"/>
          <w:cols w:equalWidth="0" w:num="1">
            <w:col w:w="10239"/>
          </w:cols>
          <w:pgMar w:left="220" w:top="616" w:right="1440" w:bottom="1440" w:gutter="0" w:footer="0" w:header="0"/>
        </w:sectPr>
      </w:pPr>
    </w:p>
    <w:bookmarkStart w:id="55" w:name="page56"/>
    <w:bookmarkEnd w:id="55"/>
    <w:p>
      <w:pPr>
        <w:ind w:right="3419" w:firstLine="431"/>
        <w:spacing w:after="0" w:line="251" w:lineRule="auto"/>
        <w:rPr>
          <w:sz w:val="20"/>
          <w:szCs w:val="20"/>
          <w:color w:val="auto"/>
        </w:rPr>
      </w:pPr>
      <w:r>
        <w:rPr>
          <w:rFonts w:ascii="Courier New" w:cs="Courier New" w:eastAsia="Courier New" w:hAnsi="Courier New"/>
          <w:sz w:val="14"/>
          <w:szCs w:val="14"/>
          <w:color w:val="auto"/>
        </w:rPr>
        <w:t>Common shares may be purchased directly from the Company or in open market purchases, as we determine from time to time, to fulfill the requirements for the DRIP. We issued 134,247 and 159,234 common shares under the DRIP and received approximately $3.5 million and $3.3 million in proceeds for the years ended December 31, 2002 and 2001,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Purchase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1991, the Board of Trustees of the Company approved a Stock Purchase Plan (the "ESPP") under Section 423 of the Code. The ESPP is regarded as a noncompensatory plan under APB No. 25, because it meets the qualifications under IRC 423. Under the terms of the ESPP, eligible employees may purchase common shares of the Company at a price that is equal to 90% of the lower of the common shares' fair market value at the beginning or the end of a quarterly period. The fair market value of a common share is equal to the last sale price of the common shares on the New York Stock Exchange. Eligible employees may purchase the common shares through payroll deductions of up to 10% of eligible compensation. The ESPP is not subject to the provisions of ERISA. The ESPP terminated on January 31, 2001.</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terms of the ESPP, eligible employees had purchased 446,000 common shares at $15.125 per share with the assistance of loans of $6.7 million from us. Originally, ESPP called for one sixteenth of the loan to be forgiven each year for eight years, as long as the participant was still employed by us. The loans for all participants, but two, were modified in 1994 to extend the term an additional four years and to tie forgiveness in 1995 and thereafter to certain criteria related to our performance. One sixteenth of the loan has been forgiven during each year of the plan. At December 31, 2002, we had outstanding purchase loans to participants of approximately $830,000. The purchase loans bear interest at 9.39%. The shares purchased under the plan may not be sold, pledged or assigned until both the purchase and tax loans associated with the plan are satisfied and the term has expired, without the consent of the Compensation Committee of the Board of Trustees. On January 24, 2003, a $750,000 loan was repaid.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REIT Qualification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intend to maintain our qualification as a REIT under Section 856(c) of the Code. As a REIT, we generally will not be subject to corporate federal income taxes as long as we satisfy certain technical requirements of the Code, including the requirement to distribute 90% of our REIT taxable income to our shareholders.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FUNDS FROM OPERATIONS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historically reported our FFO in addition to our net income and net cash provided by operating activities. FFO is a supplemental non-GAAP financial measure of real estate companies' operating performance. NAREIT defines FFO as follows: income available for common shareholders before depreciation and amortization of real estate assets and before extraordinary items less gains on sale of real estate. NAREIT developed FFO as a relative measure of performance and liquidity of an equity REIT in order to recognize that the value of income-producing real estate historically has not depreciated on the basis determined under GAAP. However, FFO:</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- 49 -</w:t>
      </w:r>
    </w:p>
    <w:p>
      <w:pPr>
        <w:sectPr>
          <w:pgSz w:w="11900" w:h="16838" w:orient="portrait"/>
          <w:cols w:equalWidth="0" w:num="1">
            <w:col w:w="10239"/>
          </w:cols>
          <w:pgMar w:left="220" w:top="616" w:right="1440" w:bottom="1440" w:gutter="0" w:footer="0" w:header="0"/>
        </w:sectPr>
      </w:pPr>
    </w:p>
    <w:bookmarkStart w:id="56" w:name="page57"/>
    <w:bookmarkEnd w:id="56"/>
    <w:p>
      <w:pPr>
        <w:ind w:left="860" w:right="3700" w:hanging="421"/>
        <w:spacing w:after="0" w:line="252" w:lineRule="auto"/>
        <w:tabs>
          <w:tab w:leader="none" w:pos="8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represent cash flows from operating activities in accordance with GAAP (which, unlike FFO, generally reflects all cash effects of transactions and other events in the determination of net income);</w:t>
      </w:r>
    </w:p>
    <w:p>
      <w:pPr>
        <w:spacing w:after="0" w:line="163" w:lineRule="exact"/>
        <w:rPr>
          <w:sz w:val="20"/>
          <w:szCs w:val="20"/>
          <w:color w:val="auto"/>
        </w:rPr>
      </w:pPr>
    </w:p>
    <w:p>
      <w:pPr>
        <w:ind w:left="860" w:right="3620" w:hanging="421"/>
        <w:spacing w:after="0" w:line="255" w:lineRule="auto"/>
        <w:tabs>
          <w:tab w:leader="none" w:pos="8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not be considered an alternative to net income as an indication of our performance; and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600" w:type="dxa"/>
            <w:vAlign w:val="bottom"/>
          </w:tcPr>
          <w:p>
            <w:pPr>
              <w:spacing w:after="0"/>
              <w:rPr>
                <w:sz w:val="20"/>
                <w:szCs w:val="20"/>
                <w:color w:val="auto"/>
              </w:rPr>
            </w:pPr>
            <w:r>
              <w:rPr>
                <w:rFonts w:ascii="Courier New" w:cs="Courier New" w:eastAsia="Courier New" w:hAnsi="Courier New"/>
                <w:sz w:val="14"/>
                <w:szCs w:val="14"/>
                <w:color w:val="auto"/>
              </w:rPr>
              <w:t>is not necessarily indicative of cash flow as a measure of liquidity</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Courier New" w:cs="Courier New" w:eastAsia="Courier New" w:hAnsi="Courier New"/>
                <w:sz w:val="14"/>
                <w:szCs w:val="14"/>
                <w:color w:val="auto"/>
              </w:rPr>
              <w:t>or ability to pay dividends.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7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We consider FFO a meaningful, additional measure of operating performance</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because it primarily excludes the assumption that the value of the real estate</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assets diminishes predictably over time, and because industry analysts have</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accepted it as a performance measure. Comparison of our presentation of FFO to</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similarly titled measures for other REITs may not necessarily be meaningful due</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to possible differences in the application of the NAREIT definition used by such</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REITs.</w:t>
            </w:r>
          </w:p>
        </w:tc>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7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 increase or decrease in FFO does not necessarily result in an increase</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or decrease in aggregate distributions because our Board of Trustees is not</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required to increase distributions on a quarterly basis unless necessary for us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to maintain REIT status. However, we must distribute 90% of our REIT taxable</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income (as defined in the Code). Therefore, a significant increase in FFO will</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generally require an increase in distributions to shareholders although not</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necessarily on a proportionate basis.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7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The reconciliation of net income available for common shareholders to</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funds from operations for the years ended December 31, 2002 and 2001 is as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follows:</w:t>
            </w:r>
          </w:p>
        </w:tc>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63"/>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6"/>
        </w:trPr>
        <w:tc>
          <w:tcPr>
            <w:tcW w:w="8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0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2002</w:t>
            </w:r>
          </w:p>
        </w:tc>
        <w:tc>
          <w:tcPr>
            <w:tcW w:w="38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8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Net income available for common shareholders - basic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35,862</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59,722</w:t>
            </w: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(Gain) on sale of real estate net of loss on abandoned developments held for</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sale ...............................................................................</w:t>
            </w:r>
          </w:p>
        </w:tc>
        <w:tc>
          <w:tcPr>
            <w:tcW w:w="22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(9,454)</w:t>
            </w: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(9,185)</w:t>
            </w: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and amortization of real estate assets .................................</w:t>
            </w:r>
          </w:p>
        </w:tc>
        <w:tc>
          <w:tcPr>
            <w:tcW w:w="2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58,605</w:t>
            </w:r>
          </w:p>
        </w:tc>
        <w:tc>
          <w:tcPr>
            <w:tcW w:w="3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54,350</w:t>
            </w: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initial direct costs of leases ......................................</w:t>
            </w:r>
          </w:p>
        </w:tc>
        <w:tc>
          <w:tcPr>
            <w:tcW w:w="2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4,750</w:t>
            </w:r>
          </w:p>
        </w:tc>
        <w:tc>
          <w:tcPr>
            <w:tcW w:w="3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4,161</w:t>
            </w: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Income attributable to operating partnership units ..................................</w:t>
            </w:r>
          </w:p>
        </w:tc>
        <w:tc>
          <w:tcPr>
            <w:tcW w:w="2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740</w:t>
            </w:r>
          </w:p>
        </w:tc>
        <w:tc>
          <w:tcPr>
            <w:tcW w:w="3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1,384</w:t>
            </w:r>
          </w:p>
        </w:tc>
      </w:tr>
      <w:tr>
        <w:trPr>
          <w:trHeight w:val="166"/>
        </w:trPr>
        <w:tc>
          <w:tcPr>
            <w:tcW w:w="8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Funds from operations for common shareholders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90,503</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110,432</w:t>
            </w:r>
          </w:p>
        </w:tc>
      </w:tr>
      <w:tr>
        <w:trPr>
          <w:trHeight w:val="166"/>
        </w:trPr>
        <w:tc>
          <w:tcPr>
            <w:tcW w:w="8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number of common shares used to compute basic FFO per share ........</w:t>
            </w:r>
          </w:p>
        </w:tc>
        <w:tc>
          <w:tcPr>
            <w:tcW w:w="220" w:type="dxa"/>
            <w:vAlign w:val="bottom"/>
          </w:tcPr>
          <w:p>
            <w:pPr>
              <w:spacing w:after="0"/>
              <w:rPr>
                <w:sz w:val="24"/>
                <w:szCs w:val="2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41,624</w:t>
            </w:r>
          </w:p>
        </w:tc>
        <w:tc>
          <w:tcPr>
            <w:tcW w:w="38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39,164</w:t>
            </w:r>
          </w:p>
        </w:tc>
      </w:tr>
      <w:tr>
        <w:trPr>
          <w:trHeight w:val="166"/>
        </w:trPr>
        <w:tc>
          <w:tcPr>
            <w:tcW w:w="8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46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number of common shares used to compute diluted FFO per share ......</w:t>
            </w:r>
          </w:p>
        </w:tc>
        <w:tc>
          <w:tcPr>
            <w:tcW w:w="22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42,882</w:t>
            </w:r>
          </w:p>
        </w:tc>
        <w:tc>
          <w:tcPr>
            <w:tcW w:w="3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40,266</w:t>
            </w:r>
          </w:p>
        </w:tc>
      </w:tr>
      <w:tr>
        <w:trPr>
          <w:trHeight w:val="166"/>
        </w:trPr>
        <w:tc>
          <w:tcPr>
            <w:tcW w:w="8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860" w:type="dxa"/>
            <w:vAlign w:val="bottom"/>
          </w:tcPr>
          <w:p>
            <w:pPr>
              <w:spacing w:after="0"/>
              <w:rPr>
                <w:sz w:val="24"/>
                <w:szCs w:val="24"/>
                <w:color w:val="auto"/>
              </w:rPr>
            </w:pPr>
          </w:p>
        </w:tc>
        <w:tc>
          <w:tcPr>
            <w:tcW w:w="6600" w:type="dxa"/>
            <w:vAlign w:val="bottom"/>
          </w:tcPr>
          <w:p>
            <w:pPr>
              <w:jc w:val="right"/>
              <w:ind w:right="3668"/>
              <w:spacing w:after="0"/>
              <w:rPr>
                <w:sz w:val="20"/>
                <w:szCs w:val="20"/>
                <w:color w:val="auto"/>
              </w:rPr>
            </w:pPr>
            <w:r>
              <w:rPr>
                <w:rFonts w:ascii="Courier New" w:cs="Courier New" w:eastAsia="Courier New" w:hAnsi="Courier New"/>
                <w:sz w:val="14"/>
                <w:szCs w:val="14"/>
                <w:color w:val="auto"/>
              </w:rPr>
              <w:t>- 50 -</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520"/>
          </w:cols>
          <w:pgMar w:left="220" w:top="616" w:right="1159"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use of financial instruments, such as debt instruments, subject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 We also enter into derivative financial instruments such as interest rate swaps to mitigate our interest rate risk on a related financial instrument or to effectively lock the interest rate on a portion of our variable rate debt.</w:t>
      </w:r>
    </w:p>
    <w:p>
      <w:pPr>
        <w:spacing w:after="0" w:line="16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following discussion of market risk is based solely on hypothetical changes in interest rates related to our variable rate debt. This discussion does not purport to take into account all of the factors that may affect the financial instruments discussed in this section.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RISK</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Our interest rate risk is most sensitive to fluctuations in interest rates on our variable rate debt. At December 31, 2002, we had $121.8 million of variable rate debt. Based upon this balance of variable operating debt, if interest rates increased 1%, our earnings and cash flows would decrease by approximately $1.2 million. If interest rates decreased 1%, our earnings and cash flows would increase by approximately $1.2 million. We believe that the change in the fair value of our financial instruments resulting from a foreseeable fluctuation in interest rates would be immaterial to our total assets and total liabilities.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HEDGING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use derivative financial instruments to convert a portion of our variable rate debt to fixed rate debt and to manage our fixed to variable rate debt ratio. A description of these derivative financial instruments is contained in "Item 7. Management's Discussion and Analysis of Financial Condition and Results of Operations - Liquidity and Capital Resources - Interest Rate Hedging." and is incorporated by reference into this Item 7A.</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- 51 -</w:t>
      </w:r>
    </w:p>
    <w:p>
      <w:pPr>
        <w:sectPr>
          <w:pgSz w:w="11900" w:h="16838" w:orient="portrait"/>
          <w:cols w:equalWidth="0" w:num="1">
            <w:col w:w="10239"/>
          </w:cols>
          <w:pgMar w:left="220" w:top="616"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NOTICE REGARDING ARTHUR ANDERSEN LLP</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11(a) of the Securities Act of 1933, as amended,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the registration statement (unless it is proved that at the time of the acquisition the person knew of the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the registration statement, report or valuation which purports to have been prepared or certified by the accountant.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Prior to the date of the filing of this Form 10-K, the Arthur Andersen LLP partners who reviewed our audited financial statements contained herein resigned from Arthur Andersen LLP and Arthur Andersen LLP was convicted for obstruction of justice and elected to cease practicing before the SEC in August 2002. As a result, after reasonable efforts, we have been unable to obtain Arthur Andersen LLP's written consent to the incorporation by reference into our previously filed Registration Statements File No. 333-100819, 333-84210, 333-97945,</w:t>
      </w:r>
    </w:p>
    <w:p>
      <w:pPr>
        <w:spacing w:after="0" w:line="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333-63619, File No. 33-63687, File No. 33-63955, File No. 33-15264 and File No. 33-55111 and in their related prospectuses (the "Prior Registration Statements") of its audit report with respect to our financial statements for the fiscal years ended December 31, 2001 and 2000.</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these circumstances, Rule 437a under the Securities Act permits us to file this Form 10-K without a written consent from Arthur Andersen LLP. Accordingly, Arthur Andersen LLP will not be liable to persons acquiring our securities registered pursuant to the Prior Registration Statements under Section 11(a) of the Securities Act because it has not consented to being named as an expert in the Prior Registration Statements.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- 52 -</w:t>
      </w:r>
    </w:p>
    <w:p>
      <w:pPr>
        <w:sectPr>
          <w:pgSz w:w="11900" w:h="16838" w:orient="portrait"/>
          <w:cols w:equalWidth="0" w:num="1">
            <w:col w:w="10239"/>
          </w:cols>
          <w:pgMar w:left="220" w:top="616"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2"/>
        </w:trPr>
        <w:tc>
          <w:tcPr>
            <w:tcW w:w="7460" w:type="dxa"/>
            <w:vAlign w:val="bottom"/>
          </w:tcPr>
          <w:p>
            <w:pPr>
              <w:ind w:left="1640"/>
              <w:spacing w:after="0"/>
              <w:rPr>
                <w:sz w:val="20"/>
                <w:szCs w:val="20"/>
                <w:color w:val="auto"/>
              </w:rPr>
            </w:pPr>
            <w:r>
              <w:rPr>
                <w:rFonts w:ascii="Courier New" w:cs="Courier New" w:eastAsia="Courier New" w:hAnsi="Courier New"/>
                <w:sz w:val="14"/>
                <w:szCs w:val="14"/>
                <w:color w:val="auto"/>
              </w:rPr>
              <w:t>INDEX TO CONSOLIDATED FINANCIAL STATEMENTS</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3"/>
        </w:trPr>
        <w:tc>
          <w:tcPr>
            <w:tcW w:w="7460" w:type="dxa"/>
            <w:vAlign w:val="bottom"/>
          </w:tcPr>
          <w:p>
            <w:pPr>
              <w:spacing w:after="0"/>
              <w:rPr>
                <w:sz w:val="24"/>
                <w:szCs w:val="2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PAGE NO.</w:t>
            </w:r>
          </w:p>
        </w:tc>
      </w:tr>
      <w:tr>
        <w:trPr>
          <w:trHeight w:val="166"/>
        </w:trPr>
        <w:tc>
          <w:tcPr>
            <w:tcW w:w="74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460" w:type="dxa"/>
            <w:vAlign w:val="bottom"/>
          </w:tcPr>
          <w:p>
            <w:pPr>
              <w:spacing w:after="0"/>
              <w:rPr>
                <w:sz w:val="20"/>
                <w:szCs w:val="20"/>
                <w:color w:val="auto"/>
              </w:rPr>
            </w:pPr>
            <w:r>
              <w:rPr>
                <w:rFonts w:ascii="Courier New" w:cs="Courier New" w:eastAsia="Courier New" w:hAnsi="Courier New"/>
                <w:sz w:val="14"/>
                <w:szCs w:val="14"/>
                <w:color w:val="auto"/>
              </w:rPr>
              <w:t>Report of Independent Public Accountants - Grant Thornton LLP........................</w:t>
            </w:r>
          </w:p>
        </w:tc>
        <w:tc>
          <w:tcPr>
            <w:tcW w:w="6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F1</w:t>
            </w:r>
          </w:p>
        </w:tc>
      </w:tr>
      <w:tr>
        <w:trPr>
          <w:trHeight w:val="166"/>
        </w:trPr>
        <w:tc>
          <w:tcPr>
            <w:tcW w:w="7460" w:type="dxa"/>
            <w:vAlign w:val="bottom"/>
          </w:tcPr>
          <w:p>
            <w:pPr>
              <w:spacing w:after="0"/>
              <w:rPr>
                <w:sz w:val="20"/>
                <w:szCs w:val="20"/>
                <w:color w:val="auto"/>
              </w:rPr>
            </w:pPr>
            <w:r>
              <w:rPr>
                <w:rFonts w:ascii="Courier New" w:cs="Courier New" w:eastAsia="Courier New" w:hAnsi="Courier New"/>
                <w:sz w:val="14"/>
                <w:szCs w:val="14"/>
                <w:color w:val="auto"/>
              </w:rPr>
              <w:t>Report of Independent Public Accountants - Arthur Andersen LLP.......................</w:t>
            </w:r>
          </w:p>
        </w:tc>
        <w:tc>
          <w:tcPr>
            <w:tcW w:w="6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F2</w:t>
            </w:r>
          </w:p>
        </w:tc>
      </w:tr>
      <w:tr>
        <w:trPr>
          <w:trHeight w:val="166"/>
        </w:trPr>
        <w:tc>
          <w:tcPr>
            <w:tcW w:w="746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6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F3</w:t>
            </w:r>
          </w:p>
        </w:tc>
      </w:tr>
      <w:tr>
        <w:trPr>
          <w:trHeight w:val="166"/>
        </w:trPr>
        <w:tc>
          <w:tcPr>
            <w:tcW w:w="746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w:t>
            </w:r>
          </w:p>
        </w:tc>
        <w:tc>
          <w:tcPr>
            <w:tcW w:w="6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F4</w:t>
            </w:r>
          </w:p>
        </w:tc>
      </w:tr>
      <w:tr>
        <w:trPr>
          <w:trHeight w:val="166"/>
        </w:trPr>
        <w:tc>
          <w:tcPr>
            <w:tcW w:w="7460" w:type="dxa"/>
            <w:vAlign w:val="bottom"/>
          </w:tcPr>
          <w:p>
            <w:pPr>
              <w:spacing w:after="0"/>
              <w:rPr>
                <w:sz w:val="20"/>
                <w:szCs w:val="20"/>
                <w:color w:val="auto"/>
              </w:rPr>
            </w:pPr>
            <w:r>
              <w:rPr>
                <w:rFonts w:ascii="Courier New" w:cs="Courier New" w:eastAsia="Courier New" w:hAnsi="Courier New"/>
                <w:sz w:val="14"/>
                <w:szCs w:val="14"/>
                <w:color w:val="auto"/>
              </w:rPr>
              <w:t>Consolidated Statements of Common Shareholders' Equity...............................</w:t>
            </w:r>
          </w:p>
        </w:tc>
        <w:tc>
          <w:tcPr>
            <w:tcW w:w="6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F5</w:t>
            </w:r>
          </w:p>
        </w:tc>
      </w:tr>
      <w:tr>
        <w:trPr>
          <w:trHeight w:val="166"/>
        </w:trPr>
        <w:tc>
          <w:tcPr>
            <w:tcW w:w="746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6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F6</w:t>
            </w:r>
          </w:p>
        </w:tc>
      </w:tr>
      <w:tr>
        <w:trPr>
          <w:trHeight w:val="166"/>
        </w:trPr>
        <w:tc>
          <w:tcPr>
            <w:tcW w:w="746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F7</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F30</w:t>
            </w:r>
          </w:p>
        </w:tc>
      </w:tr>
      <w:tr>
        <w:trPr>
          <w:trHeight w:val="166"/>
        </w:trPr>
        <w:tc>
          <w:tcPr>
            <w:tcW w:w="7460" w:type="dxa"/>
            <w:vAlign w:val="bottom"/>
          </w:tcPr>
          <w:p>
            <w:pPr>
              <w:spacing w:after="0"/>
              <w:rPr>
                <w:sz w:val="20"/>
                <w:szCs w:val="20"/>
                <w:color w:val="auto"/>
              </w:rPr>
            </w:pPr>
            <w:r>
              <w:rPr>
                <w:rFonts w:ascii="Courier New" w:cs="Courier New" w:eastAsia="Courier New" w:hAnsi="Courier New"/>
                <w:sz w:val="14"/>
                <w:szCs w:val="14"/>
                <w:color w:val="auto"/>
              </w:rPr>
              <w:t>Financial Statement Schedules........................................................</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7460" w:type="dxa"/>
            <w:vAlign w:val="bottom"/>
          </w:tcPr>
          <w:p>
            <w:pPr>
              <w:spacing w:after="0"/>
              <w:rPr>
                <w:sz w:val="20"/>
                <w:szCs w:val="20"/>
                <w:color w:val="auto"/>
              </w:rPr>
            </w:pPr>
            <w:r>
              <w:rPr>
                <w:rFonts w:ascii="Courier New" w:cs="Courier New" w:eastAsia="Courier New" w:hAnsi="Courier New"/>
                <w:sz w:val="14"/>
                <w:szCs w:val="14"/>
                <w:color w:val="auto"/>
              </w:rPr>
              <w:t>Schedule III - Summary of Real Estate and Accumulated Depreciation...................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F31</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F34</w:t>
            </w:r>
          </w:p>
        </w:tc>
      </w:tr>
      <w:tr>
        <w:trPr>
          <w:trHeight w:val="166"/>
        </w:trPr>
        <w:tc>
          <w:tcPr>
            <w:tcW w:w="7460" w:type="dxa"/>
            <w:vAlign w:val="bottom"/>
          </w:tcPr>
          <w:p>
            <w:pPr>
              <w:spacing w:after="0"/>
              <w:rPr>
                <w:sz w:val="20"/>
                <w:szCs w:val="20"/>
                <w:color w:val="auto"/>
              </w:rPr>
            </w:pPr>
            <w:r>
              <w:rPr>
                <w:rFonts w:ascii="Courier New" w:cs="Courier New" w:eastAsia="Courier New" w:hAnsi="Courier New"/>
                <w:sz w:val="14"/>
                <w:szCs w:val="14"/>
                <w:color w:val="auto"/>
              </w:rPr>
              <w:t>Schedule IV - Mortgage Loans on Real Estate..........................................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F35</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 F36</w:t>
            </w:r>
          </w:p>
        </w:tc>
      </w:tr>
      <w:tr>
        <w:trPr>
          <w:trHeight w:val="497"/>
        </w:trPr>
        <w:tc>
          <w:tcPr>
            <w:tcW w:w="7460" w:type="dxa"/>
            <w:vAlign w:val="bottom"/>
          </w:tcPr>
          <w:p>
            <w:pPr>
              <w:ind w:left="3200"/>
              <w:spacing w:after="0"/>
              <w:rPr>
                <w:sz w:val="20"/>
                <w:szCs w:val="20"/>
                <w:color w:val="auto"/>
              </w:rPr>
            </w:pPr>
            <w:r>
              <w:rPr>
                <w:rFonts w:ascii="Courier New" w:cs="Courier New" w:eastAsia="Courier New" w:hAnsi="Courier New"/>
                <w:sz w:val="14"/>
                <w:szCs w:val="14"/>
                <w:color w:val="auto"/>
              </w:rPr>
              <w:t>- 53 -</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0" w:name="page61"/>
    <w:bookmarkEnd w:id="60"/>
    <w:p>
      <w:pPr>
        <w:ind w:left="1640"/>
        <w:spacing w:after="0"/>
        <w:rPr>
          <w:sz w:val="20"/>
          <w:szCs w:val="20"/>
          <w:color w:val="auto"/>
        </w:rPr>
      </w:pPr>
      <w:r>
        <w:rPr>
          <w:rFonts w:ascii="Courier New" w:cs="Courier New" w:eastAsia="Courier New" w:hAnsi="Courier New"/>
          <w:sz w:val="14"/>
          <w:szCs w:val="14"/>
          <w:color w:val="auto"/>
        </w:rPr>
        <w:t>REPORT OF INDEPENDENT CERTIFIED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and Shareholders of Federal Realty Investment Trust:</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Federal Realty Investment Trust (a Maryland real estate investment trust) and subsidiaries as of December 31, 2002 and the related consolidated statements of operations, common shareholders' equity and cash flows for the year then ended. These financial statements are the responsibility of the Company's management. Our responsibility is to express an opinion on these financial statements based on our audit. The consolidated financial statements of Federal Realty Investment Trust and subsidiaries as of December 31, 2001 and for the two years then ended were audited by other auditors who have ceased operations. Those auditors expressed an unqualified opinion on those financial statements in their report dated February 12, 2002.</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our opinion, the 2002 consolidated financial statements referred to above present fairly, in all material respects, the consolidated financial position of Federal Realty Investment Trust and subsidiaries as of December 31, 2002 and the consolidated results of its operations and its consolidated cash flows for the year then ended in conformity with accounting principles generally accepted in the United States of America.</w:t>
      </w:r>
    </w:p>
    <w:p>
      <w:pPr>
        <w:spacing w:after="0" w:line="164"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We have also audited Schedules III and IV for the year ended December 31, 2002. In our opinion, these schedules present fairly, when considered in relation to the basic financial statements taken as a whole, in all material respects, the information therein.</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As discussed above, the consolidated financial statements of Federal Realty Investment Trust and subsidiaries as of December 31, 2001 and for the two years then ended were audited by other auditors, who have ceased operations. As described in Note 1, these financial statements have been restated. We audited the adjustments described in Note 1 that were applied to restate the 2000 and 2001 financial statements. In our opinion, such adjustments are appropriate and have been properly applied. However, we were not engaged to audit, review or apply any procedures to the 2000 and 2001 financial statements of the Company other than with respect to such adjustments and, accordingly, we do not express an opinion or any other form of assurance on the 2000 and 2001 financial statements taken as a whole.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GRANT THORNTON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6, 2003</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F1 -</w:t>
      </w:r>
    </w:p>
    <w:p>
      <w:pPr>
        <w:sectPr>
          <w:pgSz w:w="11900" w:h="16838" w:orient="portrait"/>
          <w:cols w:equalWidth="0" w:num="1">
            <w:col w:w="10239"/>
          </w:cols>
          <w:pgMar w:left="220" w:top="616" w:right="1440" w:bottom="1440" w:gutter="0" w:footer="0" w:header="0"/>
        </w:sectPr>
      </w:pPr>
    </w:p>
    <w:bookmarkStart w:id="61" w:name="page62"/>
    <w:bookmarkEnd w:id="61"/>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Trustees and Shareholders of Federal Realty Investment Trust:</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Federal Realty Investment Trust (a Maryland real estate investment trust) and subsidiaries as of December 31, 2001 and 2000 and the related consolidated statements of operations, common shareholders' equity and cash flows for each of the years in the three year period ended December 31, 2001. These financial statements are the responsibility of the Trust's management. Our responsibility is to express an opinion on these financial statements based on our audits.</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In our opinion, the consolidated financial statements referred to above present fairly, in all material respects, the financial position of Federal Realty Investment Trust and subsidiaries as of December 31, 2001 and 2000 and the results of their operations and their cash flows for each of the years in the three year period ended December 31, 2001 in conformity with accounting principles generally accepted in the United States.</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Our audit was made for the purpose of forming an opinion on the basic consolidated financial statements taken as a whole. The financial statement schedules included on pages F-29 through F-34 of the Form 10-K are presented for purposes of complying with the Securities and Exchange Commission's rules and are not a required part of the basic consolidated financial statements. These schedules have been subjected to the auditing procedures applied in our audit of the basic consolidated financial statements and, in our opinion, are fairly stated in all material respects in relation to the basic consolidated financial statements taken as a whole.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ANDERSEN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Vienna, Virginia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2002</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Note: As permitted by Rule 2-02(e) of Regulation S-X promulgated under the Securities Act, this is a copy of the audit report previously issued by Arthur Andersen LLP in connection with the filing of our Form 10-K for the fiscal year ended December 31, 2001. After reasonable efforts, we have been unable to have Arthur Andersen LLP reissue this audit report in connection with the filing of this Form 10-K. See "Item 8. Financial Statements and Supplemental Data - Notice Regarding Arthur Andersen LLP" for a further discussion. The consolidated balance sheet as of December 31, 2000, and the related consolidated statements of operations, changes in shareholders' equity and other comprehensive income, and cash flows for the fiscal years ended December 31, 1999 referred to in this report have not been included in the accompanying financial statements or schedule. In addition, Arthur Andersen's audit report relates to the financial statements of the trust for 2000 and 2001 before restatement adjustments to reflect discontinued operations. The restatement adjustments for these years have been audited by Grant Thornton LLP.</w:t>
      </w:r>
    </w:p>
    <w:p>
      <w:pPr>
        <w:spacing w:after="0" w:line="17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F2 -</w:t>
      </w:r>
    </w:p>
    <w:p>
      <w:pPr>
        <w:sectPr>
          <w:pgSz w:w="11900" w:h="16838" w:orient="portrait"/>
          <w:cols w:equalWidth="0" w:num="1">
            <w:col w:w="10239"/>
          </w:cols>
          <w:pgMar w:left="220" w:top="616"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December 31,</w:t>
            </w:r>
          </w:p>
        </w:tc>
        <w:tc>
          <w:tcPr>
            <w:tcW w:w="2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39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2002</w:t>
            </w:r>
          </w:p>
        </w:tc>
        <w:tc>
          <w:tcPr>
            <w:tcW w:w="26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3980" w:type="dxa"/>
            <w:vAlign w:val="bottom"/>
          </w:tcPr>
          <w:p>
            <w:pPr>
              <w:spacing w:after="0"/>
              <w:rPr>
                <w:sz w:val="14"/>
                <w:szCs w:val="14"/>
                <w:color w:val="auto"/>
              </w:rPr>
            </w:pPr>
          </w:p>
        </w:tc>
        <w:tc>
          <w:tcPr>
            <w:tcW w:w="7060" w:type="dxa"/>
            <w:vAlign w:val="bottom"/>
            <w:gridSpan w:val="4"/>
          </w:tcPr>
          <w:p>
            <w:pPr>
              <w:ind w:left="4120"/>
              <w:spacing w:after="0"/>
              <w:rPr>
                <w:sz w:val="20"/>
                <w:szCs w:val="20"/>
                <w:color w:val="auto"/>
              </w:rPr>
            </w:pPr>
            <w:r>
              <w:rPr>
                <w:rFonts w:ascii="Courier New" w:cs="Courier New" w:eastAsia="Courier New" w:hAnsi="Courier New"/>
                <w:sz w:val="14"/>
                <w:szCs w:val="14"/>
                <w:color w:val="auto"/>
              </w:rPr>
              <w:t>(in thousands, except share data)</w:t>
            </w:r>
          </w:p>
        </w:tc>
      </w:tr>
      <w:tr>
        <w:trPr>
          <w:trHeight w:val="331"/>
        </w:trPr>
        <w:tc>
          <w:tcPr>
            <w:tcW w:w="3980" w:type="dxa"/>
            <w:vAlign w:val="bottom"/>
          </w:tcPr>
          <w:p>
            <w:pPr>
              <w:ind w:left="2500"/>
              <w:spacing w:after="0"/>
              <w:rPr>
                <w:sz w:val="20"/>
                <w:szCs w:val="20"/>
                <w:color w:val="auto"/>
              </w:rPr>
            </w:pPr>
            <w:r>
              <w:rPr>
                <w:rFonts w:ascii="Courier New" w:cs="Courier New" w:eastAsia="Courier New" w:hAnsi="Courier New"/>
                <w:sz w:val="14"/>
                <w:szCs w:val="14"/>
                <w:color w:val="auto"/>
              </w:rPr>
              <w:t>ASSETS</w:t>
            </w:r>
          </w:p>
        </w:tc>
        <w:tc>
          <w:tcPr>
            <w:tcW w:w="4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Real estate, at cost</w:t>
            </w:r>
          </w:p>
        </w:tc>
        <w:tc>
          <w:tcPr>
            <w:tcW w:w="4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Operating</w:t>
            </w:r>
          </w:p>
        </w:tc>
        <w:tc>
          <w:tcPr>
            <w:tcW w:w="4220" w:type="dxa"/>
            <w:vAlign w:val="bottom"/>
          </w:tcPr>
          <w:p>
            <w:pPr>
              <w:ind w:left="4120"/>
              <w:spacing w:after="0"/>
              <w:rPr>
                <w:sz w:val="20"/>
                <w:szCs w:val="20"/>
                <w:color w:val="auto"/>
              </w:rPr>
            </w:pPr>
            <w:r>
              <w:rPr>
                <w:rFonts w:ascii="Courier New" w:cs="Courier New" w:eastAsia="Courier New" w:hAnsi="Courier New"/>
                <w:sz w:val="14"/>
                <w:szCs w:val="14"/>
                <w:color w:val="auto"/>
                <w:w w:val="94"/>
              </w:rPr>
              <w:t>$</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1,864,244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1,741,385</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Development</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442,582</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321,986</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40,933</w:t>
            </w:r>
          </w:p>
        </w:tc>
      </w:tr>
      <w:tr>
        <w:trPr>
          <w:trHeight w:val="166"/>
        </w:trPr>
        <w:tc>
          <w:tcPr>
            <w:tcW w:w="3980" w:type="dxa"/>
            <w:vAlign w:val="bottom"/>
          </w:tcPr>
          <w:p>
            <w:pPr>
              <w:spacing w:after="0"/>
              <w:rPr>
                <w:sz w:val="14"/>
                <w:szCs w:val="14"/>
                <w:color w:val="auto"/>
              </w:rPr>
            </w:pPr>
          </w:p>
        </w:tc>
        <w:tc>
          <w:tcPr>
            <w:tcW w:w="55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2,306,826</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2,104,304</w:t>
            </w:r>
          </w:p>
        </w:tc>
      </w:tr>
      <w:tr>
        <w:trPr>
          <w:trHeight w:val="331"/>
        </w:trPr>
        <w:tc>
          <w:tcPr>
            <w:tcW w:w="8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(450,697)</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(395,767)</w:t>
            </w:r>
          </w:p>
        </w:tc>
      </w:tr>
      <w:tr>
        <w:trPr>
          <w:trHeight w:val="166"/>
        </w:trPr>
        <w:tc>
          <w:tcPr>
            <w:tcW w:w="3980" w:type="dxa"/>
            <w:vAlign w:val="bottom"/>
          </w:tcPr>
          <w:p>
            <w:pPr>
              <w:spacing w:after="0"/>
              <w:rPr>
                <w:sz w:val="14"/>
                <w:szCs w:val="14"/>
                <w:color w:val="auto"/>
              </w:rPr>
            </w:pPr>
          </w:p>
        </w:tc>
        <w:tc>
          <w:tcPr>
            <w:tcW w:w="55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1,856,129</w:t>
            </w:r>
          </w:p>
        </w:tc>
        <w:tc>
          <w:tcPr>
            <w:tcW w:w="2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1,708,537</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23,123</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17,563</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35,577</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35,607</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Accounts and notes receivable</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18,722</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15,483</w:t>
            </w:r>
          </w:p>
        </w:tc>
      </w:tr>
      <w:tr>
        <w:trPr>
          <w:trHeight w:val="166"/>
        </w:trPr>
        <w:tc>
          <w:tcPr>
            <w:tcW w:w="8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Prepaid expenses and other assets, principally</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property taxes and lease commissions</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57,257</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44,733</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Tax deferred exchange escrows</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6,006</w:t>
            </w:r>
          </w:p>
        </w:tc>
      </w:tr>
      <w:tr>
        <w:trPr>
          <w:trHeight w:val="166"/>
        </w:trPr>
        <w:tc>
          <w:tcPr>
            <w:tcW w:w="8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Debt issue costs, net of accumulated amortization</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of $6,344 and $4,840, respectively</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8,570</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6,952</w:t>
            </w:r>
          </w:p>
        </w:tc>
      </w:tr>
      <w:tr>
        <w:trPr>
          <w:trHeight w:val="166"/>
        </w:trPr>
        <w:tc>
          <w:tcPr>
            <w:tcW w:w="3980" w:type="dxa"/>
            <w:vAlign w:val="bottom"/>
          </w:tcPr>
          <w:p>
            <w:pPr>
              <w:spacing w:after="0"/>
              <w:rPr>
                <w:sz w:val="14"/>
                <w:szCs w:val="14"/>
                <w:color w:val="auto"/>
              </w:rPr>
            </w:pPr>
          </w:p>
        </w:tc>
        <w:tc>
          <w:tcPr>
            <w:tcW w:w="55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4"/>
                <w:szCs w:val="24"/>
                <w:color w:val="auto"/>
              </w:rPr>
            </w:pPr>
          </w:p>
        </w:tc>
        <w:tc>
          <w:tcPr>
            <w:tcW w:w="4220" w:type="dxa"/>
            <w:vAlign w:val="bottom"/>
          </w:tcPr>
          <w:p>
            <w:pPr>
              <w:ind w:left="4120"/>
              <w:spacing w:after="0"/>
              <w:rPr>
                <w:sz w:val="20"/>
                <w:szCs w:val="20"/>
                <w:color w:val="auto"/>
              </w:rPr>
            </w:pPr>
            <w:r>
              <w:rPr>
                <w:rFonts w:ascii="Courier New" w:cs="Courier New" w:eastAsia="Courier New" w:hAnsi="Courier New"/>
                <w:sz w:val="14"/>
                <w:szCs w:val="14"/>
                <w:color w:val="auto"/>
                <w:w w:val="94"/>
              </w:rPr>
              <w:t>$</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1,999,378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1,834,881</w:t>
            </w:r>
          </w:p>
        </w:tc>
      </w:tr>
      <w:tr>
        <w:trPr>
          <w:trHeight w:val="166"/>
        </w:trPr>
        <w:tc>
          <w:tcPr>
            <w:tcW w:w="3980" w:type="dxa"/>
            <w:vAlign w:val="bottom"/>
          </w:tcPr>
          <w:p>
            <w:pPr>
              <w:spacing w:after="0"/>
              <w:rPr>
                <w:sz w:val="14"/>
                <w:szCs w:val="14"/>
                <w:color w:val="auto"/>
              </w:rPr>
            </w:pPr>
          </w:p>
        </w:tc>
        <w:tc>
          <w:tcPr>
            <w:tcW w:w="55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820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LIABILITIES AND SHAREHOLDERS' EQUITY</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w:t>
            </w:r>
          </w:p>
        </w:tc>
        <w:tc>
          <w:tcPr>
            <w:tcW w:w="4220" w:type="dxa"/>
            <w:vAlign w:val="bottom"/>
          </w:tcPr>
          <w:p>
            <w:pPr>
              <w:ind w:left="4120"/>
              <w:spacing w:after="0"/>
              <w:rPr>
                <w:sz w:val="20"/>
                <w:szCs w:val="20"/>
                <w:color w:val="auto"/>
              </w:rPr>
            </w:pPr>
            <w:r>
              <w:rPr>
                <w:rFonts w:ascii="Courier New" w:cs="Courier New" w:eastAsia="Courier New" w:hAnsi="Courier New"/>
                <w:sz w:val="14"/>
                <w:szCs w:val="14"/>
                <w:color w:val="auto"/>
                <w:w w:val="94"/>
              </w:rPr>
              <w:t>$</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104,395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100,293</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Mortgages and construction loans payable</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288,817</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350,043</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198,311</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174,843</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79,517</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64,014</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Dividends payable</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24,356</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21,664</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Security deposits</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6,685</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6,026</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Prepaid rents</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13,644</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Senior notes and debentures</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535,000</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410,000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5 1/4% Convertible subordinated debentures</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75,000</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Investors' interest in consolidated assets</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29,366</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33,018</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4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4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8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Preferred stock, authorized 15,000,000 shares, $.01 par</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8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7.95% Series A Cumulative Redeemable Preferred Shares, (stated at</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82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liquidation preference $25 per share), 4,000,000 shares issued in 1997</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100,000</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8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8.5% Series B Cumulative Redeemable Preferred Shares, (stated at</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82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liquidation preference $25 per share), 5,400,000 shares issued in 2001</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135,000</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135,000</w:t>
            </w:r>
          </w:p>
        </w:tc>
      </w:tr>
      <w:tr>
        <w:trPr>
          <w:trHeight w:val="166"/>
        </w:trPr>
        <w:tc>
          <w:tcPr>
            <w:tcW w:w="8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shares of beneficial interest, $.01 par, 100,000,000 shares</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8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authorized, 44,996,382 and 41,524,165 issued, respectively</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450</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417</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 in capital</w:t>
            </w:r>
          </w:p>
        </w:tc>
        <w:tc>
          <w:tcPr>
            <w:tcW w:w="422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818,290</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730,835</w:t>
            </w:r>
          </w:p>
        </w:tc>
      </w:tr>
      <w:tr>
        <w:trPr>
          <w:trHeight w:val="166"/>
        </w:trPr>
        <w:tc>
          <w:tcPr>
            <w:tcW w:w="8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(368,839)</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(322,428)</w:t>
            </w:r>
          </w:p>
        </w:tc>
      </w:tr>
      <w:tr>
        <w:trPr>
          <w:trHeight w:val="166"/>
        </w:trPr>
        <w:tc>
          <w:tcPr>
            <w:tcW w:w="3980" w:type="dxa"/>
            <w:vAlign w:val="bottom"/>
          </w:tcPr>
          <w:p>
            <w:pPr>
              <w:spacing w:after="0"/>
              <w:rPr>
                <w:sz w:val="14"/>
                <w:szCs w:val="14"/>
                <w:color w:val="auto"/>
              </w:rPr>
            </w:pPr>
          </w:p>
        </w:tc>
        <w:tc>
          <w:tcPr>
            <w:tcW w:w="55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684,901</w:t>
            </w:r>
          </w:p>
        </w:tc>
        <w:tc>
          <w:tcPr>
            <w:tcW w:w="2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643,824</w:t>
            </w:r>
          </w:p>
        </w:tc>
      </w:tr>
      <w:tr>
        <w:trPr>
          <w:trHeight w:val="331"/>
        </w:trPr>
        <w:tc>
          <w:tcPr>
            <w:tcW w:w="8200" w:type="dxa"/>
            <w:vAlign w:val="bottom"/>
            <w:gridSpan w:val="2"/>
          </w:tcPr>
          <w:p>
            <w:pPr>
              <w:spacing w:after="0"/>
              <w:rPr>
                <w:sz w:val="20"/>
                <w:szCs w:val="20"/>
                <w:color w:val="auto"/>
              </w:rPr>
            </w:pPr>
            <w:r>
              <w:rPr>
                <w:rFonts w:ascii="Courier New" w:cs="Courier New" w:eastAsia="Courier New" w:hAnsi="Courier New"/>
                <w:sz w:val="14"/>
                <w:szCs w:val="14"/>
                <w:color w:val="auto"/>
              </w:rPr>
              <w:t>Less:1,461,147 and 1,452,926 common shares in treasury - at cost, respectively</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(28,193)</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(27,990)</w:t>
            </w:r>
          </w:p>
        </w:tc>
      </w:tr>
      <w:tr>
        <w:trPr>
          <w:trHeight w:val="166"/>
        </w:trPr>
        <w:tc>
          <w:tcPr>
            <w:tcW w:w="82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Deferred compensation on restricted shares</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(2,657)</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(15,005)</w:t>
            </w:r>
          </w:p>
        </w:tc>
      </w:tr>
      <w:tr>
        <w:trPr>
          <w:trHeight w:val="166"/>
        </w:trPr>
        <w:tc>
          <w:tcPr>
            <w:tcW w:w="3980" w:type="dxa"/>
            <w:vAlign w:val="bottom"/>
          </w:tcPr>
          <w:p>
            <w:pPr>
              <w:ind w:left="780"/>
              <w:spacing w:after="0"/>
              <w:rPr>
                <w:sz w:val="20"/>
                <w:szCs w:val="20"/>
                <w:color w:val="auto"/>
              </w:rPr>
            </w:pPr>
            <w:r>
              <w:rPr>
                <w:rFonts w:ascii="Courier New" w:cs="Courier New" w:eastAsia="Courier New" w:hAnsi="Courier New"/>
                <w:sz w:val="14"/>
                <w:szCs w:val="14"/>
                <w:color w:val="auto"/>
              </w:rPr>
              <w:t>Notes receivable from employee stock</w:t>
            </w:r>
          </w:p>
        </w:tc>
        <w:tc>
          <w:tcPr>
            <w:tcW w:w="4220" w:type="dxa"/>
            <w:vAlign w:val="bottom"/>
          </w:tcPr>
          <w:p>
            <w:pPr>
              <w:ind w:left="80"/>
              <w:spacing w:after="0"/>
              <w:rPr>
                <w:sz w:val="20"/>
                <w:szCs w:val="20"/>
                <w:color w:val="auto"/>
              </w:rPr>
            </w:pPr>
            <w:r>
              <w:rPr>
                <w:rFonts w:ascii="Courier New" w:cs="Courier New" w:eastAsia="Courier New" w:hAnsi="Courier New"/>
                <w:sz w:val="14"/>
                <w:szCs w:val="14"/>
                <w:color w:val="auto"/>
              </w:rPr>
              <w:t>plans</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(5,151)</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(7,245)</w:t>
            </w:r>
          </w:p>
        </w:tc>
      </w:tr>
      <w:tr>
        <w:trPr>
          <w:trHeight w:val="166"/>
        </w:trPr>
        <w:tc>
          <w:tcPr>
            <w:tcW w:w="82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Accumulated other comprehensive income (loss)</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(4,613)</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(4,293)</w:t>
            </w:r>
          </w:p>
        </w:tc>
      </w:tr>
      <w:tr>
        <w:trPr>
          <w:trHeight w:val="166"/>
        </w:trPr>
        <w:tc>
          <w:tcPr>
            <w:tcW w:w="3980" w:type="dxa"/>
            <w:vAlign w:val="bottom"/>
          </w:tcPr>
          <w:p>
            <w:pPr>
              <w:spacing w:after="0"/>
              <w:rPr>
                <w:sz w:val="14"/>
                <w:szCs w:val="14"/>
                <w:color w:val="auto"/>
              </w:rPr>
            </w:pPr>
          </w:p>
        </w:tc>
        <w:tc>
          <w:tcPr>
            <w:tcW w:w="55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644,287</w:t>
            </w:r>
          </w:p>
        </w:tc>
        <w:tc>
          <w:tcPr>
            <w:tcW w:w="2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589,291</w:t>
            </w:r>
          </w:p>
        </w:tc>
      </w:tr>
      <w:tr>
        <w:trPr>
          <w:trHeight w:val="166"/>
        </w:trPr>
        <w:tc>
          <w:tcPr>
            <w:tcW w:w="3980" w:type="dxa"/>
            <w:vAlign w:val="bottom"/>
          </w:tcPr>
          <w:p>
            <w:pPr>
              <w:spacing w:after="0"/>
              <w:rPr>
                <w:sz w:val="14"/>
                <w:szCs w:val="14"/>
                <w:color w:val="auto"/>
              </w:rPr>
            </w:pPr>
          </w:p>
        </w:tc>
        <w:tc>
          <w:tcPr>
            <w:tcW w:w="55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4"/>
                <w:szCs w:val="24"/>
                <w:color w:val="auto"/>
              </w:rPr>
            </w:pPr>
          </w:p>
        </w:tc>
        <w:tc>
          <w:tcPr>
            <w:tcW w:w="4220" w:type="dxa"/>
            <w:vAlign w:val="bottom"/>
          </w:tcPr>
          <w:p>
            <w:pPr>
              <w:ind w:left="4120"/>
              <w:spacing w:after="0"/>
              <w:rPr>
                <w:sz w:val="20"/>
                <w:szCs w:val="20"/>
                <w:color w:val="auto"/>
              </w:rPr>
            </w:pPr>
            <w:r>
              <w:rPr>
                <w:rFonts w:ascii="Courier New" w:cs="Courier New" w:eastAsia="Courier New" w:hAnsi="Courier New"/>
                <w:sz w:val="14"/>
                <w:szCs w:val="14"/>
                <w:color w:val="auto"/>
                <w:w w:val="94"/>
              </w:rPr>
              <w:t>$</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1,999,378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1,834,881</w:t>
            </w:r>
          </w:p>
        </w:tc>
      </w:tr>
      <w:tr>
        <w:trPr>
          <w:trHeight w:val="166"/>
        </w:trPr>
        <w:tc>
          <w:tcPr>
            <w:tcW w:w="3980" w:type="dxa"/>
            <w:vAlign w:val="bottom"/>
          </w:tcPr>
          <w:p>
            <w:pPr>
              <w:spacing w:after="0"/>
              <w:rPr>
                <w:sz w:val="14"/>
                <w:szCs w:val="14"/>
                <w:color w:val="auto"/>
              </w:rPr>
            </w:pPr>
          </w:p>
        </w:tc>
        <w:tc>
          <w:tcPr>
            <w:tcW w:w="55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1040"/>
          </w:cols>
          <w:pgMar w:left="220" w:top="616" w:right="639"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720" w:type="dxa"/>
            <w:vAlign w:val="bottom"/>
          </w:tcPr>
          <w:p>
            <w:pPr>
              <w:spacing w:after="0"/>
              <w:rPr>
                <w:sz w:val="14"/>
                <w:szCs w:val="14"/>
                <w:color w:val="auto"/>
              </w:rPr>
            </w:pPr>
          </w:p>
        </w:tc>
      </w:tr>
      <w:tr>
        <w:trPr>
          <w:trHeight w:val="166"/>
        </w:trPr>
        <w:tc>
          <w:tcPr>
            <w:tcW w:w="7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w:t>
            </w:r>
          </w:p>
        </w:tc>
        <w:tc>
          <w:tcPr>
            <w:tcW w:w="26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34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32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298,085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274,567</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255,634</w:t>
            </w:r>
          </w:p>
        </w:tc>
      </w:tr>
      <w:tr>
        <w:trPr>
          <w:trHeight w:val="166"/>
        </w:trPr>
        <w:tc>
          <w:tcPr>
            <w:tcW w:w="7320" w:type="dxa"/>
            <w:vAlign w:val="bottom"/>
          </w:tcPr>
          <w:p>
            <w:pPr>
              <w:ind w:left="180"/>
              <w:spacing w:after="0"/>
              <w:rPr>
                <w:sz w:val="20"/>
                <w:szCs w:val="20"/>
                <w:color w:val="auto"/>
              </w:rPr>
            </w:pPr>
            <w:r>
              <w:rPr>
                <w:rFonts w:ascii="Courier New" w:cs="Courier New" w:eastAsia="Courier New" w:hAnsi="Courier New"/>
                <w:sz w:val="14"/>
                <w:szCs w:val="14"/>
                <w:color w:val="auto"/>
              </w:rPr>
              <w:t>Interest and other income</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5,156</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6,590</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7,532</w:t>
            </w:r>
          </w:p>
        </w:tc>
      </w:tr>
      <w:tr>
        <w:trPr>
          <w:trHeight w:val="166"/>
        </w:trPr>
        <w:tc>
          <w:tcPr>
            <w:tcW w:w="7320" w:type="dxa"/>
            <w:vAlign w:val="bottom"/>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15,593</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13,953</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11,023</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318,834</w:t>
            </w: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295,110</w:t>
            </w:r>
          </w:p>
        </w:tc>
        <w:tc>
          <w:tcPr>
            <w:tcW w:w="3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274,189</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32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73,591</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62,715</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55,631</w:t>
            </w:r>
          </w:p>
        </w:tc>
      </w:tr>
      <w:tr>
        <w:trPr>
          <w:trHeight w:val="166"/>
        </w:trPr>
        <w:tc>
          <w:tcPr>
            <w:tcW w:w="732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31,186</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28,348</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26,211</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Total property operating expenses</w:t>
            </w:r>
          </w:p>
        </w:tc>
        <w:tc>
          <w:tcPr>
            <w:tcW w:w="4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104,777</w:t>
            </w: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91,063</w:t>
            </w:r>
          </w:p>
        </w:tc>
        <w:tc>
          <w:tcPr>
            <w:tcW w:w="3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81,842</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Property operating income</w:t>
            </w:r>
          </w:p>
        </w:tc>
        <w:tc>
          <w:tcPr>
            <w:tcW w:w="4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214,057</w:t>
            </w: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204,047</w:t>
            </w:r>
          </w:p>
        </w:tc>
        <w:tc>
          <w:tcPr>
            <w:tcW w:w="3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192,347</w:t>
            </w:r>
          </w:p>
        </w:tc>
      </w:tr>
      <w:tr>
        <w:trPr>
          <w:trHeight w:val="331"/>
        </w:trPr>
        <w:tc>
          <w:tcPr>
            <w:tcW w:w="73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4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65,054</w:t>
            </w: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69,313</w:t>
            </w:r>
          </w:p>
        </w:tc>
        <w:tc>
          <w:tcPr>
            <w:tcW w:w="3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66,418</w:t>
            </w:r>
          </w:p>
        </w:tc>
      </w:tr>
      <w:tr>
        <w:trPr>
          <w:trHeight w:val="166"/>
        </w:trPr>
        <w:tc>
          <w:tcPr>
            <w:tcW w:w="732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13,790</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14,281</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13,318</w:t>
            </w:r>
          </w:p>
        </w:tc>
      </w:tr>
      <w:tr>
        <w:trPr>
          <w:trHeight w:val="166"/>
        </w:trPr>
        <w:tc>
          <w:tcPr>
            <w:tcW w:w="7320" w:type="dxa"/>
            <w:vAlign w:val="bottom"/>
          </w:tcPr>
          <w:p>
            <w:pPr>
              <w:ind w:left="180"/>
              <w:spacing w:after="0"/>
              <w:rPr>
                <w:sz w:val="20"/>
                <w:szCs w:val="20"/>
                <w:color w:val="auto"/>
              </w:rPr>
            </w:pPr>
            <w:r>
              <w:rPr>
                <w:rFonts w:ascii="Courier New" w:cs="Courier New" w:eastAsia="Courier New" w:hAnsi="Courier New"/>
                <w:sz w:val="14"/>
                <w:szCs w:val="14"/>
                <w:color w:val="auto"/>
              </w:rPr>
              <w:t>Restructuring expenses</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22,269</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32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64,251</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59,171</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52,559</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Total other expenses</w:t>
            </w:r>
          </w:p>
        </w:tc>
        <w:tc>
          <w:tcPr>
            <w:tcW w:w="4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165,364</w:t>
            </w: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142,765</w:t>
            </w:r>
          </w:p>
        </w:tc>
        <w:tc>
          <w:tcPr>
            <w:tcW w:w="3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132,295</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Income before investors' share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320" w:type="dxa"/>
            <w:vAlign w:val="bottom"/>
          </w:tcPr>
          <w:p>
            <w:pPr>
              <w:ind w:left="100"/>
              <w:spacing w:after="0"/>
              <w:rPr>
                <w:sz w:val="20"/>
                <w:szCs w:val="20"/>
                <w:color w:val="auto"/>
              </w:rPr>
            </w:pPr>
            <w:r>
              <w:rPr>
                <w:rFonts w:ascii="Courier New" w:cs="Courier New" w:eastAsia="Courier New" w:hAnsi="Courier New"/>
                <w:sz w:val="14"/>
                <w:szCs w:val="14"/>
                <w:color w:val="auto"/>
              </w:rPr>
              <w:t>of operations and discontinued operations</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48,693</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61,282</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60,052</w:t>
            </w:r>
          </w:p>
        </w:tc>
      </w:tr>
      <w:tr>
        <w:trPr>
          <w:trHeight w:val="331"/>
        </w:trPr>
        <w:tc>
          <w:tcPr>
            <w:tcW w:w="7320" w:type="dxa"/>
            <w:vAlign w:val="bottom"/>
          </w:tcPr>
          <w:p>
            <w:pPr>
              <w:ind w:left="100"/>
              <w:spacing w:after="0"/>
              <w:rPr>
                <w:sz w:val="20"/>
                <w:szCs w:val="20"/>
                <w:color w:val="auto"/>
              </w:rPr>
            </w:pPr>
            <w:r>
              <w:rPr>
                <w:rFonts w:ascii="Courier New" w:cs="Courier New" w:eastAsia="Courier New" w:hAnsi="Courier New"/>
                <w:sz w:val="14"/>
                <w:szCs w:val="14"/>
                <w:color w:val="auto"/>
              </w:rPr>
              <w:t>Investors' share of operations</w:t>
            </w:r>
          </w:p>
        </w:tc>
        <w:tc>
          <w:tcPr>
            <w:tcW w:w="4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(4,112)</w:t>
            </w:r>
          </w:p>
        </w:tc>
        <w:tc>
          <w:tcPr>
            <w:tcW w:w="26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(5,170)</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(6,544)</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Income before gain on sale of real estate net of loss on abandoned</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320" w:type="dxa"/>
            <w:vAlign w:val="bottom"/>
          </w:tcPr>
          <w:p>
            <w:pPr>
              <w:ind w:left="100"/>
              <w:spacing w:after="0"/>
              <w:rPr>
                <w:sz w:val="20"/>
                <w:szCs w:val="20"/>
                <w:color w:val="auto"/>
              </w:rPr>
            </w:pPr>
            <w:r>
              <w:rPr>
                <w:rFonts w:ascii="Courier New" w:cs="Courier New" w:eastAsia="Courier New" w:hAnsi="Courier New"/>
                <w:sz w:val="14"/>
                <w:szCs w:val="14"/>
                <w:color w:val="auto"/>
              </w:rPr>
              <w:t>developments held for sale and discontinued operations</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44,581</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56,112</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53,508</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Income from discontinued operations</w:t>
            </w:r>
          </w:p>
        </w:tc>
        <w:tc>
          <w:tcPr>
            <w:tcW w:w="4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1,252</w:t>
            </w: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3,459</w:t>
            </w:r>
          </w:p>
        </w:tc>
        <w:tc>
          <w:tcPr>
            <w:tcW w:w="3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3,334</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Income before gain on sale of real estate net of</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320" w:type="dxa"/>
            <w:vAlign w:val="bottom"/>
          </w:tcPr>
          <w:p>
            <w:pPr>
              <w:ind w:left="100"/>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45,833</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59,571</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56,842</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Gain on sale of real estate net of loss on abandoned developments held for sale</w:t>
            </w:r>
          </w:p>
        </w:tc>
        <w:tc>
          <w:tcPr>
            <w:tcW w:w="4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9,454</w:t>
            </w: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9,185</w:t>
            </w:r>
          </w:p>
        </w:tc>
        <w:tc>
          <w:tcPr>
            <w:tcW w:w="3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3,681</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ind w:left="1220"/>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55,287</w:t>
            </w: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68,756</w:t>
            </w:r>
          </w:p>
        </w:tc>
        <w:tc>
          <w:tcPr>
            <w:tcW w:w="3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60,523</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Dividends on preferred stock</w:t>
            </w:r>
          </w:p>
        </w:tc>
        <w:tc>
          <w:tcPr>
            <w:tcW w:w="4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(19,425)</w:t>
            </w:r>
          </w:p>
        </w:tc>
        <w:tc>
          <w:tcPr>
            <w:tcW w:w="26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(9,034)</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ind w:left="122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35,862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59,722</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52,573</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3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gain on sale of real estate net of loss on abandoned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320" w:type="dxa"/>
            <w:vAlign w:val="bottom"/>
          </w:tcPr>
          <w:p>
            <w:pPr>
              <w:ind w:left="360"/>
              <w:spacing w:after="0"/>
              <w:rPr>
                <w:sz w:val="20"/>
                <w:szCs w:val="20"/>
                <w:color w:val="auto"/>
              </w:rPr>
            </w:pPr>
            <w:r>
              <w:rPr>
                <w:rFonts w:ascii="Courier New" w:cs="Courier New" w:eastAsia="Courier New" w:hAnsi="Courier New"/>
                <w:sz w:val="14"/>
                <w:szCs w:val="14"/>
                <w:color w:val="auto"/>
              </w:rPr>
              <w:t>developments held for sale and discontinued operations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732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0.03</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0.09</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7320" w:type="dxa"/>
            <w:vAlign w:val="bottom"/>
          </w:tcPr>
          <w:p>
            <w:pPr>
              <w:ind w:left="260"/>
              <w:spacing w:after="0"/>
              <w:rPr>
                <w:sz w:val="20"/>
                <w:szCs w:val="20"/>
                <w:color w:val="auto"/>
              </w:rPr>
            </w:pPr>
            <w:r>
              <w:rPr>
                <w:rFonts w:ascii="Courier New" w:cs="Courier New" w:eastAsia="Courier New" w:hAnsi="Courier New"/>
                <w:sz w:val="14"/>
                <w:szCs w:val="14"/>
                <w:color w:val="auto"/>
              </w:rPr>
              <w:t>Gain on sale of real estate net of loss on abandoned developments held for sale</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0.23</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0.23</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3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4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41,624</w:t>
            </w: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39,164</w:t>
            </w:r>
          </w:p>
        </w:tc>
        <w:tc>
          <w:tcPr>
            <w:tcW w:w="3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38,796</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3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gain on sale of real estate net of loss on abandoned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320" w:type="dxa"/>
            <w:vAlign w:val="bottom"/>
          </w:tcPr>
          <w:p>
            <w:pPr>
              <w:ind w:left="360"/>
              <w:spacing w:after="0"/>
              <w:rPr>
                <w:sz w:val="20"/>
                <w:szCs w:val="20"/>
                <w:color w:val="auto"/>
              </w:rPr>
            </w:pPr>
            <w:r>
              <w:rPr>
                <w:rFonts w:ascii="Courier New" w:cs="Courier New" w:eastAsia="Courier New" w:hAnsi="Courier New"/>
                <w:sz w:val="14"/>
                <w:szCs w:val="14"/>
                <w:color w:val="auto"/>
              </w:rPr>
              <w:t>developments held for sale and discontinued operations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w:t>
            </w:r>
          </w:p>
        </w:tc>
      </w:tr>
      <w:tr>
        <w:trPr>
          <w:trHeight w:val="166"/>
        </w:trPr>
        <w:tc>
          <w:tcPr>
            <w:tcW w:w="732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0.03</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0.09</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0.08</w:t>
            </w:r>
          </w:p>
        </w:tc>
      </w:tr>
      <w:tr>
        <w:trPr>
          <w:trHeight w:val="166"/>
        </w:trPr>
        <w:tc>
          <w:tcPr>
            <w:tcW w:w="7320" w:type="dxa"/>
            <w:vAlign w:val="bottom"/>
          </w:tcPr>
          <w:p>
            <w:pPr>
              <w:ind w:left="260"/>
              <w:spacing w:after="0"/>
              <w:rPr>
                <w:sz w:val="20"/>
                <w:szCs w:val="20"/>
                <w:color w:val="auto"/>
              </w:rPr>
            </w:pPr>
            <w:r>
              <w:rPr>
                <w:rFonts w:ascii="Courier New" w:cs="Courier New" w:eastAsia="Courier New" w:hAnsi="Courier New"/>
                <w:sz w:val="14"/>
                <w:szCs w:val="14"/>
                <w:color w:val="auto"/>
              </w:rPr>
              <w:t>Gain on sale of real estate net of loss on abandoned developments held for sale</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0.23</w:t>
            </w:r>
          </w:p>
        </w:tc>
        <w:tc>
          <w:tcPr>
            <w:tcW w:w="3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32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4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42,882</w:t>
            </w: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40,266</w:t>
            </w:r>
          </w:p>
        </w:tc>
        <w:tc>
          <w:tcPr>
            <w:tcW w:w="34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39,910</w:t>
            </w:r>
          </w:p>
        </w:tc>
      </w:tr>
      <w:tr>
        <w:trPr>
          <w:trHeight w:val="166"/>
        </w:trPr>
        <w:tc>
          <w:tcPr>
            <w:tcW w:w="73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940"/>
          </w:cols>
          <w:pgMar w:left="220" w:top="616" w:right="739" w:bottom="425" w:gutter="0" w:footer="0" w:header="0"/>
        </w:sectPr>
      </w:pPr>
    </w:p>
    <w:bookmarkStart w:id="64" w:name="page65"/>
    <w:bookmarkEnd w:id="64"/>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COMMON SHAREHOLDERS' EQUITY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 ended December 31,</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3720" w:type="dxa"/>
            <w:vAlign w:val="bottom"/>
          </w:tcPr>
          <w:p>
            <w:pPr>
              <w:spacing w:after="0"/>
              <w:rPr>
                <w:sz w:val="14"/>
                <w:szCs w:val="14"/>
                <w:color w:val="auto"/>
              </w:rPr>
            </w:pPr>
          </w:p>
        </w:tc>
        <w:tc>
          <w:tcPr>
            <w:tcW w:w="6540" w:type="dxa"/>
            <w:vAlign w:val="bottom"/>
            <w:gridSpan w:val="8"/>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Additional</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Paid-in Capital</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Shares</w:t>
            </w: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Amount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41,524,165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417</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730,835</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40,910,972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951,971</w:t>
            </w: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2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20,857</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22,066</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Shares issued to purchase partnership</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2,907</w:t>
            </w: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335,236</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Shares issued under dividend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reinvestment plan</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134,247</w:t>
            </w: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3,488</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159,234</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granted, net of Restricted Shares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retired</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98,092</w:t>
            </w: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2,468</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96,657</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shares</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2,185,000</w:t>
            </w: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2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56,631</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Shares issued to purchase operating</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partnership units</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100,000</w:t>
            </w: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2,769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Cost of 8.5% Series B Cumulative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Accelerated vesting of options and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restricted shares</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1,165</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44,996,382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818,290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41,524,165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417</w:t>
            </w:r>
          </w:p>
        </w:tc>
      </w:tr>
      <w:tr>
        <w:trPr>
          <w:trHeight w:val="166"/>
        </w:trPr>
        <w:tc>
          <w:tcPr>
            <w:tcW w:w="37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Accumulated Dividends in Excess of Trust</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2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(322,428)</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(306,287)</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55,287</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68,756</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common shareholders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(82,273)</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(75,863)</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preferred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shareholders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(19,425)</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(9,034)</w:t>
            </w:r>
          </w:p>
        </w:tc>
      </w:tr>
      <w:tr>
        <w:trPr>
          <w:trHeight w:val="166"/>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(368,839)</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(322,428)</w:t>
            </w:r>
          </w:p>
        </w:tc>
      </w:tr>
      <w:tr>
        <w:trPr>
          <w:trHeight w:val="166"/>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 in</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20" w:type="dxa"/>
            <w:vAlign w:val="bottom"/>
          </w:tcPr>
          <w:p>
            <w:pPr>
              <w:ind w:left="100"/>
              <w:spacing w:after="0"/>
              <w:rPr>
                <w:sz w:val="20"/>
                <w:szCs w:val="20"/>
                <w:color w:val="auto"/>
              </w:rPr>
            </w:pPr>
            <w:r>
              <w:rPr>
                <w:rFonts w:ascii="Courier New" w:cs="Courier New" w:eastAsia="Courier New" w:hAnsi="Courier New"/>
                <w:sz w:val="14"/>
                <w:szCs w:val="14"/>
                <w:color w:val="auto"/>
              </w:rPr>
              <w:t>Treasury</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(1,452,926)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(27,990)</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(1,441,594)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(27,753)</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forfeited</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(8,221)</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(11,322)</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shares</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(1,461,147)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(28,193)</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(1,452,916)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(27,990)</w:t>
            </w:r>
          </w:p>
        </w:tc>
      </w:tr>
      <w:tr>
        <w:trPr>
          <w:trHeight w:val="166"/>
        </w:trPr>
        <w:tc>
          <w:tcPr>
            <w:tcW w:w="37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Deferred Compensation on Restricted Shares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(666,656)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(15,005)</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(735,875)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(17,254)</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issued,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net of forfeitures</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(73,821)</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(1,763)</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(61,369)</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Vesting of Performance and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Restricted Shares</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586,484</w:t>
            </w: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14,111</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130,588</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3,079</w:t>
            </w:r>
          </w:p>
        </w:tc>
      </w:tr>
      <w:tr>
        <w:trPr>
          <w:trHeight w:val="331"/>
        </w:trPr>
        <w:tc>
          <w:tcPr>
            <w:tcW w:w="37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(153,993)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(2,657)</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(666,656)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(15,005)</w:t>
            </w:r>
          </w:p>
        </w:tc>
      </w:tr>
      <w:tr>
        <w:trPr>
          <w:trHeight w:val="166"/>
        </w:trPr>
        <w:tc>
          <w:tcPr>
            <w:tcW w:w="37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Subscriptions receivable from employee</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20" w:type="dxa"/>
            <w:vAlign w:val="bottom"/>
          </w:tcPr>
          <w:p>
            <w:pPr>
              <w:ind w:left="100"/>
              <w:spacing w:after="0"/>
              <w:rPr>
                <w:sz w:val="20"/>
                <w:szCs w:val="20"/>
                <w:color w:val="auto"/>
              </w:rPr>
            </w:pPr>
            <w:r>
              <w:rPr>
                <w:rFonts w:ascii="Courier New" w:cs="Courier New" w:eastAsia="Courier New" w:hAnsi="Courier New"/>
                <w:sz w:val="14"/>
                <w:szCs w:val="14"/>
                <w:color w:val="auto"/>
              </w:rPr>
              <w:t>stock plans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(218,555)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(7,245)</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(242,638)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(6,734)</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Subscription and tax loans issued</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(93,469)</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(2,986)</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(3,333)</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(973)</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Subscription and tax loans paid or</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forgiven</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127,961</w:t>
            </w: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5,080</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27,416</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462</w:t>
            </w:r>
          </w:p>
        </w:tc>
      </w:tr>
      <w:tr>
        <w:trPr>
          <w:trHeight w:val="166"/>
        </w:trPr>
        <w:tc>
          <w:tcPr>
            <w:tcW w:w="37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(184,063)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(5,151)</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(218,555)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(7,245)</w:t>
            </w:r>
          </w:p>
        </w:tc>
      </w:tr>
      <w:tr>
        <w:trPr>
          <w:trHeight w:val="166"/>
        </w:trPr>
        <w:tc>
          <w:tcPr>
            <w:tcW w:w="37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20" w:type="dxa"/>
            <w:vAlign w:val="bottom"/>
          </w:tcPr>
          <w:p>
            <w:pPr>
              <w:ind w:left="100"/>
              <w:spacing w:after="0"/>
              <w:rPr>
                <w:sz w:val="20"/>
                <w:szCs w:val="20"/>
                <w:color w:val="auto"/>
              </w:rPr>
            </w:pPr>
            <w:r>
              <w:rPr>
                <w:rFonts w:ascii="Courier New" w:cs="Courier New" w:eastAsia="Courier New" w:hAnsi="Courier New"/>
                <w:sz w:val="14"/>
                <w:szCs w:val="14"/>
                <w:color w:val="auto"/>
              </w:rPr>
              <w:t>(loss)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(4,293)</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Change due to recognizing gain (loss) 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Change in valuation on interest rate swap</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(4,342)</w:t>
            </w:r>
          </w:p>
        </w:tc>
      </w:tr>
      <w:tr>
        <w:trPr>
          <w:trHeight w:val="166"/>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(4,613)</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(4,293)</w:t>
            </w:r>
          </w:p>
        </w:tc>
      </w:tr>
      <w:tr>
        <w:trPr>
          <w:trHeight w:val="166"/>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55,287</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68,756</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Change due to recognizing gain (loss) 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r>
    </w:tbl>
    <w:p>
      <w:pPr>
        <w:sectPr>
          <w:pgSz w:w="11900" w:h="16880" w:orient="portrait"/>
          <w:cols w:equalWidth="0" w:num="1">
            <w:col w:w="10260"/>
          </w:cols>
          <w:pgMar w:left="220" w:top="616" w:right="1419" w:bottom="0" w:gutter="0" w:footer="0" w:header="0"/>
        </w:sectPr>
      </w:pPr>
    </w:p>
    <w:bookmarkStart w:id="65" w:name="page66"/>
    <w:bookmarkEnd w:id="65"/>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Change in valuation on interest rate swap</w:t>
            </w:r>
          </w:p>
        </w:tc>
        <w:tc>
          <w:tcPr>
            <w:tcW w:w="314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(276)</w:t>
            </w:r>
          </w:p>
        </w:tc>
        <w:tc>
          <w:tcPr>
            <w:tcW w:w="19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(4,342)</w:t>
            </w:r>
          </w:p>
        </w:tc>
      </w:tr>
      <w:tr>
        <w:trPr>
          <w:trHeight w:val="166"/>
        </w:trPr>
        <w:tc>
          <w:tcPr>
            <w:tcW w:w="4100" w:type="dxa"/>
            <w:vAlign w:val="bottom"/>
          </w:tcPr>
          <w:p>
            <w:pPr>
              <w:spacing w:after="0"/>
              <w:rPr>
                <w:sz w:val="14"/>
                <w:szCs w:val="14"/>
                <w:color w:val="auto"/>
              </w:rPr>
            </w:pPr>
          </w:p>
        </w:tc>
        <w:tc>
          <w:tcPr>
            <w:tcW w:w="31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comprehensive income</w:t>
            </w:r>
          </w:p>
        </w:tc>
        <w:tc>
          <w:tcPr>
            <w:tcW w:w="31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   54,967</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64,463</w:t>
            </w:r>
          </w:p>
        </w:tc>
      </w:tr>
      <w:tr>
        <w:trPr>
          <w:trHeight w:val="166"/>
        </w:trPr>
        <w:tc>
          <w:tcPr>
            <w:tcW w:w="4100" w:type="dxa"/>
            <w:vAlign w:val="bottom"/>
          </w:tcPr>
          <w:p>
            <w:pPr>
              <w:spacing w:after="0"/>
              <w:rPr>
                <w:sz w:val="14"/>
                <w:szCs w:val="14"/>
                <w:color w:val="auto"/>
              </w:rPr>
            </w:pPr>
          </w:p>
        </w:tc>
        <w:tc>
          <w:tcPr>
            <w:tcW w:w="31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2001</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63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Additional</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Additional</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23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Paid-in Capital</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22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Amount</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Paid-in Capital</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4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723,078</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40,418,766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713,354</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04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67,684</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1,398</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Shares issued to purchase partnership</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04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6,919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Shares issued under dividend</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reinvestment plan</w:t>
            </w:r>
          </w:p>
        </w:tc>
        <w:tc>
          <w:tcPr>
            <w:tcW w:w="104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3,277</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153,713</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3,136</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granted, net of Restricted Shares retired</w:t>
            </w:r>
          </w:p>
        </w:tc>
        <w:tc>
          <w:tcPr>
            <w:tcW w:w="104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1,877</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270,809</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5,190</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shares</w:t>
            </w:r>
          </w:p>
        </w:tc>
        <w:tc>
          <w:tcPr>
            <w:tcW w:w="104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Shares issued to purchase operating</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partnership units</w:t>
            </w:r>
          </w:p>
        </w:tc>
        <w:tc>
          <w:tcPr>
            <w:tcW w:w="104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Cost of 8.5% Series B Cumulative</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w:t>
            </w:r>
          </w:p>
        </w:tc>
        <w:tc>
          <w:tcPr>
            <w:tcW w:w="1040" w:type="dxa"/>
            <w:vAlign w:val="bottom"/>
          </w:tcPr>
          <w:p>
            <w:pPr>
              <w:spacing w:after="0"/>
              <w:rPr>
                <w:sz w:val="14"/>
                <w:szCs w:val="14"/>
                <w:color w:val="auto"/>
              </w:rPr>
            </w:pP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(4,775)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Accelerated vesting of options and</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restricted shares</w:t>
            </w:r>
          </w:p>
        </w:tc>
        <w:tc>
          <w:tcPr>
            <w:tcW w:w="104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14"/>
                <w:szCs w:val="14"/>
                <w:color w:val="auto"/>
              </w:rPr>
            </w:pPr>
          </w:p>
        </w:tc>
        <w:tc>
          <w:tcPr>
            <w:tcW w:w="2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4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730,835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40,910,972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723,078</w:t>
            </w:r>
          </w:p>
        </w:tc>
      </w:tr>
      <w:tr>
        <w:trPr>
          <w:trHeight w:val="166"/>
        </w:trPr>
        <w:tc>
          <w:tcPr>
            <w:tcW w:w="4700" w:type="dxa"/>
            <w:vAlign w:val="bottom"/>
          </w:tcPr>
          <w:p>
            <w:pPr>
              <w:spacing w:after="0"/>
              <w:rPr>
                <w:sz w:val="14"/>
                <w:szCs w:val="14"/>
                <w:color w:val="auto"/>
              </w:rPr>
            </w:pPr>
          </w:p>
        </w:tc>
        <w:tc>
          <w:tcPr>
            <w:tcW w:w="2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Accumulated Dividends in Excess of Trust</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(286,348)</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60,523</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common shareholders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(72,512)</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preferred</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shareholders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(7,950)</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(306,287)</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 in</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ind w:left="100"/>
              <w:spacing w:after="0"/>
              <w:rPr>
                <w:sz w:val="20"/>
                <w:szCs w:val="20"/>
                <w:color w:val="auto"/>
              </w:rPr>
            </w:pPr>
            <w:r>
              <w:rPr>
                <w:rFonts w:ascii="Courier New" w:cs="Courier New" w:eastAsia="Courier New" w:hAnsi="Courier New"/>
                <w:sz w:val="14"/>
                <w:szCs w:val="14"/>
                <w:color w:val="auto"/>
              </w:rPr>
              <w:t>Treasury</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(217,644)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(4,334)</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forfeited</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(38,550)</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(787)</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shares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(1,185,400)</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(22,632)</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(1,441,594)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(27,753)</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Deferred Compensation on Restricted Shares</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(599,427)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(15,219)</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issued,</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net of forfeitures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(218,771)</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(4,151)</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Vesting of Performance and</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Restricted Shares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82,323</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2,116</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(735,875)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(17,254)</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Subscriptions receivable from employee</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ind w:left="100"/>
              <w:spacing w:after="0"/>
              <w:rPr>
                <w:sz w:val="20"/>
                <w:szCs w:val="20"/>
                <w:color w:val="auto"/>
              </w:rPr>
            </w:pPr>
            <w:r>
              <w:rPr>
                <w:rFonts w:ascii="Courier New" w:cs="Courier New" w:eastAsia="Courier New" w:hAnsi="Courier New"/>
                <w:sz w:val="14"/>
                <w:szCs w:val="14"/>
                <w:color w:val="auto"/>
              </w:rPr>
              <w:t>stock plans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(317,606)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(7,314)</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Subscription and tax loans issued</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(5,500)</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(1,025)</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Subscription and tax loans paid or</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forgiven</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80,468</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1,605</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(242,638)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(6,734)</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ind w:left="100"/>
              <w:spacing w:after="0"/>
              <w:rPr>
                <w:sz w:val="20"/>
                <w:szCs w:val="20"/>
                <w:color w:val="auto"/>
              </w:rPr>
            </w:pPr>
            <w:r>
              <w:rPr>
                <w:rFonts w:ascii="Courier New" w:cs="Courier New" w:eastAsia="Courier New" w:hAnsi="Courier New"/>
                <w:sz w:val="14"/>
                <w:szCs w:val="14"/>
                <w:color w:val="auto"/>
              </w:rPr>
              <w:t>(loss)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Change due to recognizing gain (loss) on</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Change in valuation on interest rate swap</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Change due to recognizing gain (loss) on</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Change in valuation on interest rate swap</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Total comprehensive income</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ectPr>
          <w:pgSz w:w="11900" w:h="16838" w:orient="portrait"/>
          <w:cols w:equalWidth="0" w:num="1">
            <w:col w:w="11040"/>
          </w:cols>
          <w:pgMar w:left="220" w:top="141" w:right="639" w:bottom="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141" w:right="1440" w:bottom="1440" w:gutter="0" w:footer="0" w:header="0"/>
          <w:type w:val="continuous"/>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Year ended December 31,</w:t>
            </w:r>
          </w:p>
        </w:tc>
        <w:tc>
          <w:tcPr>
            <w:tcW w:w="1040" w:type="dxa"/>
            <w:vAlign w:val="bottom"/>
          </w:tcPr>
          <w:p>
            <w:pPr>
              <w:spacing w:after="0"/>
              <w:rPr>
                <w:sz w:val="14"/>
                <w:szCs w:val="14"/>
                <w:color w:val="auto"/>
              </w:rPr>
            </w:pPr>
          </w:p>
        </w:tc>
      </w:tr>
      <w:tr>
        <w:trPr>
          <w:trHeight w:val="331"/>
        </w:trPr>
        <w:tc>
          <w:tcPr>
            <w:tcW w:w="19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24"/>
                <w:szCs w:val="2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spacing w:after="0"/>
              <w:rPr>
                <w:sz w:val="24"/>
                <w:szCs w:val="2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2000</w:t>
            </w:r>
          </w:p>
        </w:tc>
      </w:tr>
      <w:tr>
        <w:trPr>
          <w:trHeight w:val="166"/>
        </w:trPr>
        <w:tc>
          <w:tcPr>
            <w:tcW w:w="19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4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3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55,287</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68,756</w:t>
            </w: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60,523</w:t>
            </w: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Items not requiring cash outlays</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3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Depreciation and amortization, including discontinued operations</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64,529</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59,914</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53,259</w:t>
            </w:r>
          </w:p>
        </w:tc>
      </w:tr>
      <w:tr>
        <w:trPr>
          <w:trHeight w:val="166"/>
        </w:trPr>
        <w:tc>
          <w:tcPr>
            <w:tcW w:w="6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Gain on sale of real estate</w:t>
            </w:r>
          </w:p>
        </w:tc>
        <w:tc>
          <w:tcPr>
            <w:tcW w:w="6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(19,101)</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(9,185)</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(3,681)</w:t>
            </w:r>
          </w:p>
        </w:tc>
      </w:tr>
      <w:tr>
        <w:trPr>
          <w:trHeight w:val="166"/>
        </w:trPr>
        <w:tc>
          <w:tcPr>
            <w:tcW w:w="6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9,647</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Non-cash portion of restructuring expense</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19,586</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Other, net</w:t>
            </w:r>
          </w:p>
        </w:tc>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4,792</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1,041</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1,634</w:t>
            </w: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Changes in assets and liabilities</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 decrease in accounts receivable</w:t>
            </w:r>
          </w:p>
        </w:tc>
        <w:tc>
          <w:tcPr>
            <w:tcW w:w="6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(3,239)</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(4,641)</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1,233</w:t>
            </w:r>
          </w:p>
        </w:tc>
      </w:tr>
      <w:tr>
        <w:trPr>
          <w:trHeight w:val="166"/>
        </w:trPr>
        <w:tc>
          <w:tcPr>
            <w:tcW w:w="6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 in prepaid expenses and other</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assets before depreciation and amortization</w:t>
            </w:r>
          </w:p>
        </w:tc>
        <w:tc>
          <w:tcPr>
            <w:tcW w:w="6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(19,762)</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(18,305)</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(6,834)</w:t>
            </w:r>
          </w:p>
        </w:tc>
      </w:tr>
      <w:tr>
        <w:trPr>
          <w:trHeight w:val="166"/>
        </w:trPr>
        <w:tc>
          <w:tcPr>
            <w:tcW w:w="6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 in operating accounts payable,</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security deposits and prepaid rent</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2,996</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4,132</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3,342</w:t>
            </w:r>
          </w:p>
        </w:tc>
      </w:tr>
      <w:tr>
        <w:trPr>
          <w:trHeight w:val="166"/>
        </w:trPr>
        <w:tc>
          <w:tcPr>
            <w:tcW w:w="6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 (decrease) in accrued expenses</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4,334</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7,736</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(2,420)</w:t>
            </w:r>
          </w:p>
        </w:tc>
      </w:tr>
      <w:tr>
        <w:trPr>
          <w:trHeight w:val="166"/>
        </w:trPr>
        <w:tc>
          <w:tcPr>
            <w:tcW w:w="19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680" w:type="dxa"/>
            <w:vAlign w:val="bottom"/>
          </w:tcPr>
          <w:p>
            <w:pPr>
              <w:spacing w:after="0"/>
              <w:rPr>
                <w:sz w:val="24"/>
                <w:szCs w:val="2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119,069</w:t>
            </w:r>
          </w:p>
        </w:tc>
        <w:tc>
          <w:tcPr>
            <w:tcW w:w="300" w:type="dxa"/>
            <w:vAlign w:val="bottom"/>
          </w:tcPr>
          <w:p>
            <w:pPr>
              <w:spacing w:after="0"/>
              <w:rPr>
                <w:sz w:val="24"/>
                <w:szCs w:val="2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109,448</w:t>
            </w:r>
          </w:p>
        </w:tc>
        <w:tc>
          <w:tcPr>
            <w:tcW w:w="5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107,056</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4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Acquisition of real estate</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(61,415)</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(23,554)</w:t>
            </w: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4320" w:type="dxa"/>
            <w:vAlign w:val="bottom"/>
          </w:tcPr>
          <w:p>
            <w:pPr>
              <w:ind w:left="100"/>
              <w:spacing w:after="0"/>
              <w:rPr>
                <w:sz w:val="20"/>
                <w:szCs w:val="20"/>
                <w:color w:val="auto"/>
              </w:rPr>
            </w:pPr>
            <w:r>
              <w:rPr>
                <w:rFonts w:ascii="Courier New" w:cs="Courier New" w:eastAsia="Courier New" w:hAnsi="Courier New"/>
                <w:sz w:val="14"/>
                <w:szCs w:val="14"/>
                <w:color w:val="auto"/>
              </w:rPr>
              <w:t>- development</w:t>
            </w:r>
          </w:p>
        </w:tc>
        <w:tc>
          <w:tcPr>
            <w:tcW w:w="6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(200,357)</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(158,048)</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(81,023)</w:t>
            </w: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4320" w:type="dxa"/>
            <w:vAlign w:val="bottom"/>
          </w:tcPr>
          <w:p>
            <w:pPr>
              <w:ind w:left="100"/>
              <w:spacing w:after="0"/>
              <w:rPr>
                <w:sz w:val="20"/>
                <w:szCs w:val="20"/>
                <w:color w:val="auto"/>
              </w:rPr>
            </w:pPr>
            <w:r>
              <w:rPr>
                <w:rFonts w:ascii="Courier New" w:cs="Courier New" w:eastAsia="Courier New" w:hAnsi="Courier New"/>
                <w:sz w:val="14"/>
                <w:szCs w:val="14"/>
                <w:color w:val="auto"/>
              </w:rPr>
              <w:t>- other</w:t>
            </w:r>
          </w:p>
        </w:tc>
        <w:tc>
          <w:tcPr>
            <w:tcW w:w="6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(43,579)</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(41,013)</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(64,815)</w:t>
            </w: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Proceeds from sale of real estate</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62,544</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25,063</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47,157</w:t>
            </w: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Repayment of mortgage notes receivable, net</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5,648</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3,275</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494</w:t>
            </w:r>
          </w:p>
        </w:tc>
      </w:tr>
      <w:tr>
        <w:trPr>
          <w:trHeight w:val="166"/>
        </w:trPr>
        <w:tc>
          <w:tcPr>
            <w:tcW w:w="19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cash used in investing activities</w:t>
            </w:r>
          </w:p>
        </w:tc>
        <w:tc>
          <w:tcPr>
            <w:tcW w:w="6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(175,744)</w:t>
            </w:r>
          </w:p>
        </w:tc>
        <w:tc>
          <w:tcPr>
            <w:tcW w:w="30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(232,138)</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(121,741)</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4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Borrowing (repayment) of short-term debt, net</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27,000</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(34,000)</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47,400</w:t>
            </w: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(Repayment) proceeds from mortgage and construction</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financing, net of costs</w:t>
            </w:r>
          </w:p>
        </w:tc>
        <w:tc>
          <w:tcPr>
            <w:tcW w:w="6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(60,718)</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145,427</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166,383</w:t>
            </w: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Note issuance (repayment), net of costs</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148,746</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Issuance of Series B Preferred shares, net of costs</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130,225</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Issuance of common shares, net of subscriptions receivable</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76,701</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2,518</w:t>
            </w: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shares repurchased</w:t>
            </w:r>
          </w:p>
        </w:tc>
        <w:tc>
          <w:tcPr>
            <w:tcW w:w="6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(22,632)</w:t>
            </w: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Payments on mortgages, capital leases and notes payable</w:t>
            </w:r>
          </w:p>
        </w:tc>
        <w:tc>
          <w:tcPr>
            <w:tcW w:w="6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(29,627)</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(31,550)</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(2,169)</w:t>
            </w: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Dividends paid</w:t>
            </w:r>
          </w:p>
        </w:tc>
        <w:tc>
          <w:tcPr>
            <w:tcW w:w="4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(96,461)</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(80,593)</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(77,499)</w:t>
            </w:r>
          </w:p>
        </w:tc>
      </w:tr>
      <w:tr>
        <w:trPr>
          <w:trHeight w:val="166"/>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(Decrease) increase in minority interest, net</w:t>
            </w:r>
          </w:p>
        </w:tc>
        <w:tc>
          <w:tcPr>
            <w:tcW w:w="6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(3,406)</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w:t>
            </w:r>
          </w:p>
        </w:tc>
      </w:tr>
      <w:tr>
        <w:trPr>
          <w:trHeight w:val="166"/>
        </w:trPr>
        <w:tc>
          <w:tcPr>
            <w:tcW w:w="19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680" w:type="dxa"/>
            <w:vAlign w:val="bottom"/>
          </w:tcPr>
          <w:p>
            <w:pPr>
              <w:spacing w:after="0"/>
              <w:rPr>
                <w:sz w:val="24"/>
                <w:szCs w:val="2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62,235</w:t>
            </w:r>
          </w:p>
        </w:tc>
        <w:tc>
          <w:tcPr>
            <w:tcW w:w="300" w:type="dxa"/>
            <w:vAlign w:val="bottom"/>
          </w:tcPr>
          <w:p>
            <w:pPr>
              <w:spacing w:after="0"/>
              <w:rPr>
                <w:sz w:val="24"/>
                <w:szCs w:val="2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128,896</w:t>
            </w:r>
          </w:p>
        </w:tc>
        <w:tc>
          <w:tcPr>
            <w:tcW w:w="5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14,304</w:t>
            </w:r>
          </w:p>
        </w:tc>
      </w:tr>
      <w:tr>
        <w:trPr>
          <w:trHeight w:val="166"/>
        </w:trPr>
        <w:tc>
          <w:tcPr>
            <w:tcW w:w="19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Increase (decrease) in cash</w:t>
            </w:r>
          </w:p>
        </w:tc>
        <w:tc>
          <w:tcPr>
            <w:tcW w:w="680" w:type="dxa"/>
            <w:vAlign w:val="bottom"/>
          </w:tcPr>
          <w:p>
            <w:pPr>
              <w:spacing w:after="0"/>
              <w:rPr>
                <w:sz w:val="24"/>
                <w:szCs w:val="2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5,560</w:t>
            </w:r>
          </w:p>
        </w:tc>
        <w:tc>
          <w:tcPr>
            <w:tcW w:w="300" w:type="dxa"/>
            <w:vAlign w:val="bottom"/>
          </w:tcPr>
          <w:p>
            <w:pPr>
              <w:spacing w:after="0"/>
              <w:rPr>
                <w:sz w:val="24"/>
                <w:szCs w:val="2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6,206</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(381)</w:t>
            </w:r>
          </w:p>
        </w:tc>
      </w:tr>
      <w:tr>
        <w:trPr>
          <w:trHeight w:val="331"/>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Cash at beginning of year</w:t>
            </w:r>
          </w:p>
        </w:tc>
        <w:tc>
          <w:tcPr>
            <w:tcW w:w="680" w:type="dxa"/>
            <w:vAlign w:val="bottom"/>
          </w:tcPr>
          <w:p>
            <w:pPr>
              <w:spacing w:after="0"/>
              <w:rPr>
                <w:sz w:val="24"/>
                <w:szCs w:val="2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17,563</w:t>
            </w:r>
          </w:p>
        </w:tc>
        <w:tc>
          <w:tcPr>
            <w:tcW w:w="300" w:type="dxa"/>
            <w:vAlign w:val="bottom"/>
          </w:tcPr>
          <w:p>
            <w:pPr>
              <w:spacing w:after="0"/>
              <w:rPr>
                <w:sz w:val="24"/>
                <w:szCs w:val="2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11,357</w:t>
            </w:r>
          </w:p>
        </w:tc>
        <w:tc>
          <w:tcPr>
            <w:tcW w:w="5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11,738</w:t>
            </w:r>
          </w:p>
        </w:tc>
      </w:tr>
      <w:tr>
        <w:trPr>
          <w:trHeight w:val="166"/>
        </w:trPr>
        <w:tc>
          <w:tcPr>
            <w:tcW w:w="19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Cash at end of year</w:t>
            </w:r>
          </w:p>
        </w:tc>
        <w:tc>
          <w:tcPr>
            <w:tcW w:w="432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23,123</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17,563</w:t>
            </w: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11,357</w:t>
            </w:r>
          </w:p>
        </w:tc>
      </w:tr>
      <w:tr>
        <w:trPr>
          <w:trHeight w:val="166"/>
        </w:trPr>
        <w:tc>
          <w:tcPr>
            <w:tcW w:w="19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1300"/>
          </w:cols>
          <w:pgMar w:left="220" w:top="616" w:right="379"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 2001 and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SUMMARY OF SIGNIFICANT ACCOUNTING POLICIES</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Federal Realty Investment Trust (the "Trust") is a full-service equity real estate investment trust specializing in the ownership, management, development and redevelopment of high quality community and neighborhood shopping centers and main street mixed-use properties located in densely developed urban and suburban areas in strategic metropolitan markets across the United States.</w:t>
      </w:r>
    </w:p>
    <w:p>
      <w:pPr>
        <w:spacing w:after="0" w:line="327"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We operate in a manner intended to enable us to qualify as a real estate investment trust for federal income tax purposes. A trust which distributes at least 90% of its real estate investment trust taxable income to its shareholders each year and which meets certain other conditions will not be taxed on that portion of its taxable income which is distributed to its shareholders. Therefore, Federal income taxes have been and are generally expected to be immaterial. We are obligated for state taxes, generally consisting of franchise or gross receipts taxes in certain states. Such state taxes have not been material.</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Our consolidated financial statements include the accounts of the Trust, its wholly owned corporate subsidiaries, several corporations where we have a majority ownership, and numerous partnerships, all of which we control. The equity interests of other investors are reflected as investors' interest in consolidated assets. All significant intercompany transactions and balances are eliminated in consolidation. We account for our interest in joint ventures which we do not control or manage using the equity method of accounting.</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which we refer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Actual results could differ from these estimates.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 and Accounts Receivable. Leases with tenants are classified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operating leases. Minimum rents are recognized on a straight-line basis over the terms of the related leases net of valuation adjustments based on management's assessment of credit, collection and other business risk. Percentage rents, which represent additional rents based on gross tenant sales, are recognized at the end of the lease year or other period in which tenant sales' thresholds have been reached and the percentage rents are due. Real estate tax and other cost reimbursements are recognized on an accrual basis over the periods in which the expenditures occurred. We make estimates of the collectibility of our accounts receivable related to base rents, including straight line rentals, expense reimbursements and other revenue or income. In some cases the ultimate collectibility of these claims extends beyond one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Land, buildings and real estate under development are recorded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cost. Depreciation is computed using the straight-line method. Estimated useful lives range from three to 50 years on apartment buildings and improvements, and from three to 50 years on retail properties and improvements. Maintenance and repair costs are charged to operations as incurred. Tenant work and other major improvements are capitalized and depreciated over the life of the lease or their estimated useful life, respectively. In accordance with Statement of Financial Accounting Standard ("SFAS") No. 66, "Accounting for Sales of Real Estate", sales are recognized at closing only when sufficient down payments have been obtained, possession and other attributes of ownership have been transferred to the buyer and we have no significant continuing involvement. The gain or loss resulting from the sale of properties is included in net income at the time of sale. Upon termination of a lease, undepreciated tenant improvement costs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F7 -</w:t>
      </w:r>
    </w:p>
    <w:p>
      <w:pPr>
        <w:sectPr>
          <w:pgSz w:w="11900" w:h="16838" w:orient="portrait"/>
          <w:cols w:equalWidth="0" w:num="1">
            <w:col w:w="10239"/>
          </w:cols>
          <w:pgMar w:left="220" w:top="616" w:right="1440" w:bottom="1440" w:gutter="0" w:footer="0" w:header="0"/>
        </w:sectPr>
      </w:pPr>
    </w:p>
    <w:bookmarkStart w:id="69" w:name="page70"/>
    <w:bookmarkEnd w:id="69"/>
    <w:p>
      <w:pPr>
        <w:ind w:right="3859"/>
        <w:spacing w:after="0" w:line="255" w:lineRule="auto"/>
        <w:rPr>
          <w:sz w:val="20"/>
          <w:szCs w:val="20"/>
          <w:color w:val="auto"/>
        </w:rPr>
      </w:pPr>
      <w:r>
        <w:rPr>
          <w:rFonts w:ascii="Courier New" w:cs="Courier New" w:eastAsia="Courier New" w:hAnsi="Courier New"/>
          <w:sz w:val="14"/>
          <w:szCs w:val="14"/>
          <w:color w:val="auto"/>
        </w:rPr>
        <w:t>are charged to operations if the assets are replaced and the asset and the corresponding accumulated depreciation are retired.</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We evaluate the carrying value of our long-lived assets in accordance with SFAS No. 121, "Accounting for the Impairment of Long-Lived Assets and for Long-Lived Assets to Be Disposed Of". In cases where particular assets are being held for sale, impairment is based on whether the fair value (estimated sales price less costs of disposal) of each individual property to be sold is less than the net book value. Otherwise, impairment is based on whether it is probable that undiscounted future cash flows from each property will be less than its net book value. If a property is impaired, its basis is adjusted to its estimated fair market value.</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August 2001, the FASB issued SFAS No. 144, "Accounting for the Impairment or Disposal of Long-Lived Assets" (effective for us on January 1, 2002). SFAS No. 144 requires that one accounting model be used for long-lived assets to be disposed of by sale, whether previously held and used or newly-acquired, and broadens the presentation of discontinued operations to include components of an entity comprising operations and cash flows that can be distinguished, operationally and for financial reporting purposes from the rest of the entity.</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June 2002, the FASB issued SFAS No. 146, "Accounting for Costs Associated with Exit or Disposal Activities," which addresses accounting and processing for costs associated with exit or disposal activities. SFAS No. 146 requires the recognition of a liability for a cost associated with an exit or disposal activity when the liability is incurred verses the date the Company commits to an exit plan. In addition, SFAS No. 146 states that the liability should be initially measured at fair value. The requirements of SFAS No. 146 are effective for exit or disposal activities that are initiated after December 31, 2002. This pronouncement is not expected to have a material impact on our financial position or results of operations.</w:t>
      </w:r>
    </w:p>
    <w:p>
      <w:pPr>
        <w:spacing w:after="0" w:line="163"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When applicable as lessee, we classify our leases of land and buildings as operating or capital leases in accordance with the provisions of SFAS No. 13, "Accounting for Leases".</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Certain external and internal costs directly related to the development, redevelopment and leasing of real estate including applicable salaries and their related direct costs are capitalized. The capitalized costs associated with developments, redevelopments and leasing are depreciated or amortized over the life of the improvement or lease, whichever is shorter. Unamortized leasing costs are charged to operations if the applicable tenant vacates before the expiration of their lease.</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Interest costs on developments and major redevelopments are capitalized as part of the development and redevelopment until it is placed in service. Capitalization of interest commences when development activities and expenditures begin and end upon completion, i.e. when the asset is ready for its intended use. Generally rental property is considered substantially complete and ready for its intended use upon completion of tenant improvements, but no later than one year from the completion of major construction activity.</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Debt Issue Costs. Costs related to the issuance of debt instruments are capitalized and are amortized as interest expense over the life of the related issue using the effective interest method. Upon conversion or in the event of redemption, applicable unamortized costs are charged to shareholders' equity or to operations, respectively.</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F8 -</w:t>
      </w:r>
    </w:p>
    <w:p>
      <w:pPr>
        <w:sectPr>
          <w:pgSz w:w="11900" w:h="16838" w:orient="portrait"/>
          <w:cols w:equalWidth="0" w:num="1">
            <w:col w:w="10239"/>
          </w:cols>
          <w:pgMar w:left="220" w:top="616" w:right="1440" w:bottom="1440" w:gutter="0" w:footer="0" w:header="0"/>
        </w:sectPr>
      </w:pPr>
    </w:p>
    <w:bookmarkStart w:id="70" w:name="page71"/>
    <w:bookmarkEnd w:id="70"/>
    <w:p>
      <w:pPr>
        <w:ind w:right="3419"/>
        <w:spacing w:after="0" w:line="252" w:lineRule="auto"/>
        <w:rPr>
          <w:sz w:val="20"/>
          <w:szCs w:val="20"/>
          <w:color w:val="auto"/>
        </w:rPr>
      </w:pPr>
      <w:r>
        <w:rPr>
          <w:rFonts w:ascii="Courier New" w:cs="Courier New" w:eastAsia="Courier New" w:hAnsi="Courier New"/>
          <w:sz w:val="14"/>
          <w:szCs w:val="14"/>
          <w:color w:val="auto"/>
        </w:rPr>
        <w:t>Cash and Cash Equivalents. We define cash as cash on hand, demand deposits with financial institutions and short term liquid investments with an initial maturity under three months. Cash balances in individual banks may exceed insurable amounts from time to time.</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Risk Management. We enter into derivative contracts, which qualify as cash flow hedges under SFAS No. 133 "Accounting for Derivative Instruments and Hedging Activities", in order to manage interest rate risk. Derivatives are not purchased for speculation. During 2001, to hedge our exposure to interest rates on our $125 million term loan, we entered into interest rate swaps, which fixed the LIBOR interest rate on the term loan at 5.27%. The current interest rate on the term loan is LIBOR plus 95 basis points, thus fixing the interest rate at</w:t>
      </w:r>
    </w:p>
    <w:p>
      <w:pPr>
        <w:spacing w:after="0" w:line="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6.22% on notional amounts totaling $125 million. We are exposed to credit loss in the event of non-performance by the counterparties to the interest rate protection agreement should interest rates exceed the cap. However, management does not anticipate non-performance by the counterparties. The counterparties have long-term debt ratings of A- or above by Standard &amp; Poor's Ratings Service ("S&amp;P") and Aa2 or above by Moody's Investor Service ("Moody's"). Although our cap is not exchange-traded, there are a number of financial institutions which enter into these types of transactions as part of their day-to-day activities. The interest rate swaps mature concurrently with the $125 million term loan on December 19, 2003. The swaps were documented as cash flow hedges and designated as effective at inception of the swap contract. Consequently, the unrealized gain or loss upon measuring the swaps at their fair market value is recorded as a component of other comprehensive income within shareholders' equity and either a derivative instrument asset or liability is recorded on the balance sheet. At December 31, 2002, a cumulative unrealized loss of $4.6 million, representing the difference between the current market value and the 6.22% fixed interest rate on the swap, was recorded in other comprehensive income with a corresponding derivative liability on the balance sheet. Interest expense of approximately $4.6 million will be reclassified from other comprehensive income into current earnings during 2003 to bring the effective interest rate up to 6.22%. There were no open derivative contracts at December 31, 1999.</w:t>
      </w:r>
    </w:p>
    <w:p>
      <w:pPr>
        <w:spacing w:after="0" w:line="175"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In anticipation of a $150 million Senior Unsecured Note offering, on August 1, 2002, we entered into a treasury rate lock that fixed the benchmark five year treasury rate at 3.472% through August 19, 2002. The rate lock was documented as a cash flow hedge of a forecasted transaction and designated as effective at the inception of the contract. On August 16, 2002, we priced the Senior Unsecured Notes with a scheduled closing date of August 21, 2002 and closed out the associated rate lock. Five year treasury rates declined between the pricing period and the settlement of the hedge purchase; therefore, to settle the rate lock, we paid $1.5 million. As a result of the August 19, 2002 fire at Santana Row, we elected not to proceed with the note offering at that time. However, we consummated a $150 Senior Unsecured Note offering on November 15, 2002, and thus, the hedge loss will be amortized into interest expense over the life of the Notes.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Acquisition, Development and Construction Loan Arrangements. We have made certain mortgage loans that, because of their nature, qualify as loan receivables. At the time the loans were made we did not intend for the arrangement to be anything other than a financing and did not contemplate a real estate investment. Using guidance set forth in the Third Notice to</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F9 -</w:t>
      </w:r>
    </w:p>
    <w:p>
      <w:pPr>
        <w:sectPr>
          <w:pgSz w:w="11900" w:h="16838" w:orient="portrait"/>
          <w:cols w:equalWidth="0" w:num="1">
            <w:col w:w="10239"/>
          </w:cols>
          <w:pgMar w:left="220" w:top="616" w:right="1440" w:bottom="1440" w:gutter="0" w:footer="0" w:header="0"/>
        </w:sectPr>
      </w:pPr>
    </w:p>
    <w:bookmarkStart w:id="71" w:name="page72"/>
    <w:bookmarkEnd w:id="71"/>
    <w:p>
      <w:pPr>
        <w:ind w:right="3339"/>
        <w:spacing w:after="0" w:line="251" w:lineRule="auto"/>
        <w:rPr>
          <w:sz w:val="20"/>
          <w:szCs w:val="20"/>
          <w:color w:val="auto"/>
        </w:rPr>
      </w:pPr>
      <w:r>
        <w:rPr>
          <w:rFonts w:ascii="Courier New" w:cs="Courier New" w:eastAsia="Courier New" w:hAnsi="Courier New"/>
          <w:sz w:val="14"/>
          <w:szCs w:val="14"/>
          <w:color w:val="auto"/>
        </w:rPr>
        <w:t>Practitioners issued by the AICPA in February 1986 entitled "ADC Arrangements" ("the Third Notice"), we evaluate each investment to determine whether the loan arrangement qualifies under the Third Notice as a loan, joint venture or real estate investment and the appropriate accounting thereon; such determination affects our balance sheet classification of these investments and the recognition of interest income derived therefrom. Generally, we receive additional interest on these loans, however we never receive in excess of 50% of the residual profit in the project (as defined in the Third Notice) and because the borrower has either a substantial investment in the project or has guaranteed all or a portion of our loan (or a combination thereof) the loans qualify for loan accounting. The amounts under ADC arrangements at December 31, 2002 and 2001 were $35.6 million and interest income recognized thereon was $4.3 million and $3.9 million, respectively.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Comprehensive Income. Our interest rate swaps were documented as cash flow hedges and designated as effective at inception of the swap contract, therefore, the unrealized gain or loss upon measuring the swaps at their fair market value is recorded as a component of other comprehensive income within shareholders' equity. In accordance with SFAS No. 115, "Accounting for Certain Investments in Debt and Equity Securities", investments purchased in connection with our nonqualified deferred compensation plan are classified as available for sale securities and reported at fair value. Unrealized gains or losses on these investments purchased to match our obligation to the participants is also recorded as a component of other comprehensive income. At December 31, 2002 these investments consisted of mutual funds and are stated at market value.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Earnings Per Share. We calculate basic and diluted earnings per share in accordance with SFAS No. 128, "Earnings Per Share". Basic EPS excludes dilution and is computed by dividing net income available for common shareholders by the weighted number of common shares outstanding for the period. Diluted EPS reflects the potential dilution that could occur if securities or other contracts to issue common shares were exercised or converted into common shares and then shared in the our earnings.</w:t>
      </w:r>
    </w:p>
    <w:p>
      <w:pPr>
        <w:spacing w:after="0" w:line="164"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The following table sets forth the reconciliation between basic and diluted EPS (in thousands,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2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630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shareholders - basic..................</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$ 35,862</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$ 59,722</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$ 52,573</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Income attributable to operating partnership units....................</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740</w:t>
            </w:r>
          </w:p>
        </w:tc>
        <w:tc>
          <w:tcPr>
            <w:tcW w:w="2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1,384</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1,311</w:t>
            </w:r>
          </w:p>
        </w:tc>
      </w:tr>
      <w:tr>
        <w:trPr>
          <w:trHeight w:val="166"/>
        </w:trPr>
        <w:tc>
          <w:tcPr>
            <w:tcW w:w="630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shareholders - diluted................</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$ 36,602</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$ 61,106</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$ 53,884</w:t>
            </w:r>
          </w:p>
        </w:tc>
      </w:tr>
      <w:tr>
        <w:trPr>
          <w:trHeight w:val="166"/>
        </w:trPr>
        <w:tc>
          <w:tcPr>
            <w:tcW w:w="630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Denominator for basic EPS- weighted average shares....................</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41,624</w:t>
            </w:r>
          </w:p>
        </w:tc>
        <w:tc>
          <w:tcPr>
            <w:tcW w:w="2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39,164</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38,796</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 stock options and awards...............</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417</w:t>
            </w:r>
          </w:p>
        </w:tc>
        <w:tc>
          <w:tcPr>
            <w:tcW w:w="2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Operating partnership units...........................................</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841</w:t>
            </w:r>
          </w:p>
        </w:tc>
        <w:tc>
          <w:tcPr>
            <w:tcW w:w="2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905</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959</w:t>
            </w:r>
          </w:p>
        </w:tc>
      </w:tr>
      <w:tr>
        <w:trPr>
          <w:trHeight w:val="166"/>
        </w:trPr>
        <w:tc>
          <w:tcPr>
            <w:tcW w:w="630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Weighted average shares - diluted.....................................</w:t>
            </w:r>
          </w:p>
        </w:tc>
        <w:tc>
          <w:tcPr>
            <w:tcW w:w="42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42,882</w:t>
            </w:r>
          </w:p>
        </w:tc>
        <w:tc>
          <w:tcPr>
            <w:tcW w:w="26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40,266</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39,910</w:t>
            </w:r>
          </w:p>
        </w:tc>
      </w:tr>
      <w:tr>
        <w:trPr>
          <w:trHeight w:val="166"/>
        </w:trPr>
        <w:tc>
          <w:tcPr>
            <w:tcW w:w="630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Earnings per common share - basic.....................................</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r>
        <w:trPr>
          <w:trHeight w:val="166"/>
        </w:trPr>
        <w:tc>
          <w:tcPr>
            <w:tcW w:w="630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Earnings per common share - diluted</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630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300" w:type="dxa"/>
            <w:vAlign w:val="bottom"/>
          </w:tcPr>
          <w:p>
            <w:pPr>
              <w:ind w:left="3200"/>
              <w:spacing w:after="0"/>
              <w:rPr>
                <w:sz w:val="20"/>
                <w:szCs w:val="20"/>
                <w:color w:val="auto"/>
              </w:rPr>
            </w:pPr>
            <w:r>
              <w:rPr>
                <w:rFonts w:ascii="Courier New" w:cs="Courier New" w:eastAsia="Courier New" w:hAnsi="Courier New"/>
                <w:sz w:val="14"/>
                <w:szCs w:val="14"/>
                <w:color w:val="auto"/>
              </w:rPr>
              <w:t>- F10 -</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2" w:name="page73"/>
    <w:bookmarkEnd w:id="72"/>
    <w:p>
      <w:pPr>
        <w:ind w:right="3339"/>
        <w:spacing w:after="0" w:line="251" w:lineRule="auto"/>
        <w:rPr>
          <w:sz w:val="20"/>
          <w:szCs w:val="20"/>
          <w:color w:val="auto"/>
        </w:rPr>
      </w:pPr>
      <w:r>
        <w:rPr>
          <w:rFonts w:ascii="Courier New" w:cs="Courier New" w:eastAsia="Courier New" w:hAnsi="Courier New"/>
          <w:sz w:val="14"/>
          <w:szCs w:val="14"/>
          <w:color w:val="auto"/>
        </w:rPr>
        <w:t>Stock-Based Compensation. In December 2002 the FASB issued SFAS No. 148, "Accounting for Stock Based Compensation-Transition and Disclosure" an amendment of FASB Statement No. 123, "Accounting for Stock-Based Compensation". SFAS No. 148 amends the disclosure provisions to require prominent disclosure about the effects on reported net income of an entity's accounting policy decisions with respect to stock-based compensation. Stock options are accounted for using the intrinsic method in accordance with APB No. 25, "Accounting for Stock Issued to Employees, as interpreted, whereby if options are priced at fair market value or above at the date of grant, no compensation expense is recognized. The pro forma information is as follows (in thousands except for earnings per share):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2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642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55,287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68,756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60,523</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Stock-based employee compensation cost included in net income as reported</w:t>
            </w:r>
          </w:p>
        </w:tc>
        <w:tc>
          <w:tcPr>
            <w:tcW w:w="260" w:type="dxa"/>
            <w:vAlign w:val="bottom"/>
          </w:tcPr>
          <w:p>
            <w:pPr>
              <w:spacing w:after="0"/>
              <w:rPr>
                <w:sz w:val="24"/>
                <w:szCs w:val="2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Stock-based employee compensation cost under the fair value method of</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SFAS No. 123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1,078</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54,855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68,076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59,445</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Pro forma earnings per share, basic</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Pro forma earnings per share, diluted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Reclassifications. Certain components of rental income, other property income, rental expense, real estate tax expense and depreciation and amortization on the December 31, 2001 and 2000 Consolidated Statements of Operations have been reclassified to Income from operations of discontinued assets to assure comparability of all periods presented. In addition, certain balance sheet accounts have been reclassified to assure comparability of all periods presented.</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Guarantor's Accounting. In November 2002, the FASB issued FASB Interpretation No. 45 ("FIN 45"), Guarantor's Accounting and Disclosure Requirements for Guarantees, Including Guarantees of Indebtedness of Others. FIN 45 addresses the disclosure requirements of a guarantor in its interim and annual financial statements about its obligations under certain guarantees that it has issued. FIN 45 also requires a guarantor to recognize, at the inception of a guarantee, a liability for the fair value of the obligation undertaken in issuing the guarantee. The disclosure requirements of FIN 45 are effective for the Company effective December 31, 2002. The liability recognition requirements will be applicable prospectively to all guarantees issued or modified after December 31, 2002. This pronouncement is not expected to have a material impact on our financial position or results of operations.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Variable Interest Entities. On January 31, 2003, the FASB issued FASB Interpretation No. 46, Consolidation of Variable Interest Entities ("FIN 46"). FIN 46 clarifies existing accounting for whether interest entities should be consolidated in financial statements based upon the investees ability to finance its activities without additional financial support and whether investors possess characteristics of a controlling financial interest. FIN 46 applies to years or interim periods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F11 -</w:t>
      </w:r>
    </w:p>
    <w:p>
      <w:pPr>
        <w:sectPr>
          <w:pgSz w:w="11900" w:h="16838" w:orient="portrait"/>
          <w:cols w:equalWidth="0" w:num="1">
            <w:col w:w="10239"/>
          </w:cols>
          <w:pgMar w:left="220" w:top="616" w:right="1440" w:bottom="1440" w:gutter="0" w:footer="0" w:header="0"/>
        </w:sectPr>
      </w:pPr>
    </w:p>
    <w:bookmarkStart w:id="73" w:name="page74"/>
    <w:bookmarkEnd w:id="73"/>
    <w:p>
      <w:pPr>
        <w:ind w:right="3419"/>
        <w:spacing w:after="0" w:line="251" w:lineRule="auto"/>
        <w:rPr>
          <w:sz w:val="20"/>
          <w:szCs w:val="20"/>
          <w:color w:val="auto"/>
        </w:rPr>
      </w:pPr>
      <w:r>
        <w:rPr>
          <w:rFonts w:ascii="Courier New" w:cs="Courier New" w:eastAsia="Courier New" w:hAnsi="Courier New"/>
          <w:sz w:val="14"/>
          <w:szCs w:val="14"/>
          <w:color w:val="auto"/>
        </w:rPr>
        <w:t>beginning after June 15, 2003 with certain disclosure provisions required for financial statements issued after January 31, 2003. We are currently evaluating the applicability of FIN 46 to our investments in certain restaurant joint ventures established in 2001 and 2002 at Santana Row and have complied with the disclosure provisions of FIN 46 in these financial statements.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Investment in Restaurant Ventures at Santana Row. In lieu of tenant allowances, we have a member interest in six restaurant joint ventures which we account for using the equity method of accounting based on current authoritative generally accepted accounting principles. Our member interests currently range from 20% to 88% and in each venture an unrelated third party member controls and manages the day-to-day operations of each restaurant. We are currently evaluating the applicability of the recently issued FIN 46 on our accounting for these ventures. It is possible that some of these ventures in which we are members may require consolidation in our financial statements, beginning in the third quarter of fiscal 2003. All of the joint venture agreements in which we currently have an interest greater than 50% provide for a reduction in our membership interest upon the distribution, by the joint venture, of our initial capital contributions. These distributions are based on the cash flow of each venture.</w:t>
      </w:r>
    </w:p>
    <w:p>
      <w:pPr>
        <w:spacing w:after="0" w:line="328"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As of December 31, 2002, we have invested approximately $5.0 million in these ventures, principally to fund buildout costs of each restaurant. Of this amount, $3.7 million has been capitalized as an investment in these ventures and $1.3 million was expensed in 2002 to reflect our estimate of the permanent impairment of our investment in two of these ventures due principally to declining economic conditions. We are currently committed to invest a total of $8.0 million in these ventures and as such, our maximum exposure to further losses as a result of involvement in these ventures is $6.7 million at December 31, 2002.</w:t>
      </w:r>
    </w:p>
    <w:p>
      <w:pPr>
        <w:spacing w:after="0" w:line="164" w:lineRule="exact"/>
        <w:rPr>
          <w:sz w:val="20"/>
          <w:szCs w:val="20"/>
          <w:color w:val="auto"/>
        </w:rPr>
      </w:pPr>
    </w:p>
    <w:p>
      <w:pPr>
        <w:jc w:val="both"/>
        <w:ind w:right="3599" w:firstLine="861"/>
        <w:spacing w:after="0" w:line="252" w:lineRule="auto"/>
        <w:rPr>
          <w:sz w:val="20"/>
          <w:szCs w:val="20"/>
          <w:color w:val="auto"/>
        </w:rPr>
      </w:pPr>
      <w:r>
        <w:rPr>
          <w:rFonts w:ascii="Courier New" w:cs="Courier New" w:eastAsia="Courier New" w:hAnsi="Courier New"/>
          <w:sz w:val="14"/>
          <w:szCs w:val="14"/>
          <w:color w:val="auto"/>
        </w:rPr>
        <w:t>Because the restaurants have either opened in late 2002 or have not yet opened, operating activity of these ventures and our share of profits and losses earned or incurred through December 31, 2002 is not material.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REAL ESTATE AND ENCUMBRANCES</w:t>
      </w:r>
    </w:p>
    <w:p>
      <w:pPr>
        <w:spacing w:after="0" w:line="173" w:lineRule="exact"/>
        <w:rPr>
          <w:sz w:val="20"/>
          <w:szCs w:val="20"/>
          <w:color w:val="auto"/>
        </w:rPr>
      </w:pPr>
    </w:p>
    <w:p>
      <w:pPr>
        <w:ind w:right="3939" w:firstLine="861"/>
        <w:spacing w:after="0" w:line="255" w:lineRule="auto"/>
        <w:rPr>
          <w:sz w:val="20"/>
          <w:szCs w:val="20"/>
          <w:color w:val="auto"/>
        </w:rPr>
      </w:pPr>
      <w:r>
        <w:rPr>
          <w:rFonts w:ascii="Courier New" w:cs="Courier New" w:eastAsia="Courier New" w:hAnsi="Courier New"/>
          <w:sz w:val="14"/>
          <w:szCs w:val="14"/>
          <w:color w:val="auto"/>
        </w:rPr>
        <w:t>A summary of our properties at December 31, 2002 and 2001 is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Accumulated</w:t>
            </w: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depreciation and</w:t>
            </w: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Cost</w:t>
            </w:r>
          </w:p>
        </w:tc>
        <w:tc>
          <w:tcPr>
            <w:tcW w:w="34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amortization</w:t>
            </w: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Encumbrances</w:t>
            </w:r>
          </w:p>
        </w:tc>
      </w:tr>
      <w:tr>
        <w:trPr>
          <w:trHeight w:val="166"/>
        </w:trPr>
        <w:tc>
          <w:tcPr>
            <w:tcW w:w="53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$ 2,123,890</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378,148</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288,817</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Retail properties under capital leases......................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176,253</w:t>
            </w:r>
          </w:p>
        </w:tc>
        <w:tc>
          <w:tcPr>
            <w:tcW w:w="3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66,538</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104,395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Apartments..................................................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6,683</w:t>
            </w:r>
          </w:p>
        </w:tc>
        <w:tc>
          <w:tcPr>
            <w:tcW w:w="3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6,011</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$ 2,306,826</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450,697</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393,212</w:t>
            </w:r>
          </w:p>
        </w:tc>
      </w:tr>
      <w:tr>
        <w:trPr>
          <w:trHeight w:val="166"/>
        </w:trPr>
        <w:tc>
          <w:tcPr>
            <w:tcW w:w="53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$ 1,928,554</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329,911</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350,043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Retail properties under capital leases......................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169,072</w:t>
            </w:r>
          </w:p>
        </w:tc>
        <w:tc>
          <w:tcPr>
            <w:tcW w:w="3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59,967</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100,293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Apartments..................................................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6,678</w:t>
            </w:r>
          </w:p>
        </w:tc>
        <w:tc>
          <w:tcPr>
            <w:tcW w:w="34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5,889</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$ 2,104,304</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395,767</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450,336</w:t>
            </w:r>
          </w:p>
        </w:tc>
      </w:tr>
      <w:tr>
        <w:trPr>
          <w:trHeight w:val="166"/>
        </w:trPr>
        <w:tc>
          <w:tcPr>
            <w:tcW w:w="53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340" w:type="dxa"/>
            <w:vAlign w:val="bottom"/>
          </w:tcPr>
          <w:p>
            <w:pPr>
              <w:ind w:left="3200"/>
              <w:spacing w:after="0"/>
              <w:rPr>
                <w:sz w:val="20"/>
                <w:szCs w:val="20"/>
                <w:color w:val="auto"/>
              </w:rPr>
            </w:pPr>
            <w:r>
              <w:rPr>
                <w:rFonts w:ascii="Courier New" w:cs="Courier New" w:eastAsia="Courier New" w:hAnsi="Courier New"/>
                <w:sz w:val="14"/>
                <w:szCs w:val="14"/>
                <w:color w:val="auto"/>
              </w:rPr>
              <w:t>- F12 -</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4" w:name="page75"/>
    <w:bookmarkEnd w:id="74"/>
    <w:p>
      <w:pPr>
        <w:ind w:right="3339" w:firstLine="861"/>
        <w:spacing w:after="0" w:line="251" w:lineRule="auto"/>
        <w:rPr>
          <w:sz w:val="20"/>
          <w:szCs w:val="20"/>
          <w:color w:val="auto"/>
        </w:rPr>
      </w:pPr>
      <w:r>
        <w:rPr>
          <w:rFonts w:ascii="Courier New" w:cs="Courier New" w:eastAsia="Courier New" w:hAnsi="Courier New"/>
          <w:sz w:val="14"/>
          <w:szCs w:val="14"/>
          <w:color w:val="auto"/>
        </w:rPr>
        <w:t>During 2002 we expended cash of $243.9 million to improve, redevelop and develop our existing real estate. No properties were acquired during 2002. Of the $243.9 million spent in 2002 on our existing real estate portfolio, approximately $200.3 million was invested in our Santana Row, located in San Jose, California, and Pentagon Row, located in Arlington, Virginia, development projects. The remaining $43.6 million of capital expenditures relates to improvements to common areas, tenant work and various redevelopments, including the Congressional Apartments in Rockville, Maryland, the redevelopment of retail buildings in San Antonio, Texas and the completion of tenant work at the Woodmont East development in Bethesda, Maryland.</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On April 11, 2002, we sold the street retail property located at 252 Greenwich Avenue in Greenwich, Connecticut for $16.5 million, resulting in a gain of $7.0 million.</w:t>
      </w:r>
    </w:p>
    <w:p>
      <w:pPr>
        <w:spacing w:after="0" w:line="163" w:lineRule="exact"/>
        <w:rPr>
          <w:sz w:val="20"/>
          <w:szCs w:val="20"/>
          <w:color w:val="auto"/>
        </w:rPr>
      </w:pPr>
    </w:p>
    <w:p>
      <w:pPr>
        <w:ind w:right="3779" w:firstLine="861"/>
        <w:spacing w:after="0" w:line="252" w:lineRule="auto"/>
        <w:rPr>
          <w:sz w:val="20"/>
          <w:szCs w:val="20"/>
          <w:color w:val="auto"/>
        </w:rPr>
      </w:pPr>
      <w:r>
        <w:rPr>
          <w:rFonts w:ascii="Courier New" w:cs="Courier New" w:eastAsia="Courier New" w:hAnsi="Courier New"/>
          <w:sz w:val="14"/>
          <w:szCs w:val="14"/>
          <w:color w:val="auto"/>
        </w:rPr>
        <w:t>On April 30, 2002, we sold three street retail properties, two in Westport, Connecticut and one in Westfield, New Jersey, for $19.2 million, resulting in a gain of $6.9 million.</w:t>
      </w:r>
    </w:p>
    <w:p>
      <w:pPr>
        <w:spacing w:after="0" w:line="163" w:lineRule="exact"/>
        <w:rPr>
          <w:sz w:val="20"/>
          <w:szCs w:val="20"/>
          <w:color w:val="auto"/>
        </w:rPr>
      </w:pPr>
    </w:p>
    <w:p>
      <w:pPr>
        <w:jc w:val="both"/>
        <w:ind w:right="4019" w:firstLine="861"/>
        <w:spacing w:after="0" w:line="255" w:lineRule="auto"/>
        <w:rPr>
          <w:sz w:val="20"/>
          <w:szCs w:val="20"/>
          <w:color w:val="auto"/>
        </w:rPr>
      </w:pPr>
      <w:r>
        <w:rPr>
          <w:rFonts w:ascii="Courier New" w:cs="Courier New" w:eastAsia="Courier New" w:hAnsi="Courier New"/>
          <w:sz w:val="14"/>
          <w:szCs w:val="14"/>
          <w:color w:val="auto"/>
        </w:rPr>
        <w:t>On June 6, 2002, we sold the Uptown Shopping Center located in Portland, Oregon for $20.8 million, resulting in a gain of $4.5 million.</w:t>
      </w:r>
    </w:p>
    <w:p>
      <w:pPr>
        <w:spacing w:after="0" w:line="160"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proceeds from the sales of the four street retail properties and the Uptown Shopping Center were used to pay down our syndicated credit facility except $16.0 million which was used to pay down the Santana Row construction loan. As of December 31, 2002 all of the proceeds previously held by the qualified intermediary have been released to us.</w:t>
      </w:r>
    </w:p>
    <w:p>
      <w:pPr>
        <w:spacing w:after="0" w:line="165"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On June 18, 2002, a partnership, in which one of our subsidiaries is the general partner, sold the street retail property located at 6410 Hollywood Boulevard in Hollywood, California for $2.3 million, resulting in a gain of $700,000.</w:t>
      </w:r>
    </w:p>
    <w:p>
      <w:pPr>
        <w:spacing w:after="0" w:line="162"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On June 20, 2002, the proceeds of $6 million previously held by a qualified intermediary from the 2001 sale of the street retail property located at 101 East Oak Street in Chicago, Illinois were released to us.</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These property sales constitute discontinued operations and as such, the accompanying financial statements have been restated to reclassify the operations of these properties as discontinued operations. A summary of the financial information for the discontinued operations is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6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$ 2,134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$ 5,392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$ 5,092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Income from operations of discontinued operations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3,334</w:t>
            </w:r>
          </w:p>
        </w:tc>
      </w:tr>
    </w:tbl>
    <w:p>
      <w:pPr>
        <w:spacing w:after="0" w:line="33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On February 1, 2002, we received the minority partner's interest in Santana Row in exchange for a $2.6 million investment in a partnership. We made a $5.9 million loan to the partnership on January 12, 2001, that is due February 28, 2003. The loan was not repaid on the due date. We are currently exploring all available options we may have as a result of the borrowers failure to pay at maturity.</w:t>
      </w:r>
    </w:p>
    <w:p>
      <w:pPr>
        <w:spacing w:after="0" w:line="164" w:lineRule="exact"/>
        <w:rPr>
          <w:sz w:val="20"/>
          <w:szCs w:val="20"/>
          <w:color w:val="auto"/>
        </w:rPr>
      </w:pPr>
    </w:p>
    <w:p>
      <w:pPr>
        <w:jc w:val="both"/>
        <w:ind w:right="3859" w:firstLine="861"/>
        <w:spacing w:after="0" w:line="252" w:lineRule="auto"/>
        <w:rPr>
          <w:sz w:val="20"/>
          <w:szCs w:val="20"/>
          <w:color w:val="auto"/>
        </w:rPr>
      </w:pPr>
      <w:r>
        <w:rPr>
          <w:rFonts w:ascii="Courier New" w:cs="Courier New" w:eastAsia="Courier New" w:hAnsi="Courier New"/>
          <w:sz w:val="14"/>
          <w:szCs w:val="14"/>
          <w:color w:val="auto"/>
        </w:rPr>
        <w:t>Our 113 retail properties at December 31, 2002 are located in 14 states and the District of Columbia. There are approximately 2,100 tenants providing a wide range of retail products and</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F13 -</w:t>
      </w:r>
    </w:p>
    <w:p>
      <w:pPr>
        <w:sectPr>
          <w:pgSz w:w="11900" w:h="16838" w:orient="portrait"/>
          <w:cols w:equalWidth="0" w:num="1">
            <w:col w:w="10239"/>
          </w:cols>
          <w:pgMar w:left="220" w:top="616" w:right="1440" w:bottom="1440" w:gutter="0" w:footer="0" w:header="0"/>
        </w:sectPr>
      </w:pPr>
    </w:p>
    <w:bookmarkStart w:id="75" w:name="page76"/>
    <w:bookmarkEnd w:id="75"/>
    <w:p>
      <w:pPr>
        <w:ind w:right="3519"/>
        <w:spacing w:after="0" w:line="252" w:lineRule="auto"/>
        <w:rPr>
          <w:sz w:val="20"/>
          <w:szCs w:val="20"/>
          <w:color w:val="auto"/>
        </w:rPr>
      </w:pPr>
      <w:r>
        <w:rPr>
          <w:rFonts w:ascii="Courier New" w:cs="Courier New" w:eastAsia="Courier New" w:hAnsi="Courier New"/>
          <w:sz w:val="14"/>
          <w:szCs w:val="14"/>
          <w:color w:val="auto"/>
        </w:rPr>
        <w:t>services. These tenants range from sole proprietorships to national retailers; no one tenant or corporate group of tenants accounts for more than 2.5% of revenue.</w:t>
      </w:r>
    </w:p>
    <w:p>
      <w:pPr>
        <w:spacing w:after="0" w:line="163"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Mortgage notes receivable of $35.6 million are due over various terms from February 2003 to May 2021 and have an average weighted interest rate of</w:t>
      </w:r>
    </w:p>
    <w:p>
      <w:pPr>
        <w:spacing w:after="0" w:line="1"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10.2%. Under the terms of certain of these mortgages, we will receive additional interest based upon the gross income of the secured properties and, upon sale of the properties, we will share in the appreciation of the properties.</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Mortgages and construction loans payable and capital lease obligations are due in installments over various terms extending to 2016 and 2060, respectively, with interest rates ranging from 3.14% to 11.25%. Certain of the capital lease obligations require additional interest payments based upon property performance.</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On April 17, 2001 we closed on a $295 million construction loan for Santana Row in San Jose, California. The loan, which initially bore interest at LIBOR plus 212.5 basis points, was scheduled to mature on April 16, 2004 with two one-year extension options, subject to obtaining certain operating targets. The construction loan required fees and had various covenants including the maintenance of a minimum shareholders' equity and a maximum ratio of debt to gross asset value. The initial funding of the construction loan took place on August 23, 2001 when the equity and pre-leasing requirements were met. On November 19, 2002 we used the proceeds from our $150 million public note offering, as well as $20 million of available insurance proceeds relating to the Santana Row fire and approximately $7.1 million in borrowings under our credit facility, to pay in full and retire the Santana Row construction loan.</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At December 31, 2002 there was $24.4 million borrowed under the construction loan for our Woodmont East development in Bethesda, Maryland. The loan had a floating interest rate of LIBOR plus 120 basis points. On February 11, 2003 the $24.4 million Woodmont East construction loan and the $17.0 million Friendship Center mortgage were paid off through borrowings under our revolving credit facility.</w:t>
      </w:r>
    </w:p>
    <w:p>
      <w:pPr>
        <w:spacing w:after="0" w:line="164" w:lineRule="exact"/>
        <w:rPr>
          <w:sz w:val="20"/>
          <w:szCs w:val="20"/>
          <w:color w:val="auto"/>
        </w:rPr>
      </w:pPr>
    </w:p>
    <w:p>
      <w:pPr>
        <w:ind w:right="4019" w:firstLine="861"/>
        <w:spacing w:after="0" w:line="255" w:lineRule="auto"/>
        <w:rPr>
          <w:sz w:val="20"/>
          <w:szCs w:val="20"/>
          <w:color w:val="auto"/>
        </w:rPr>
      </w:pPr>
      <w:r>
        <w:rPr>
          <w:rFonts w:ascii="Courier New" w:cs="Courier New" w:eastAsia="Courier New" w:hAnsi="Courier New"/>
          <w:sz w:val="14"/>
          <w:szCs w:val="14"/>
          <w:color w:val="auto"/>
        </w:rPr>
        <w:t>Scheduled principal payments on mortgage and construction loan indebtedness as of December 31, 2002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5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3"/>
                <w:szCs w:val="13"/>
                <w:color w:val="auto"/>
                <w:w w:val="71"/>
              </w:rPr>
              <w:t>2003.....................................................</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42,149</w:t>
            </w:r>
          </w:p>
        </w:tc>
      </w:tr>
      <w:tr>
        <w:trPr>
          <w:trHeight w:val="16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2004.....................................................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2,659</w:t>
            </w:r>
          </w:p>
        </w:tc>
      </w:tr>
      <w:tr>
        <w:trPr>
          <w:trHeight w:val="16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2005.....................................................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2,896</w:t>
            </w:r>
          </w:p>
        </w:tc>
      </w:tr>
      <w:tr>
        <w:trPr>
          <w:trHeight w:val="16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2006.....................................................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3,227</w:t>
            </w:r>
          </w:p>
        </w:tc>
      </w:tr>
      <w:tr>
        <w:trPr>
          <w:trHeight w:val="16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2007.....................................................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3,481</w:t>
            </w:r>
          </w:p>
        </w:tc>
      </w:tr>
      <w:tr>
        <w:trPr>
          <w:trHeight w:val="16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Thereafter...............................................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234,405</w:t>
            </w:r>
          </w:p>
        </w:tc>
      </w:tr>
      <w:tr>
        <w:trPr>
          <w:trHeight w:val="166"/>
        </w:trPr>
        <w:tc>
          <w:tcPr>
            <w:tcW w:w="320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288,817</w:t>
            </w:r>
          </w:p>
        </w:tc>
      </w:tr>
      <w:tr>
        <w:trPr>
          <w:trHeight w:val="166"/>
        </w:trPr>
        <w:tc>
          <w:tcPr>
            <w:tcW w:w="320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4"/>
                <w:szCs w:val="24"/>
                <w:color w:val="auto"/>
              </w:rPr>
            </w:pPr>
          </w:p>
        </w:tc>
        <w:tc>
          <w:tcPr>
            <w:tcW w:w="2580" w:type="dxa"/>
            <w:vAlign w:val="bottom"/>
          </w:tcPr>
          <w:p>
            <w:pPr>
              <w:jc w:val="right"/>
              <w:ind w:right="1908"/>
              <w:spacing w:after="0"/>
              <w:rPr>
                <w:sz w:val="20"/>
                <w:szCs w:val="20"/>
                <w:color w:val="auto"/>
              </w:rPr>
            </w:pPr>
            <w:r>
              <w:rPr>
                <w:rFonts w:ascii="Courier New" w:cs="Courier New" w:eastAsia="Courier New" w:hAnsi="Courier New"/>
                <w:sz w:val="14"/>
                <w:szCs w:val="14"/>
                <w:color w:val="auto"/>
                <w:w w:val="98"/>
              </w:rPr>
              <w:t>- F14 -</w:t>
            </w:r>
          </w:p>
        </w:tc>
        <w:tc>
          <w:tcPr>
            <w:tcW w:w="6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6" w:name="page77"/>
    <w:bookmarkEnd w:id="76"/>
    <w:p>
      <w:pPr>
        <w:jc w:val="both"/>
        <w:ind w:right="3679" w:firstLine="861"/>
        <w:spacing w:after="0" w:line="255" w:lineRule="auto"/>
        <w:rPr>
          <w:sz w:val="20"/>
          <w:szCs w:val="20"/>
          <w:color w:val="auto"/>
        </w:rPr>
      </w:pPr>
      <w:r>
        <w:rPr>
          <w:rFonts w:ascii="Courier New" w:cs="Courier New" w:eastAsia="Courier New" w:hAnsi="Courier New"/>
          <w:sz w:val="14"/>
          <w:szCs w:val="14"/>
          <w:color w:val="auto"/>
        </w:rPr>
        <w:t>Future minimum lease payments and their present value for property under capital leases as of December 31, 2002,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9,345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9,301</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9,252</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9,199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9,159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398,402</w:t>
            </w:r>
          </w:p>
        </w:tc>
      </w:tr>
      <w:tr>
        <w:trPr>
          <w:trHeight w:val="166"/>
        </w:trPr>
        <w:tc>
          <w:tcPr>
            <w:tcW w:w="526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444,658</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(340,263)</w:t>
            </w:r>
          </w:p>
        </w:tc>
      </w:tr>
      <w:tr>
        <w:trPr>
          <w:trHeight w:val="166"/>
        </w:trPr>
        <w:tc>
          <w:tcPr>
            <w:tcW w:w="526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Present value............................................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104,395</w:t>
            </w:r>
          </w:p>
        </w:tc>
      </w:tr>
      <w:tr>
        <w:trPr>
          <w:trHeight w:val="166"/>
        </w:trPr>
        <w:tc>
          <w:tcPr>
            <w:tcW w:w="526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Arrangements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Our leases with retail property and apartment tenants are classified as operating leases. Leases on apartments are generally for a period of one year of less. Retail property leases generally range from three to 10 years (certain leases with anchor tenants may be longer), and usually provide for contingent rentals based on sales and sharing of certain operating costs.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rental income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r>
      <w:tr>
        <w:trPr>
          <w:trHeight w:val="166"/>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980" w:type="dxa"/>
            <w:vAlign w:val="bottom"/>
          </w:tcPr>
          <w:p>
            <w:pPr>
              <w:spacing w:after="0"/>
              <w:rPr>
                <w:sz w:val="14"/>
                <w:szCs w:val="14"/>
                <w:color w:val="auto"/>
              </w:rPr>
            </w:pPr>
          </w:p>
        </w:tc>
        <w:tc>
          <w:tcPr>
            <w:tcW w:w="12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Retail and mixed-use properties</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Minimum rents............................</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236,451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$ 219,071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$ 204,346</w:t>
            </w:r>
          </w:p>
        </w:tc>
      </w:tr>
      <w:tr>
        <w:trPr>
          <w:trHeight w:val="166"/>
        </w:trPr>
        <w:tc>
          <w:tcPr>
            <w:tcW w:w="3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 reimbursements......................</w:t>
            </w:r>
          </w:p>
        </w:tc>
        <w:tc>
          <w:tcPr>
            <w:tcW w:w="4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52,669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46,619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42,292</w:t>
            </w:r>
          </w:p>
        </w:tc>
      </w:tr>
      <w:tr>
        <w:trPr>
          <w:trHeight w:val="166"/>
        </w:trPr>
        <w:tc>
          <w:tcPr>
            <w:tcW w:w="3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Percentage rent..........................</w:t>
            </w:r>
          </w:p>
        </w:tc>
        <w:tc>
          <w:tcPr>
            <w:tcW w:w="4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5,637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6,206</w:t>
            </w:r>
          </w:p>
        </w:tc>
      </w:tr>
      <w:tr>
        <w:trPr>
          <w:trHeight w:val="166"/>
        </w:trPr>
        <w:tc>
          <w:tcPr>
            <w:tcW w:w="3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Apartments - rents.........................</w:t>
            </w:r>
          </w:p>
        </w:tc>
        <w:tc>
          <w:tcPr>
            <w:tcW w:w="4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3,328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2,790</w:t>
            </w:r>
          </w:p>
        </w:tc>
      </w:tr>
      <w:tr>
        <w:trPr>
          <w:trHeight w:val="166"/>
        </w:trPr>
        <w:tc>
          <w:tcPr>
            <w:tcW w:w="3980" w:type="dxa"/>
            <w:vAlign w:val="bottom"/>
          </w:tcPr>
          <w:p>
            <w:pPr>
              <w:spacing w:after="0"/>
              <w:rPr>
                <w:sz w:val="14"/>
                <w:szCs w:val="14"/>
                <w:color w:val="auto"/>
              </w:rPr>
            </w:pPr>
          </w:p>
        </w:tc>
        <w:tc>
          <w:tcPr>
            <w:tcW w:w="12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298,085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$ 274,567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$ 255,634</w:t>
            </w:r>
          </w:p>
        </w:tc>
      </w:tr>
      <w:tr>
        <w:trPr>
          <w:trHeight w:val="166"/>
        </w:trPr>
        <w:tc>
          <w:tcPr>
            <w:tcW w:w="3980" w:type="dxa"/>
            <w:vAlign w:val="bottom"/>
          </w:tcPr>
          <w:p>
            <w:pPr>
              <w:spacing w:after="0"/>
              <w:rPr>
                <w:sz w:val="14"/>
                <w:szCs w:val="14"/>
                <w:color w:val="auto"/>
              </w:rPr>
            </w:pPr>
          </w:p>
        </w:tc>
        <w:tc>
          <w:tcPr>
            <w:tcW w:w="12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rental expense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52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2002</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42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w w:val="88"/>
              </w:rPr>
              <w:t>Repairs and maintenance....................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18,804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17,177</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16,404</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Management fees and costs..................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12,342</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11,764</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9,684</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Utilities..................................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9,011</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8,061</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8,018</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Payroll - properties.......................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5,947</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4,558</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4,364</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Ground rent................................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4,801</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3,698</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3,190</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Insurance..................................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4,226</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3,104</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2,853</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Other operating............................</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18,460</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14,353</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11,118</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73,591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62,715</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55,631</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200" w:type="dxa"/>
            <w:vAlign w:val="bottom"/>
          </w:tcPr>
          <w:p>
            <w:pPr>
              <w:spacing w:after="0"/>
              <w:rPr>
                <w:sz w:val="24"/>
                <w:szCs w:val="2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 F15 -</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7" w:name="page78"/>
    <w:bookmarkEnd w:id="77"/>
    <w:p>
      <w:pPr>
        <w:ind w:right="3339" w:firstLine="861"/>
        <w:spacing w:after="0" w:line="252" w:lineRule="auto"/>
        <w:rPr>
          <w:sz w:val="20"/>
          <w:szCs w:val="20"/>
          <w:color w:val="auto"/>
        </w:rPr>
      </w:pPr>
      <w:r>
        <w:rPr>
          <w:rFonts w:ascii="Courier New" w:cs="Courier New" w:eastAsia="Courier New" w:hAnsi="Courier New"/>
          <w:sz w:val="14"/>
          <w:szCs w:val="14"/>
          <w:color w:val="auto"/>
        </w:rPr>
        <w:t>Minimum future retail property rentals on noncancelable operating leases, before any reserve for uncollectible amounts, on operating properties as of December 31, 2002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30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246,447</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231,629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210,896</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187,169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160,751</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928,069</w:t>
            </w:r>
          </w:p>
        </w:tc>
      </w:tr>
      <w:tr>
        <w:trPr>
          <w:trHeight w:val="166"/>
        </w:trPr>
        <w:tc>
          <w:tcPr>
            <w:tcW w:w="5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$ 1,964,961</w:t>
            </w:r>
          </w:p>
        </w:tc>
      </w:tr>
      <w:tr>
        <w:trPr>
          <w:trHeight w:val="166"/>
        </w:trPr>
        <w:tc>
          <w:tcPr>
            <w:tcW w:w="5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FAIR VALUE OF FINANCIAL INSTRUMENTS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following disclosure of estimated fair value was determined by us, using available market information and 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65"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We estimate the fair value of our financial instruments using the following methods and assumptions: (1) quoted market prices, when available, are used to estimate the fair value of investments in marketable debt and equity securities; (2) quoted market prices are used to estimate the fair value of our marketable convertible subordinated debentures; (3) discounted cash flow analyses are used to estimate the fair value of mortgage notes receivable and payable, using our estimate of current interest rates for similar notes, in 2002 the carrying amount on the balance sheet was used to approximate fair value for mortgage notes receivable since these notes are for specific deals, some contain participation provisions based on the property performance and also are convertible into ownership of the properties; (4) carrying amounts on the balance sheet approximate fair value for cash, accounts payable, accrued expenses and short term borrowings. Notes receivable from officers are excluded from fair value estimation since they have been issued in connection with employee stock ownership programs.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6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December 31, 2002</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December 31, 2001</w:t>
            </w:r>
          </w:p>
        </w:tc>
      </w:tr>
      <w:tr>
        <w:trPr>
          <w:trHeight w:val="166"/>
        </w:trPr>
        <w:tc>
          <w:tcPr>
            <w:tcW w:w="3200" w:type="dxa"/>
            <w:vAlign w:val="bottom"/>
          </w:tcPr>
          <w:p>
            <w:pPr>
              <w:spacing w:after="0"/>
              <w:rPr>
                <w:sz w:val="14"/>
                <w:szCs w:val="14"/>
                <w:color w:val="auto"/>
              </w:rPr>
            </w:pP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Carrying</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Fair</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Carrying</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Fair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580" w:type="dxa"/>
            <w:vAlign w:val="bottom"/>
          </w:tcPr>
          <w:p>
            <w:pPr>
              <w:ind w:left="860"/>
              <w:spacing w:after="0"/>
              <w:rPr>
                <w:sz w:val="20"/>
                <w:szCs w:val="20"/>
                <w:color w:val="auto"/>
              </w:rPr>
            </w:pPr>
            <w:r>
              <w:rPr>
                <w:rFonts w:ascii="Courier New" w:cs="Courier New" w:eastAsia="Courier New" w:hAnsi="Courier New"/>
                <w:sz w:val="14"/>
                <w:szCs w:val="14"/>
                <w:color w:val="auto"/>
              </w:rPr>
              <w:t>Value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Value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320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w w:val="92"/>
              </w:rPr>
              <w:t>Cash &amp; equivalents.......................</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23,123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$ 23,123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$ 17,563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$ 17,563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w w:val="92"/>
              </w:rPr>
              <w:t>Investments..............................</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5,929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5,929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2,739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2,739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Mortgage notes</w:t>
            </w: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w w:val="91"/>
              </w:rPr>
              <w:t>receivable..............................</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35,577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35,577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35,607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36,427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Mortgages and construction loans and</w:t>
            </w: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w w:val="91"/>
              </w:rPr>
              <w:t>notes payable...........................</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487,128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543,535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524,886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559,179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w w:val="92"/>
              </w:rPr>
              <w:t>Convertible debentures...................</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75,103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75,289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70,696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w w:val="92"/>
              </w:rPr>
              <w:t>Senior notes.............................</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535,000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581,293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410,000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425,970</w:t>
            </w:r>
          </w:p>
        </w:tc>
      </w:tr>
      <w:tr>
        <w:trPr>
          <w:trHeight w:val="497"/>
        </w:trPr>
        <w:tc>
          <w:tcPr>
            <w:tcW w:w="3200" w:type="dxa"/>
            <w:vAlign w:val="bottom"/>
          </w:tcPr>
          <w:p>
            <w:pPr>
              <w:spacing w:after="0"/>
              <w:rPr>
                <w:sz w:val="24"/>
                <w:szCs w:val="24"/>
                <w:color w:val="auto"/>
              </w:rPr>
            </w:pPr>
          </w:p>
        </w:tc>
        <w:tc>
          <w:tcPr>
            <w:tcW w:w="1580" w:type="dxa"/>
            <w:vAlign w:val="bottom"/>
          </w:tcPr>
          <w:p>
            <w:pPr>
              <w:jc w:val="right"/>
              <w:ind w:right="908"/>
              <w:spacing w:after="0"/>
              <w:rPr>
                <w:sz w:val="20"/>
                <w:szCs w:val="20"/>
                <w:color w:val="auto"/>
              </w:rPr>
            </w:pPr>
            <w:r>
              <w:rPr>
                <w:rFonts w:ascii="Courier New" w:cs="Courier New" w:eastAsia="Courier New" w:hAnsi="Courier New"/>
                <w:sz w:val="14"/>
                <w:szCs w:val="14"/>
                <w:color w:val="auto"/>
                <w:w w:val="98"/>
              </w:rPr>
              <w:t>- F16 -</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NOTE 4. NOTES PAYABLE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Our notes payable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720" w:type="dxa"/>
            <w:vAlign w:val="bottom"/>
          </w:tcPr>
          <w:p>
            <w:pPr>
              <w:spacing w:after="0"/>
              <w:rPr>
                <w:sz w:val="14"/>
                <w:szCs w:val="14"/>
                <w:color w:val="auto"/>
              </w:rPr>
            </w:pP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Revolving credit facilities</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44,000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Term note with banks</w:t>
            </w:r>
          </w:p>
        </w:tc>
        <w:tc>
          <w:tcPr>
            <w:tcW w:w="5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5,843</w:t>
            </w:r>
          </w:p>
        </w:tc>
      </w:tr>
      <w:tr>
        <w:trPr>
          <w:trHeight w:val="166"/>
        </w:trPr>
        <w:tc>
          <w:tcPr>
            <w:tcW w:w="2720" w:type="dxa"/>
            <w:vAlign w:val="bottom"/>
          </w:tcPr>
          <w:p>
            <w:pPr>
              <w:spacing w:after="0"/>
              <w:rPr>
                <w:sz w:val="14"/>
                <w:szCs w:val="14"/>
                <w:color w:val="auto"/>
              </w:rPr>
            </w:pP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4"/>
                <w:szCs w:val="2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198,311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$ 174,843</w:t>
            </w:r>
          </w:p>
        </w:tc>
      </w:tr>
      <w:tr>
        <w:trPr>
          <w:trHeight w:val="166"/>
        </w:trPr>
        <w:tc>
          <w:tcPr>
            <w:tcW w:w="2720" w:type="dxa"/>
            <w:vAlign w:val="bottom"/>
          </w:tcPr>
          <w:p>
            <w:pPr>
              <w:spacing w:after="0"/>
              <w:rPr>
                <w:sz w:val="14"/>
                <w:szCs w:val="14"/>
                <w:color w:val="auto"/>
              </w:rPr>
            </w:pP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In December 1997, we obtained a five year syndicated revolving credit facility for $300 million due December 2002. The syndicated facility requires fees and has various covenants including the maintenance of a minimum shareholders' equity and a maximum ratio of debt to net worth. In June 2000, we modified certain covenants and extended the maturity date to December 19, 2003. The current borrowing rate on the syndicated credit facility is LIBOR plus 80 basis points.</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December 1998, we obtained a four year loan of $125 million from five institutional lenders. The loan was originally due December 2002 and was extended to December 19, 2003 along with the syndicated credit facility. The loan requires the payment of certain fees and has the same covenants as the syndicated credit facility. The current borrowing rate on the term loan is LIBOR plus 95 basis points.</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maximum amount drawn under these facilities during 2002, 2001 and 2000 was $225.0 million, $308.5 million and $343.1 million, respectively. In 2002, 2001 and 2000 the weighted average interest rate on borrowings was 5.0%, 5.6% and 7.2%, respectively, and the average amount outstanding was $189.1 million, $269.7 million and $283.2 million, respectively.</w:t>
      </w:r>
    </w:p>
    <w:p>
      <w:pPr>
        <w:spacing w:after="0" w:line="165"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A $3.4 million note issued in connection with the land held for future development in Hillsboro, Oregon was repaid on June 18, 2002.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5 1/4% CONVERTIBLE SUBORDINATED DEBENTURES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October 1993, we issued $75.0 million of 5 1/4% convertible subordinated debentures, realizing cash proceeds of approximately $73.0 million. The debentures were not registered under the Securities Act of 1933 and were not publicly distributed within the United States. The debentures, which mature on October 28, 2003, are convertible into shares of beneficial interest at $36 per share. The debentures are redeemable by us, in whole, at any time after October 28, 1998 at 100% of the principal amount plus accrued interest.</w:t>
      </w:r>
    </w:p>
    <w:p>
      <w:pPr>
        <w:spacing w:after="0" w:line="164" w:lineRule="exact"/>
        <w:rPr>
          <w:sz w:val="20"/>
          <w:szCs w:val="20"/>
          <w:color w:val="auto"/>
        </w:rPr>
      </w:pPr>
    </w:p>
    <w:p>
      <w:pPr>
        <w:jc w:val="both"/>
        <w:ind w:right="3599" w:firstLine="861"/>
        <w:spacing w:after="0" w:line="251" w:lineRule="auto"/>
        <w:rPr>
          <w:sz w:val="20"/>
          <w:szCs w:val="20"/>
          <w:color w:val="auto"/>
        </w:rPr>
      </w:pPr>
      <w:r>
        <w:rPr>
          <w:rFonts w:ascii="Courier New" w:cs="Courier New" w:eastAsia="Courier New" w:hAnsi="Courier New"/>
          <w:sz w:val="14"/>
          <w:szCs w:val="14"/>
          <w:color w:val="auto"/>
        </w:rPr>
        <w:t>At December 2001, we had outstanding $289,000 of 5 1/4% convertible subordinated debentures which were paid off on April 29, 2002. The debentures which were convertible into shares of beneficial interest at $30.625 were not registered under the Securities Act of 1933 and were not publicly distributed within the United States.</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F17 -</w:t>
      </w:r>
    </w:p>
    <w:p>
      <w:pPr>
        <w:sectPr>
          <w:pgSz w:w="11900" w:h="16838" w:orient="portrait"/>
          <w:cols w:equalWidth="0" w:num="1">
            <w:col w:w="10239"/>
          </w:cols>
          <w:pgMar w:left="220" w:top="616" w:right="1440" w:bottom="1440" w:gutter="0" w:footer="0" w:header="0"/>
        </w:sectPr>
      </w:pPr>
    </w:p>
    <w:bookmarkStart w:id="79" w:name="page80"/>
    <w:bookmarkEnd w:id="79"/>
    <w:p>
      <w:pPr>
        <w:ind w:right="3339" w:firstLine="861"/>
        <w:spacing w:after="0" w:line="252" w:lineRule="auto"/>
        <w:rPr>
          <w:sz w:val="20"/>
          <w:szCs w:val="20"/>
          <w:color w:val="auto"/>
        </w:rPr>
      </w:pPr>
      <w:r>
        <w:rPr>
          <w:rFonts w:ascii="Courier New" w:cs="Courier New" w:eastAsia="Courier New" w:hAnsi="Courier New"/>
          <w:sz w:val="14"/>
          <w:szCs w:val="14"/>
          <w:color w:val="auto"/>
        </w:rPr>
        <w:t>There are no significant financial covenants on these debentures. We are in compliance with the terms and covenants of these borrowings. No principal is due on these notes prior to maturity.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SENIOR NOTES AND DEBENTURES</w:t>
      </w:r>
    </w:p>
    <w:p>
      <w:pPr>
        <w:spacing w:after="0" w:line="173"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Unsecured senior notes and debentures at December 31, 2002 and 2001 consist of the following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32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8% Notes due April 21, 2002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6.74%</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Medium-Term Notes due March 10, 2004</w:t>
            </w:r>
          </w:p>
        </w:tc>
        <w:tc>
          <w:tcPr>
            <w:tcW w:w="1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39,500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39,500</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6.625% Notes due December 1, 2005</w:t>
            </w:r>
          </w:p>
        </w:tc>
        <w:tc>
          <w:tcPr>
            <w:tcW w:w="1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6.99%</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Medium-Term Notes due March 10, 2006</w:t>
            </w:r>
          </w:p>
        </w:tc>
        <w:tc>
          <w:tcPr>
            <w:tcW w:w="1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40,500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40,500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6.82%</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Medium-Term Notes due August 1, 2027,</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8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redeemable at par by holder August 1, 2007</w:t>
            </w:r>
          </w:p>
        </w:tc>
        <w:tc>
          <w:tcPr>
            <w:tcW w:w="1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6.125% Notes due November 15, 2007</w:t>
            </w:r>
          </w:p>
        </w:tc>
        <w:tc>
          <w:tcPr>
            <w:tcW w:w="1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150,000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7.48%</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Debentures due August 15, 2026,</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8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redeemable at par by holder August 15, 2008</w:t>
            </w:r>
          </w:p>
        </w:tc>
        <w:tc>
          <w:tcPr>
            <w:tcW w:w="1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50,000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8.75%</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Notes due December 1, 2009</w:t>
            </w:r>
          </w:p>
        </w:tc>
        <w:tc>
          <w:tcPr>
            <w:tcW w:w="1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175,000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175,000</w:t>
            </w:r>
          </w:p>
        </w:tc>
      </w:tr>
      <w:tr>
        <w:trPr>
          <w:trHeight w:val="166"/>
        </w:trPr>
        <w:tc>
          <w:tcPr>
            <w:tcW w:w="4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$ 535,000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410,000</w:t>
            </w:r>
          </w:p>
        </w:tc>
      </w:tr>
      <w:tr>
        <w:trPr>
          <w:trHeight w:val="166"/>
        </w:trPr>
        <w:tc>
          <w:tcPr>
            <w:tcW w:w="4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679" w:firstLine="861"/>
        <w:spacing w:after="0" w:line="255" w:lineRule="auto"/>
        <w:rPr>
          <w:sz w:val="20"/>
          <w:szCs w:val="20"/>
          <w:color w:val="auto"/>
        </w:rPr>
      </w:pPr>
      <w:r>
        <w:rPr>
          <w:rFonts w:ascii="Courier New" w:cs="Courier New" w:eastAsia="Courier New" w:hAnsi="Courier New"/>
          <w:sz w:val="14"/>
          <w:szCs w:val="14"/>
          <w:color w:val="auto"/>
        </w:rPr>
        <w:t>On April 22, 2002 our $25 million 8.0% Notes matured and were paid with borrowings from our syndicated credit facilities.</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On November 19, 2002, we completed the sale of $150 million of senior notes in an underwritten public offering under its shelf registration statement declared effective by the SEC on September 30, 1998. Net proceeds, after deducting the discounts and commissions to the underwriters and other expenses of this offering, totaled approximately $148.7 million. The net proceeds, together with $20 million in available insurance proceeds relating to the Santana Row fire, and approximately $7.1 million in borrowings under our credit facility, to pay in full and retire the Santana Row construction loan, including all interest owed on the loan.</w:t>
      </w:r>
    </w:p>
    <w:p>
      <w:pPr>
        <w:spacing w:after="0" w:line="164"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The loan agreements contain various covenants, including limitations on the amount of debt and minimum debt service coverage ratios. We are in compliance with all covenants. No principal is due on these notes prior to maturity.</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October 2002, we filed a $500 million shelf registration statement, declared effective on November 6, 2002, with the Securities and Exchange Commission which allows the issuance of debt securities, preferred shares and common shares. As of December 31, 2002, the entire $500 million is available under the shelf registration.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DIVIDENDS</w:t>
      </w:r>
    </w:p>
    <w:p>
      <w:pPr>
        <w:spacing w:after="0" w:line="173" w:lineRule="exact"/>
        <w:rPr>
          <w:sz w:val="20"/>
          <w:szCs w:val="20"/>
          <w:color w:val="auto"/>
        </w:rPr>
      </w:pPr>
    </w:p>
    <w:p>
      <w:pPr>
        <w:ind w:right="3339" w:firstLine="861"/>
        <w:spacing w:after="0" w:line="253" w:lineRule="auto"/>
        <w:rPr>
          <w:sz w:val="20"/>
          <w:szCs w:val="20"/>
          <w:color w:val="auto"/>
        </w:rPr>
      </w:pPr>
      <w:r>
        <w:rPr>
          <w:rFonts w:ascii="Courier New" w:cs="Courier New" w:eastAsia="Courier New" w:hAnsi="Courier New"/>
          <w:sz w:val="14"/>
          <w:szCs w:val="14"/>
          <w:color w:val="auto"/>
        </w:rPr>
        <w:t>On October 29, 2002 the Trustees declared a quarterly cash dividend of $.485 per common share, payable January 15, 2003 to common shareholders of record January 2, 2003. The total dividend declared per common share for 2002 was $1.93.</w:t>
      </w:r>
    </w:p>
    <w:p>
      <w:pPr>
        <w:spacing w:after="0" w:line="327"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Also on October 29, 2002 and December 12, 2002 the Trustees declared a quarterly cash dividend of $.49688 per share on its Series A Cumulative Redeemable Preferred Shares, payable</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F18 -</w:t>
      </w:r>
    </w:p>
    <w:p>
      <w:pPr>
        <w:sectPr>
          <w:pgSz w:w="11900" w:h="16838" w:orient="portrait"/>
          <w:cols w:equalWidth="0" w:num="1">
            <w:col w:w="10239"/>
          </w:cols>
          <w:pgMar w:left="220" w:top="616"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on January 31,</w:t>
            </w: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2003 to shareholders of record</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on January</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15, 2003 and a</w:t>
            </w:r>
          </w:p>
        </w:tc>
        <w:tc>
          <w:tcPr>
            <w:tcW w:w="74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quarterly cash</w:t>
            </w: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dividend of $.532 per share on</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its Series</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 Cumulative Redeemable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Preferred Shares,</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payable on January 31, 2003</w:t>
            </w:r>
          </w:p>
        </w:tc>
        <w:tc>
          <w:tcPr>
            <w:tcW w:w="22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 shareholders of record</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on</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January 15, 2003,</w:t>
            </w:r>
          </w:p>
        </w:tc>
        <w:tc>
          <w:tcPr>
            <w:tcW w:w="240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respectively.</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0"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For the year ended December 31, 2002 $.37 of dividends paid per common share and per Series B preferred share represent a capital gain. $.38 of dividends paid per Series A preferred share represents a capital gain. There were no capital gains in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COMMITMENTS AND CONTINGENCIES</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Pentagon Row is a mixed-use project with the retail component developed by the Trust and the residential component developed by an unrelated developer. In October 2000 the general contractor on the project was replaced because of schedule delays and other events that caused both the residential developer and us to conclude that the original contractor was either unable or unwilling to comply with its contractual obligations. We both filed suit against the original contractor to recover damages that were being incurred as a result of defaults under the contract. The original contractor filed a counterclaim against both of us. On May 9, 2002 the residential developer and ourselves entered into a settlement agreement with the original contractor in which a full settlement, totaling $5 million payable to us and the residential developer, was reached for all claims and counterclaims between the parties involved. On June 7, 2002 the original contractor paid into an escrow account the agreed upon settlement amount. This settlement was distributed, $3 million to us, which offset our cost of the development, and $2 million to the residential developer, in July 2002.</w:t>
      </w:r>
    </w:p>
    <w:p>
      <w:pPr>
        <w:spacing w:after="0" w:line="328" w:lineRule="exact"/>
        <w:rPr>
          <w:sz w:val="20"/>
          <w:szCs w:val="20"/>
          <w:color w:val="auto"/>
        </w:rPr>
      </w:pPr>
    </w:p>
    <w:p>
      <w:pPr>
        <w:ind w:right="3779" w:firstLine="861"/>
        <w:spacing w:after="0" w:line="252" w:lineRule="auto"/>
        <w:rPr>
          <w:sz w:val="20"/>
          <w:szCs w:val="20"/>
          <w:color w:val="auto"/>
        </w:rPr>
      </w:pPr>
      <w:r>
        <w:rPr>
          <w:rFonts w:ascii="Courier New" w:cs="Courier New" w:eastAsia="Courier New" w:hAnsi="Courier New"/>
          <w:sz w:val="14"/>
          <w:szCs w:val="14"/>
          <w:color w:val="auto"/>
        </w:rPr>
        <w:t>In addition, we are involved in various other lawsuits and environmental matters arising in the normal course of business. Management believes that such matters will not have a material effect on our financial condition or results of operations.</w:t>
      </w:r>
    </w:p>
    <w:p>
      <w:pPr>
        <w:spacing w:after="0" w:line="162"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As detailed at Note 1, "Summary of Significant Accounting Policies - Investment in Restaurant Joint Ventures at Santana Row," we are currently committed to invest approximately $8.0 million in these joint ventures. As of December 31, 2002 we have invested approximately $5.0 million. We anticipate investing the remaining commitment of $3.0 million in the first six months of 2003.</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Under the terms of the Congressional Plaza partnership agreement, from and after January 1, 1986 Rockville Plaza Company ("RPC"), an unaffiliated third party, has the right to require us and the two other minority partners to purchase from half to all of RPC's 37.5% interest in Congressional Plaza at the interest's then-current fair market value. Based on management's current estimate of fair market value, our estimated liability upon exercise of the put option is approximately $27.5 million. In conjunction with a redevelopment currently taking place at the property, we have agreed to acquire an additional 7.5% interest in Congressional Plaza from RPC, thereby lowering their ownership percentage to 30%, in exchange for funding approximately $7 million of RPC's share of the redevelopment cost. The funding will take place through the first quarter of 2003 and the transaction will be completed in 2003. After the completion of this transaction, our estimated liability upon the exercise of the put option will be approximately $22 million.</w:t>
      </w:r>
    </w:p>
    <w:p>
      <w:pPr>
        <w:spacing w:after="0" w:line="162"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Under the terms of various other partnerships which own shopping center properties with a cost of approximately $71 million, the partners may exchange their 796,773 operating units for cash or the same number of our common shares, at our option. During the second quarter of 2002</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F19 -</w:t>
      </w:r>
    </w:p>
    <w:p>
      <w:pPr>
        <w:sectPr>
          <w:pgSz w:w="11900" w:h="16838" w:orient="portrait"/>
          <w:cols w:equalWidth="0" w:num="1">
            <w:col w:w="10239"/>
          </w:cols>
          <w:pgMar w:left="220" w:top="616" w:right="1440" w:bottom="1440" w:gutter="0" w:footer="0" w:header="0"/>
        </w:sectPr>
      </w:pPr>
    </w:p>
    <w:bookmarkStart w:id="81" w:name="page82"/>
    <w:bookmarkEnd w:id="81"/>
    <w:p>
      <w:pPr>
        <w:ind w:right="3339"/>
        <w:spacing w:after="0" w:line="252" w:lineRule="auto"/>
        <w:rPr>
          <w:sz w:val="20"/>
          <w:szCs w:val="20"/>
          <w:color w:val="auto"/>
        </w:rPr>
      </w:pPr>
      <w:r>
        <w:rPr>
          <w:rFonts w:ascii="Courier New" w:cs="Courier New" w:eastAsia="Courier New" w:hAnsi="Courier New"/>
          <w:sz w:val="14"/>
          <w:szCs w:val="14"/>
          <w:color w:val="auto"/>
        </w:rPr>
        <w:t>we issued 100,000 of our common shares valued at $2.8 million in exchange for 100,000 operating units and cash of $205,000 in exchange for an additional 7,816 operating units. On February 14, 2003 we paid $333,000 to redeem an additional 12,000 operating units.</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net operating income. The purchase price may be paid in cash or for two of the partnerships, a limited number of our common shares at the election of the other partners. In certain of the partnerships, if the other partners do not redeem their interest, we may choose to purchase the limited partnership interests upon the same terms.</w:t>
      </w:r>
    </w:p>
    <w:p>
      <w:pPr>
        <w:spacing w:after="0" w:line="164"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Street Retail San Antonio LP, a wholly-owned subsidiary of the Trust, entered into a Development Agreement (the "Agreement") on March 13, 2000 with the City of San Antonio, Texas (the "City") related to the redevelopment of land and buildings that we own along Houston Street in the City. Houston Street and the surrounding area have been designated by the City as a Reinvestment Zone (the "Zone"). The City has agreed to facilitate redevelopment of the Zone by undertaking and financing certain public improvements based on our agreement to redevelop our properties in the Zone. Under the terms of the Agreement, the City issued debt to fund specific public improvements within the Zone. The initial and primary source of funding to the City for repayment of the debt and debt service is the incremental tax revenue that accretes to the City as the taxable value of the redeveloped properties within the Zone increase. We are required to issue an annual letter of credit, commencing on October 1, 2002 through September 30, 2014, that covers our designated portion of the debt service should the incremental tax revenue generated not cover the debt service. We posted a letter of credit with the City on September 25, 2002 for $795,000. Our obligation under this agreement cannot be determined at this time because it is dependent on the annual assessed value of the properties in the Zone and the related tax revenue generated. We were not required to provide any funding in 2002 or for the semi-annual payment due March 15, 2003. Based on the current assessed value of the properties in the Zone, we expect to provide some funding under the Agreement prior to its expiration on September 30, 2014, but anticipate that our obligation will not exceed $600,000 in any year and will be between $2 million and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34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As of December 31, 2002 in connection with renovation and development projects, the Trust has contractual obligations of approximately $78 million, including approximately $71 million for Santana Row Phase I and Phase II.</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F20 -</w:t>
      </w:r>
    </w:p>
    <w:p>
      <w:pPr>
        <w:sectPr>
          <w:pgSz w:w="11900" w:h="16838" w:orient="portrait"/>
          <w:cols w:equalWidth="0" w:num="1">
            <w:col w:w="10239"/>
          </w:cols>
          <w:pgMar w:left="220" w:top="616" w:right="1440" w:bottom="1440" w:gutter="0" w:footer="0" w:header="0"/>
        </w:sectPr>
      </w:pPr>
    </w:p>
    <w:bookmarkStart w:id="82" w:name="page83"/>
    <w:bookmarkEnd w:id="82"/>
    <w:p>
      <w:pPr>
        <w:ind w:right="3679" w:firstLine="861"/>
        <w:spacing w:after="0" w:line="255" w:lineRule="auto"/>
        <w:rPr>
          <w:sz w:val="20"/>
          <w:szCs w:val="20"/>
          <w:color w:val="auto"/>
        </w:rPr>
      </w:pPr>
      <w:r>
        <w:rPr>
          <w:rFonts w:ascii="Courier New" w:cs="Courier New" w:eastAsia="Courier New" w:hAnsi="Courier New"/>
          <w:sz w:val="14"/>
          <w:szCs w:val="14"/>
          <w:color w:val="auto"/>
        </w:rPr>
        <w:t>We are obligated under ground lease agreements on several shopping centers requiring minimum annual payments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3,910</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3,920</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3,929</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3,976</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4,023</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246,186</w:t>
            </w:r>
          </w:p>
        </w:tc>
      </w:tr>
      <w:tr>
        <w:trPr>
          <w:trHeight w:val="166"/>
        </w:trPr>
        <w:tc>
          <w:tcPr>
            <w:tcW w:w="6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ind w:left="55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265,944</w:t>
            </w:r>
          </w:p>
        </w:tc>
      </w:tr>
    </w:tbl>
    <w:p>
      <w:pPr>
        <w:spacing w:after="0" w:line="4"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SHAREHOLDERS' EQUITY</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May 1999, we reorganized as a Maryland real estate investment trust by amending and restating our declaration of trust and bylaws. The Amended Declaration of Trust changed the number of authorized shares of common and preferred shares from unlimited to 100,000,000 and 15,000,000, respectively. In addition, all common shares of beneficial interest, no par value, which were issued and outstanding were changed to common shares of beneficial interest, $0.01 par value per share and all Series A Cumulative Redeemable Preferred Shares of beneficial interest, no par value, which were issued and outstanding were changed to Series A Cumulative Redeemable Preferred Shares of beneficial interest, $0.01 par value per share.</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On October 6, 1997 we issued four million 7.95% Series A Cumulative Redeemable Preferred Shares at $25 per share in a public offering, realizing cash proceeds of approximately $96.6 million after costs of $3.4 million. The Series A Preferred Shares were not redeemable prior to October 6, 2002. On or after that date, the Preferred Shares may be redeemed, in whole or in part, at our option, at a redemption price of $25 per share plus all accrued and unpaid dividends. Dividends on the Preferred Shares are payable quarterly in arrears on the last day of January, April, July and October.</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On November 19, 2001 we issued 5.4 million 8.5% Series B Cumulative Redeemable Preferred Shares at $25 per share in a public offering, realizing cash proceeds of approximately $130.2 million after costs of $4.8 million. The Series B Preferred Shares are not redeemable prior to November 27, 2006. On or after that date, the Preferred Shares may be redeemed, in whole or in part, at our option, at a redemption price of $25 per share plus all accrued and unpaid dividends. Dividends on the Preferred Shares are payable quarterly in arrears on the last day of January, April, July and October.</w:t>
      </w:r>
    </w:p>
    <w:p>
      <w:pPr>
        <w:spacing w:after="0" w:line="164" w:lineRule="exact"/>
        <w:rPr>
          <w:sz w:val="20"/>
          <w:szCs w:val="20"/>
          <w:color w:val="auto"/>
        </w:rPr>
      </w:pPr>
    </w:p>
    <w:p>
      <w:pPr>
        <w:ind w:right="3679" w:firstLine="861"/>
        <w:spacing w:after="0" w:line="255" w:lineRule="auto"/>
        <w:rPr>
          <w:sz w:val="20"/>
          <w:szCs w:val="20"/>
          <w:color w:val="auto"/>
        </w:rPr>
      </w:pPr>
      <w:r>
        <w:rPr>
          <w:rFonts w:ascii="Courier New" w:cs="Courier New" w:eastAsia="Courier New" w:hAnsi="Courier New"/>
          <w:sz w:val="14"/>
          <w:szCs w:val="14"/>
          <w:color w:val="auto"/>
        </w:rPr>
        <w:t>On June 12, 2002 we issued 2.2 million common shares at $25.98 per share netting $56.6 million, after all expenses of the offering.</w:t>
      </w:r>
    </w:p>
    <w:p>
      <w:pPr>
        <w:spacing w:after="0" w:line="160"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We have a Dividend Reinvestment Plan, whereby shareholders may use their dividends and make optional cash payments to purchase shares. In 2002, 2001 and 2000, 134,247 shares, 159,234 shares and 153,713 shares, respectively, were issued under the Plan.</w:t>
      </w:r>
    </w:p>
    <w:p>
      <w:pPr>
        <w:spacing w:after="0" w:line="162" w:lineRule="exact"/>
        <w:rPr>
          <w:sz w:val="20"/>
          <w:szCs w:val="20"/>
          <w:color w:val="auto"/>
        </w:rPr>
      </w:pPr>
    </w:p>
    <w:p>
      <w:pPr>
        <w:jc w:val="both"/>
        <w:ind w:right="3419" w:firstLine="861"/>
        <w:spacing w:after="0" w:line="252" w:lineRule="auto"/>
        <w:rPr>
          <w:sz w:val="20"/>
          <w:szCs w:val="20"/>
          <w:color w:val="auto"/>
        </w:rPr>
      </w:pPr>
      <w:r>
        <w:rPr>
          <w:rFonts w:ascii="Courier New" w:cs="Courier New" w:eastAsia="Courier New" w:hAnsi="Courier New"/>
          <w:sz w:val="14"/>
          <w:szCs w:val="14"/>
          <w:color w:val="auto"/>
        </w:rPr>
        <w:t>In December 1999, the Trustees authorized a share repurchase program for calendar year 2000 of up to an aggregate of 4 million of our common shares. During 2000, a total of 1,325,900</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F21 -</w:t>
      </w:r>
    </w:p>
    <w:p>
      <w:pPr>
        <w:sectPr>
          <w:pgSz w:w="11900" w:h="16838" w:orient="portrait"/>
          <w:cols w:equalWidth="0" w:num="1">
            <w:col w:w="10239"/>
          </w:cols>
          <w:pgMar w:left="220" w:top="616" w:right="1440" w:bottom="1440" w:gutter="0" w:footer="0" w:header="0"/>
        </w:sectPr>
      </w:pPr>
    </w:p>
    <w:bookmarkStart w:id="83" w:name="page84"/>
    <w:bookmarkEnd w:id="83"/>
    <w:p>
      <w:pPr>
        <w:ind w:right="3859"/>
        <w:spacing w:after="0" w:line="255" w:lineRule="auto"/>
        <w:rPr>
          <w:sz w:val="20"/>
          <w:szCs w:val="20"/>
          <w:color w:val="auto"/>
        </w:rPr>
      </w:pPr>
      <w:r>
        <w:rPr>
          <w:rFonts w:ascii="Courier New" w:cs="Courier New" w:eastAsia="Courier New" w:hAnsi="Courier New"/>
          <w:sz w:val="14"/>
          <w:szCs w:val="14"/>
          <w:color w:val="auto"/>
        </w:rPr>
        <w:t>shares were repurchased, at a cost of $25.2 million. We did not repurchase shares in 2002 or 2001.</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2002, 2001 and 2000, 98,092 common shares, 96,657 common shares and 270,809 common shares, respectively, were awarded to our former Chief Executive Officer and other key employees under various incentive compensation programs designed to directly link a significant portion of their current and long term compensation to the prosperity of the Trust and its shareholders. The shares vest over terms from 3 to 8 years. Vesting of common shares awarded to the former Chief Executive Officer was accelerated pursuant to his contractual arrangement.</w:t>
      </w:r>
    </w:p>
    <w:p>
      <w:pPr>
        <w:spacing w:after="0" w:line="330"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In January 1994 under the terms of the 1993 Long Term Incentive Plan, Ronald Kaplan, an ex-officer of the Trust purchased 40,000 common shares at $25 per share with the assistance of a $1.0 million loan from us. The loan, which had a term of 12 years and a current balance of $375,000, bore interest at 6.24%. Forgiveness of up to 75% of the loan was subject to our future performance. One eighth of the loan was forgiven on January 31, 1995 and an additional one sixteenth has been forgiven each January 31 since then as we met certain performance criteria. The loan was paid in full on October 18, 2002.</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On January 26, 1998, we granted 75,000 Performance Shares to an employee for which vesting was tied to leasing performance as it relates to Santana Row and other projects. Performance was to be measured at three separate dates extending into 2003. By December 31, 2002, the first two performance measures had been met. In connection with the restructuring (See Note 13), the 2003 performance measure was accelerated and granted as of December 31, 2002. We applied variable accounting to these awards by valuing the shares at each date the performance measures were either met or accelerated and recorded a charge of $712,000 as part of the restructuring charge.</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1991, the Board of Trustees of the Company approved a Stock Purchase Plan (the "ESPP") under Section 423 of the Code. The ESPP is regarded as a noncompensatory plan under APB No. 25, because it meets the qualifications under IRC 423. Under the terms of the ESPP, eligible employees may purchase common shares of the Company at a price that is equal to 90% of the lower of the common shares' fair market value at the beginning or the end of a quarterly period. The fair market value of a common share is equal to the last sale price of the common shares on the New York Stock Exchange. Eligible employees may purchase the common shares through payroll deductions of up to 10% of eligible compensation. The ESPP is not subject to the provisions of ERISA. The ESPP terminated on January 31, 2001.</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Under the terms of the ESPP, eligible employees have purchased 446,000 common shares at $15.125 per share with the assistance of loans of $6.7 million from us. Originally, ESPP called for one sixteenth of the loan to be forgiven each year for eight years, as long as the participant was still employed by us. The loans for all participants, but two, were modified in 1994 to extend the term an additional four years and to tie forgiveness in 1995 and thereafter to certain criteria related to our performance. One sixteenth of the loan has been forgiven during each year of the plan. At December 31, 2002, we had outstanding purchase loans to participants of approximately $830,000. The purchase loans bear interest at 9.39%. The shares purchased under the plan may not be sold, pledged or assigned until both the purchase and tax loans associated with the plan are satisfied and the term has expired, without the consent of the Compensation Committee of the Board of Trustees. On January 24, 2003 a $750,000 note was repaid.</w:t>
      </w:r>
    </w:p>
    <w:p>
      <w:pPr>
        <w:spacing w:after="0" w:line="328"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Tax loans with a balance of $1.8 million in 2002, $3.1 million in 2001 and $2.2 million in 2000 have been made in connection with restricted share grants to certain of our officers and in connection with the Share Purchase Plans. The loans, which bear interest ranging from 6.36% to 9.39%, are due over periods ranging from 8 to 13 years from the date of the loan. On January 24, 2003 a $908,000 tax loan was repaid.</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F22 -</w:t>
      </w:r>
    </w:p>
    <w:p>
      <w:pPr>
        <w:sectPr>
          <w:pgSz w:w="11900" w:h="16838" w:orient="portrait"/>
          <w:cols w:equalWidth="0" w:num="1">
            <w:col w:w="10239"/>
          </w:cols>
          <w:pgMar w:left="220" w:top="616" w:right="1440" w:bottom="1440" w:gutter="0" w:footer="0" w:header="0"/>
        </w:sectPr>
      </w:pPr>
    </w:p>
    <w:bookmarkStart w:id="84" w:name="page85"/>
    <w:bookmarkEnd w:id="84"/>
    <w:p>
      <w:pPr>
        <w:ind w:right="3339" w:firstLine="861"/>
        <w:spacing w:after="0" w:line="251" w:lineRule="auto"/>
        <w:rPr>
          <w:sz w:val="20"/>
          <w:szCs w:val="20"/>
          <w:color w:val="auto"/>
        </w:rPr>
      </w:pPr>
      <w:r>
        <w:rPr>
          <w:rFonts w:ascii="Courier New" w:cs="Courier New" w:eastAsia="Courier New" w:hAnsi="Courier New"/>
          <w:sz w:val="14"/>
          <w:szCs w:val="14"/>
          <w:color w:val="auto"/>
        </w:rPr>
        <w:t>On April 13, 1999, the Shareholder Rights Plan adopted in 1989 expired. On March 11, 1999 we entered into an Amended and Restated Rights Agreement with American Stock Transfer and Trust Company, pursuant to which (i) the expiration date of our shareholder rights plan was extended for an additional ten years to April 24, 2009, (ii) the beneficial ownership percentage at which a person becomes an "Acquiring Person" under the plan was reduced from 20% to 15%, and (iii) certain other amendments were made.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STOCK OPTION PLAN</w:t>
      </w:r>
    </w:p>
    <w:p>
      <w:pPr>
        <w:spacing w:after="0" w:line="17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The 1993 Long Term Incentive Plan ("Plan") has been amended to authorize the grant of options and other stock based awards for up to 5.5 million shares. Options granted under the Plan have ten year terms and vest in one to five years. Under the Plan, on each annual meeting date during the term of the Plan, each nonemployee Trustee will be awarded 2,500 options.</w:t>
      </w:r>
    </w:p>
    <w:p>
      <w:pPr>
        <w:spacing w:after="0" w:line="165" w:lineRule="exact"/>
        <w:rPr>
          <w:sz w:val="20"/>
          <w:szCs w:val="20"/>
          <w:color w:val="auto"/>
        </w:rPr>
      </w:pPr>
    </w:p>
    <w:p>
      <w:pPr>
        <w:jc w:val="both"/>
        <w:ind w:right="3599" w:firstLine="861"/>
        <w:spacing w:after="0" w:line="252" w:lineRule="auto"/>
        <w:rPr>
          <w:sz w:val="20"/>
          <w:szCs w:val="20"/>
          <w:color w:val="auto"/>
        </w:rPr>
      </w:pPr>
      <w:r>
        <w:rPr>
          <w:rFonts w:ascii="Courier New" w:cs="Courier New" w:eastAsia="Courier New" w:hAnsi="Courier New"/>
          <w:sz w:val="14"/>
          <w:szCs w:val="14"/>
          <w:color w:val="auto"/>
        </w:rPr>
        <w:t>In May 2001 our shareholders' approved the 2001 Long Term Incentive Plan ("2001 Plan") which authorized an additional 1,750,000 shares for future option and other stock based awards.</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option price to acquire shares under the 2001 Plan and previous plans is required to be at least the fair market value at the date of grant. As a result of the exercise of options, we had outstanding from our officers and employees notes for $2.5 million, $2.5 million and $2.6 million at December 31, 2002, 2001 and 2000, respectively. Notes issued after 2001 bear interest at LIBOR plus 200 basis points with the rate adjusted annually. Notes issued prior to 2002 under the 1993 Plan bear interest at the lesser of (i) our borrowing rate on the date of exercise or (ii) the dividend rate on the date of exercise divided by the purchase price of such shares. The notes issued under the previous plans bear interest at the lesser of (i) our borrowing rate or (ii) the current indicated annual dividend rate on the shares acquired pursuant to the option, divided by the purchase price of such shares. The notes are collateralized by the shares and are with recourse and have five-year terms.</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SFAS No. 123, "Accounting for Stock-Based Compensation" requires pro forma information regarding net income and earnings per share as if we accounted for our stock options under the fair value method of that Statement. The fair value for options issued in 2002, 2001 and 2000 has been estimated as $536,000, $350,000 and $549,000, respectively, as of the date of grant, using a Black Scholes model with the following weighted-average assumptions for 2002, 2001 and 2000, respectively: risk-free interest rates of 4.5%, 4.9% and 5.2%; volatility factors of the expected market price of our shares of 16%, 20% and 14%; and a weighted average expected life of the option of 6.9 years, 6.9 years and 5.7 years. Our assumed weighted average dividend yield used to estimate the fair value of the options issued was 7.70% in 2002.</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Because option valuation models require the input of highly subjective assumptions, such as the expected stock price volatility, and because changes in these subjective input assumptions can materially affect the fair value estimate, the existing model may not necessarily provide a reliable single measure of the fair value of its stock options.</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F23 -</w:t>
      </w:r>
    </w:p>
    <w:p>
      <w:pPr>
        <w:sectPr>
          <w:pgSz w:w="11900" w:h="16838" w:orient="portrait"/>
          <w:cols w:equalWidth="0" w:num="1">
            <w:col w:w="10239"/>
          </w:cols>
          <w:pgMar w:left="220" w:top="616" w:right="1440" w:bottom="1440" w:gutter="0" w:footer="0" w:header="0"/>
        </w:sectPr>
      </w:pPr>
    </w:p>
    <w:bookmarkStart w:id="85" w:name="page86"/>
    <w:bookmarkEnd w:id="85"/>
    <w:p>
      <w:pPr>
        <w:jc w:val="both"/>
        <w:ind w:right="3339" w:firstLine="861"/>
        <w:spacing w:after="0" w:line="252"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are amortized to expense over the options' vesting period. The pro forma information is as follows (in thousands, except for earnings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5"/>
          </w:tcPr>
          <w:p>
            <w:pPr>
              <w:jc w:val="right"/>
              <w:ind w:right="26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3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2002</w:t>
            </w:r>
          </w:p>
        </w:tc>
        <w:tc>
          <w:tcPr>
            <w:tcW w:w="24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4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54,855</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68,076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59,445</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Pro forma earnings per share, basic</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Pro forma earnings per share, diluted</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bl>
    <w:p>
      <w:pPr>
        <w:spacing w:after="0" w:line="170"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A summary of our stock option activity for the years ended December 31,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 Under</w:t>
            </w: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Option</w:t>
            </w:r>
          </w:p>
        </w:tc>
        <w:tc>
          <w:tcPr>
            <w:tcW w:w="34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January 1, 2000</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3,895,514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24.31</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737,500</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19.75</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(67,684)</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20.50</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forfeited</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(847,049)</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24.27</w:t>
            </w:r>
          </w:p>
        </w:tc>
      </w:tr>
      <w:tr>
        <w:trPr>
          <w:trHeight w:val="166"/>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31, 2000</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3,718,281</w:t>
            </w: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23.46</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417,500</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19.80</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(27,566)</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20.81</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forfeited</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(351,834)</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22.88</w:t>
            </w:r>
          </w:p>
        </w:tc>
      </w:tr>
      <w:tr>
        <w:trPr>
          <w:trHeight w:val="166"/>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31, 2001</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3,756,381</w:t>
            </w: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23.12</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435,500</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25.26</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(951,971)</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21.92</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forfeited</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(19,168)</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23.95</w:t>
            </w:r>
          </w:p>
        </w:tc>
      </w:tr>
      <w:tr>
        <w:trPr>
          <w:trHeight w:val="166"/>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31, 2002</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3,220,742</w:t>
            </w: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23.76</w:t>
            </w:r>
          </w:p>
        </w:tc>
      </w:tr>
      <w:tr>
        <w:trPr>
          <w:trHeight w:val="166"/>
        </w:trPr>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17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At December 31, 2002 and 2001, options for 2.5 million and 2.7 million shares, respectively, were exercisable. The average remaining contractual life of options outstanding at December 31, 2002 and 2001 was 5.4 years and 5.8 years, respectively. The weighted average grant date fair value per option for options granted in 2002 and 2001 was $1.23 and $1.04, respectively. The exercise price of options outstanding at December 31, 2002 ranged from $18.00 per share to $27.75 per share.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SAVINGS AND RETIREMENT PLANS</w:t>
      </w:r>
    </w:p>
    <w:p>
      <w:pPr>
        <w:spacing w:after="0" w:line="17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We have a savings and retirement plan in accordance with the provisions of Section 401(k) of the Internal Revenue Code. Employees' contributions range, at the discretion of each employee, from 1% to 20% of compensation up to a maximum of $11,000. Under the plan, we contribute out of our current net income, 50% of each employee's first 5% of contributions. In addition, we may make discretionary contributions within the limits of deductibility set forth by the Code. Our employees are immediately eligible to become plan participants. Employees are not eligible to receive matching contributions until their first anniversary of employment. Our</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F24 -</w:t>
      </w:r>
    </w:p>
    <w:p>
      <w:pPr>
        <w:sectPr>
          <w:pgSz w:w="11900" w:h="16838" w:orient="portrait"/>
          <w:cols w:equalWidth="0" w:num="1">
            <w:col w:w="10239"/>
          </w:cols>
          <w:pgMar w:left="220" w:top="616" w:right="1440" w:bottom="1440" w:gutter="0" w:footer="0" w:header="0"/>
        </w:sectPr>
      </w:pPr>
    </w:p>
    <w:bookmarkStart w:id="86" w:name="page87"/>
    <w:bookmarkEnd w:id="86"/>
    <w:p>
      <w:pPr>
        <w:ind w:right="3859"/>
        <w:spacing w:after="0" w:line="255" w:lineRule="auto"/>
        <w:rPr>
          <w:sz w:val="20"/>
          <w:szCs w:val="20"/>
          <w:color w:val="auto"/>
        </w:rPr>
      </w:pPr>
      <w:r>
        <w:rPr>
          <w:rFonts w:ascii="Courier New" w:cs="Courier New" w:eastAsia="Courier New" w:hAnsi="Courier New"/>
          <w:sz w:val="14"/>
          <w:szCs w:val="14"/>
          <w:color w:val="auto"/>
        </w:rPr>
        <w:t>expense for the years ended December 31, 2002, 2001 and 2000 was $271,000, $243,000 and $216,000, respectively.</w:t>
      </w:r>
    </w:p>
    <w:p>
      <w:pPr>
        <w:spacing w:after="0" w:line="160"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A nonqualified deferred compensation plan for our officers and directors was established in 1994. The plan allows the participants to defer future income until the earlier of age 65 or termination of employment. As of December 31, 2002, we are liable to participants for approximately $2.2 million under this plan. Although this is an unfunded plan, we have purchased certain investments with which to match this obligation.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INTEREST EXPENSE</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We incurred interest totaling $88.6 million, $87.1 million and $79.7 million in 2002, 2001 and 2000, respectively, of which $23.5 million, $17.8 million, and $13.3 million respectively, was capitalized. Interest paid was $86.2 million in 2002, $84.1 million in 2001 and $83.1 million in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CHANGE IN BUSINESS PLAN</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On February 28, 2002, we adopted a new business plan which returned our primary focus to our traditional business of acquiring and redeveloping community and neighborhood shopping centers that are anchored by supermarkets, drug stores, or high volume, value oriented retailers that provide consumer necessities. We will complete Bethesda Row and Santana Row (Pentagon Row was completed in 2002) but do not plan to develop any new large-scale, mixed-use, ground-up development projects. Rather, we will seek to acquire income producing centers around our existing markets and will identify and execute redevelopment opportunities in our existing portfolio. Concurrent with the adoption of the business plan, we adopted a management succession plan and restructured our management team.</w:t>
      </w:r>
    </w:p>
    <w:p>
      <w:pPr>
        <w:spacing w:after="0" w:line="329"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connection with this change in our business plan, we recorded a charge of $18.2 million. This charge included a reserve for a restructuring charge of $8.5 million made up of $6.9 million of severance and other compensation costs for several of our senior officers related to the management restructuring, as well as the write-off of $1.6 million of our development costs. All charges against the reserve, totaling $8.5 million, were expended during 2002. An additional component of the restructuring charge is an impairment loss of $9.7 million representing the estimated loss on the abandonment of development projects held for sale, primarily the Tanasbourne development project located in Portland, Oregon, thereby adjusting the value of these assets to their estimated fair value. We are marketing these properties, components of our Western region, for sale. The carrying value of these properties as of December 31, 2002, classified on our consolidated balance sheet as real estate under development, is $8.5 million.</w:t>
      </w:r>
    </w:p>
    <w:p>
      <w:pPr>
        <w:spacing w:after="0" w:line="328"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On December 20, 2002, we announced the resignation of Steven J. Guttman as Trustee, Chief Executive Officer and Chairman of the Board of Trustees effective January 1, 2003. Donald C. Wood, our then President and Chief Operating Officer, was named Chief Executive Officer and a member of the Board of Trustees. Mark Ordan, a member of the Board of Trustees since 1996, was named non-executive chairman of the board. As a result of this transition, we recorded a charge of $13.8 million in the fourth quarter of 2002 for payments and benefits to Mr. Guttman pursuant to his contractual arrangements with the Trust and for other transition related costs. Of</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F25 -</w:t>
      </w:r>
    </w:p>
    <w:p>
      <w:pPr>
        <w:sectPr>
          <w:pgSz w:w="11900" w:h="16838" w:orient="portrait"/>
          <w:cols w:equalWidth="0" w:num="1">
            <w:col w:w="10239"/>
          </w:cols>
          <w:pgMar w:left="220" w:top="616" w:right="1440" w:bottom="1440" w:gutter="0" w:footer="0" w:header="0"/>
        </w:sectPr>
      </w:pPr>
    </w:p>
    <w:bookmarkStart w:id="87" w:name="page88"/>
    <w:bookmarkEnd w:id="87"/>
    <w:p>
      <w:pPr>
        <w:ind w:right="4019"/>
        <w:spacing w:after="0" w:line="255" w:lineRule="auto"/>
        <w:rPr>
          <w:sz w:val="20"/>
          <w:szCs w:val="20"/>
          <w:color w:val="auto"/>
        </w:rPr>
      </w:pPr>
      <w:r>
        <w:rPr>
          <w:rFonts w:ascii="Courier New" w:cs="Courier New" w:eastAsia="Courier New" w:hAnsi="Courier New"/>
          <w:sz w:val="14"/>
          <w:szCs w:val="14"/>
          <w:color w:val="auto"/>
        </w:rPr>
        <w:t>this amount, $7.9 million had not been paid as of December 31, 2002, the majority of which was paid in the first quarter of 2003.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SUBSEQUENT EVENTS</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On February 11, 2003 the $24.4 million Woodmont East construction loan and the $17.0 million Friendship Center mortgage were paid off through borrowings under our revolving credit facility.</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Pursuant to the 2001 Incentive Bonus Plan, vice presidents and certain key employees receive part of their 2002 bonus in Federal Realty shares which vest over three years. Consequently, on February 12, 2003, 16,496 shares were awarded under this plan.</w:t>
      </w:r>
    </w:p>
    <w:p>
      <w:pPr>
        <w:spacing w:after="0" w:line="162" w:lineRule="exact"/>
        <w:rPr>
          <w:sz w:val="20"/>
          <w:szCs w:val="20"/>
          <w:color w:val="auto"/>
        </w:rPr>
      </w:pPr>
    </w:p>
    <w:p>
      <w:pPr>
        <w:ind w:right="3419" w:firstLine="861"/>
        <w:spacing w:after="0" w:line="255" w:lineRule="auto"/>
        <w:rPr>
          <w:sz w:val="20"/>
          <w:szCs w:val="20"/>
          <w:color w:val="auto"/>
        </w:rPr>
      </w:pPr>
      <w:r>
        <w:rPr>
          <w:rFonts w:ascii="Courier New" w:cs="Courier New" w:eastAsia="Courier New" w:hAnsi="Courier New"/>
          <w:sz w:val="14"/>
          <w:szCs w:val="14"/>
          <w:color w:val="auto"/>
        </w:rPr>
        <w:t>Also in February 2003, 265,000 options and 113,500 performance shares were granted to certain officers and key employees.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 RELATED PARTY TRANSACTIONS</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Our former Chairman and CEO, Steven J. Guttman, has an ownership interest in three retailers, comprising approximately 3,500 square feet, at Santana Row. The leases were negotiated at what management believes to be arms length at market terms.</w:t>
      </w:r>
    </w:p>
    <w:p>
      <w:pPr>
        <w:spacing w:after="0" w:line="162"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In addition, Nate Fishsin one of our officers, whose last day of employment with the Trust will be March 31, 2003, has an ownership interest in a retailer occupying approximately 2,600 square feet at Santana Row. This lease was also negotiated at what management believes to be arms length at market terms.</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F26 -</w:t>
      </w:r>
    </w:p>
    <w:p>
      <w:pPr>
        <w:sectPr>
          <w:pgSz w:w="11900" w:h="16838" w:orient="portrait"/>
          <w:cols w:equalWidth="0" w:num="1">
            <w:col w:w="10239"/>
          </w:cols>
          <w:pgMar w:left="220" w:top="616"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4"/>
          <w:szCs w:val="14"/>
          <w:color w:val="auto"/>
        </w:rPr>
        <w:t>NOTE 16. SEGMENT INFORMATION</w:t>
      </w:r>
    </w:p>
    <w:p>
      <w:pPr>
        <w:spacing w:after="0" w:line="173" w:lineRule="exact"/>
        <w:rPr>
          <w:sz w:val="20"/>
          <w:szCs w:val="20"/>
          <w:color w:val="auto"/>
        </w:rPr>
      </w:pPr>
    </w:p>
    <w:p>
      <w:pPr>
        <w:ind w:right="4480" w:firstLine="861"/>
        <w:spacing w:after="0" w:line="255" w:lineRule="auto"/>
        <w:rPr>
          <w:sz w:val="20"/>
          <w:szCs w:val="20"/>
          <w:color w:val="auto"/>
        </w:rPr>
      </w:pPr>
      <w:r>
        <w:rPr>
          <w:rFonts w:ascii="Courier New" w:cs="Courier New" w:eastAsia="Courier New" w:hAnsi="Courier New"/>
          <w:sz w:val="14"/>
          <w:szCs w:val="14"/>
          <w:color w:val="auto"/>
        </w:rPr>
        <w:t>We operate our portfolio of assets in three geographic operating regions: Northeast, Mid-Atlantic and West.</w:t>
      </w:r>
    </w:p>
    <w:p>
      <w:pPr>
        <w:spacing w:after="0" w:line="160" w:lineRule="exact"/>
        <w:rPr>
          <w:sz w:val="20"/>
          <w:szCs w:val="20"/>
          <w:color w:val="auto"/>
        </w:rPr>
      </w:pPr>
    </w:p>
    <w:p>
      <w:pPr>
        <w:ind w:right="4220" w:firstLine="861"/>
        <w:spacing w:after="0" w:line="255" w:lineRule="auto"/>
        <w:rPr>
          <w:sz w:val="20"/>
          <w:szCs w:val="20"/>
          <w:color w:val="auto"/>
        </w:rPr>
      </w:pPr>
      <w:r>
        <w:rPr>
          <w:rFonts w:ascii="Courier New" w:cs="Courier New" w:eastAsia="Courier New" w:hAnsi="Courier New"/>
          <w:sz w:val="14"/>
          <w:szCs w:val="14"/>
          <w:color w:val="auto"/>
        </w:rPr>
        <w:t>A summary of our operations by geographic region is presented below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Northeast</w:t>
            </w: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Mid Atlantic</w:t>
            </w:r>
          </w:p>
        </w:tc>
        <w:tc>
          <w:tcPr>
            <w:tcW w:w="2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West</w:t>
            </w:r>
          </w:p>
        </w:tc>
        <w:tc>
          <w:tcPr>
            <w:tcW w:w="220" w:type="dxa"/>
            <w:vAlign w:val="bottom"/>
          </w:tcPr>
          <w:p>
            <w:pPr>
              <w:spacing w:after="0"/>
              <w:rPr>
                <w:sz w:val="14"/>
                <w:szCs w:val="14"/>
                <w:color w:val="auto"/>
              </w:rPr>
            </w:pP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Other</w:t>
            </w: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123,093</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139,596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35,396</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298,085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3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5,604</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7,509</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2,480</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15,593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income - mortgage notes</w:t>
            </w:r>
          </w:p>
        </w:tc>
        <w:tc>
          <w:tcPr>
            <w:tcW w:w="3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3,294</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1,902</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5,196</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(23,447)</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(31,897)</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(18,247)</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(73,591)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(16,145)</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(11,779)</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(3,262)</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(31,186)</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Property operating income</w:t>
            </w:r>
          </w:p>
        </w:tc>
        <w:tc>
          <w:tcPr>
            <w:tcW w:w="3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92,399</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103,429</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18,269</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214,097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and other income (expense)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(65,054)</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(65,054)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(13,790)</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(13,790)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Restructuring expense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(22,269)</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(22,269)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(27,784)</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(27,073)</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(8,583)</w:t>
            </w:r>
          </w:p>
        </w:tc>
        <w:tc>
          <w:tcPr>
            <w:tcW w:w="2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(811)</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(64,251)</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before investors' share of</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operations and discontinued 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64,615</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76,356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(101,964)</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48,693</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10,539</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34,265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220,539</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265,343</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747,778</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827,090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731,958</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2,306,826</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Northeast</w:t>
            </w: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Mid Atlantic</w:t>
            </w:r>
          </w:p>
        </w:tc>
        <w:tc>
          <w:tcPr>
            <w:tcW w:w="200" w:type="dxa"/>
            <w:vAlign w:val="bottom"/>
          </w:tcPr>
          <w:p>
            <w:pPr>
              <w:spacing w:after="0"/>
              <w:rPr>
                <w:sz w:val="24"/>
                <w:szCs w:val="2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West</w:t>
            </w:r>
          </w:p>
        </w:tc>
        <w:tc>
          <w:tcPr>
            <w:tcW w:w="220" w:type="dxa"/>
            <w:vAlign w:val="bottom"/>
          </w:tcPr>
          <w:p>
            <w:pPr>
              <w:spacing w:after="0"/>
              <w:rPr>
                <w:sz w:val="24"/>
                <w:szCs w:val="24"/>
                <w:color w:val="auto"/>
              </w:rPr>
            </w:pP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Other</w:t>
            </w: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117,353</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124,765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32,449</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274,567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3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5,657</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5,715</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2,581</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13,953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income - mortgage notes</w:t>
            </w:r>
          </w:p>
        </w:tc>
        <w:tc>
          <w:tcPr>
            <w:tcW w:w="3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3,908</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534</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4,442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(23,442)</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(28,443)</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(10,830)</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(62,715)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(15,645)</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(9,951)</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(2,752)</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(28,348)</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Property operating income</w:t>
            </w:r>
          </w:p>
        </w:tc>
        <w:tc>
          <w:tcPr>
            <w:tcW w:w="3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87,831</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92,086</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21,982</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201,899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and other income (expense)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2,148</w:t>
            </w:r>
          </w:p>
        </w:tc>
        <w:tc>
          <w:tcPr>
            <w:tcW w:w="2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(69,313)</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(69,313)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(14,281)</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(14,281)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(27,118)</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(23,921)</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(7,098)</w:t>
            </w:r>
          </w:p>
        </w:tc>
        <w:tc>
          <w:tcPr>
            <w:tcW w:w="2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(1,034)</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(59,171)</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before investors' share of</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operations and discontinued 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60,713</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68,165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14,884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(82,480)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61,282</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15,386</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87,706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169,278</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272,370</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760,849</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793,566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549,889</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2,104,304</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Northeast</w:t>
            </w: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Mid Atlantic</w:t>
            </w:r>
          </w:p>
        </w:tc>
        <w:tc>
          <w:tcPr>
            <w:tcW w:w="200" w:type="dxa"/>
            <w:vAlign w:val="bottom"/>
          </w:tcPr>
          <w:p>
            <w:pPr>
              <w:spacing w:after="0"/>
              <w:rPr>
                <w:sz w:val="24"/>
                <w:szCs w:val="2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West</w:t>
            </w:r>
          </w:p>
        </w:tc>
        <w:tc>
          <w:tcPr>
            <w:tcW w:w="220" w:type="dxa"/>
            <w:vAlign w:val="bottom"/>
          </w:tcPr>
          <w:p>
            <w:pPr>
              <w:spacing w:after="0"/>
              <w:rPr>
                <w:sz w:val="24"/>
                <w:szCs w:val="24"/>
                <w:color w:val="auto"/>
              </w:rPr>
            </w:pP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Other</w:t>
            </w: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110,256</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114,371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31,007</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255,634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3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4,206</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3,900</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2,917</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11,023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income - mortgage notes</w:t>
            </w:r>
          </w:p>
        </w:tc>
        <w:tc>
          <w:tcPr>
            <w:tcW w:w="3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4,433</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943</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5,376</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(23,131)</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(24,766)</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(7,734)</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(55,631)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(14,131)</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(9,159)</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(2,921)</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(26,211)</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Property operating income</w:t>
            </w:r>
          </w:p>
        </w:tc>
        <w:tc>
          <w:tcPr>
            <w:tcW w:w="3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81,633</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84,346</w:t>
            </w:r>
          </w:p>
        </w:tc>
        <w:tc>
          <w:tcPr>
            <w:tcW w:w="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24,212</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190,191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and other income (expense)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2,156</w:t>
            </w:r>
          </w:p>
        </w:tc>
        <w:tc>
          <w:tcPr>
            <w:tcW w:w="2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2,156</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(66,418)</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(66,418)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(13,318)</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(24,715)</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(21,915)</w:t>
            </w:r>
          </w:p>
        </w:tc>
        <w:tc>
          <w:tcPr>
            <w:tcW w:w="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(4,996)</w:t>
            </w:r>
          </w:p>
        </w:tc>
        <w:tc>
          <w:tcPr>
            <w:tcW w:w="2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(933)</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(52,559)</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before investors' share of</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operations and discontinued 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56,918</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62,431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19,216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(78,513)</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60,052</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38,696</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60,783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83,205</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182,684</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754,048</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720,208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380,657</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1,854,913</w:t>
            </w:r>
          </w:p>
        </w:tc>
      </w:tr>
      <w:tr>
        <w:trPr>
          <w:trHeight w:val="166"/>
        </w:trPr>
        <w:tc>
          <w:tcPr>
            <w:tcW w:w="35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no transactions between geographic areas.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F27 -</w:t>
      </w:r>
    </w:p>
    <w:p>
      <w:pPr>
        <w:sectPr>
          <w:pgSz w:w="11900" w:h="16838" w:orient="portrait"/>
          <w:cols w:equalWidth="0" w:num="1">
            <w:col w:w="10860"/>
          </w:cols>
          <w:pgMar w:left="220" w:top="616" w:right="819"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NOTE 17. QUARTERLY DATA (UNAUDITED)</w:t>
      </w:r>
    </w:p>
    <w:p>
      <w:pPr>
        <w:spacing w:after="0" w:line="173"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The following summary represents the results of operations for each quarter in 2002 and 2001 (in thousands,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24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First</w:t>
            </w:r>
          </w:p>
        </w:tc>
        <w:tc>
          <w:tcPr>
            <w:tcW w:w="18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Second</w:t>
            </w:r>
          </w:p>
        </w:tc>
        <w:tc>
          <w:tcPr>
            <w:tcW w:w="220" w:type="dxa"/>
            <w:vAlign w:val="bottom"/>
          </w:tcPr>
          <w:p>
            <w:pPr>
              <w:spacing w:after="0"/>
              <w:rPr>
                <w:sz w:val="14"/>
                <w:szCs w:val="14"/>
                <w:color w:val="auto"/>
              </w:rPr>
            </w:pPr>
          </w:p>
        </w:tc>
        <w:tc>
          <w:tcPr>
            <w:tcW w:w="90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9"/>
              </w:rPr>
              <w:t>Third</w:t>
            </w:r>
          </w:p>
        </w:tc>
        <w:tc>
          <w:tcPr>
            <w:tcW w:w="2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Fourth</w:t>
            </w:r>
          </w:p>
        </w:tc>
      </w:tr>
      <w:tr>
        <w:trPr>
          <w:trHeight w:val="166"/>
        </w:trPr>
        <w:tc>
          <w:tcPr>
            <w:tcW w:w="4020" w:type="dxa"/>
            <w:vAlign w:val="bottom"/>
          </w:tcPr>
          <w:p>
            <w:pPr>
              <w:spacing w:after="0"/>
              <w:rPr>
                <w:sz w:val="14"/>
                <w:szCs w:val="14"/>
                <w:color w:val="auto"/>
              </w:rPr>
            </w:pPr>
          </w:p>
        </w:tc>
        <w:tc>
          <w:tcPr>
            <w:tcW w:w="124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Quarter</w:t>
            </w:r>
          </w:p>
        </w:tc>
        <w:tc>
          <w:tcPr>
            <w:tcW w:w="18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Quarter</w:t>
            </w:r>
          </w:p>
        </w:tc>
        <w:tc>
          <w:tcPr>
            <w:tcW w:w="220" w:type="dxa"/>
            <w:vAlign w:val="bottom"/>
          </w:tcPr>
          <w:p>
            <w:pPr>
              <w:spacing w:after="0"/>
              <w:rPr>
                <w:sz w:val="14"/>
                <w:szCs w:val="14"/>
                <w:color w:val="auto"/>
              </w:rPr>
            </w:pPr>
          </w:p>
        </w:tc>
        <w:tc>
          <w:tcPr>
            <w:tcW w:w="9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Quarter</w:t>
            </w:r>
          </w:p>
        </w:tc>
        <w:tc>
          <w:tcPr>
            <w:tcW w:w="1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Quarter (5)</w:t>
            </w:r>
          </w:p>
        </w:tc>
      </w:tr>
      <w:tr>
        <w:trPr>
          <w:trHeight w:val="166"/>
        </w:trPr>
        <w:tc>
          <w:tcPr>
            <w:tcW w:w="40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 (1)</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$ 75,236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75,828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78,333</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89,437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income (loss) available for common shares</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(6,187)(2)</w:t>
            </w:r>
          </w:p>
        </w:tc>
        <w:tc>
          <w:tcPr>
            <w:tcW w:w="1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30,479(3)</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13,648</w:t>
            </w: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(2,078)(4)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Earnings (loss) per common share - basic (6)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1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Earnings (loss) per common share - diluted</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1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r>
      <w:tr>
        <w:trPr>
          <w:trHeight w:val="497"/>
        </w:trPr>
        <w:tc>
          <w:tcPr>
            <w:tcW w:w="4020" w:type="dxa"/>
            <w:vAlign w:val="bottom"/>
          </w:tcPr>
          <w:p>
            <w:pPr>
              <w:spacing w:after="0"/>
              <w:rPr>
                <w:sz w:val="24"/>
                <w:szCs w:val="24"/>
                <w:color w:val="auto"/>
              </w:rPr>
            </w:pPr>
          </w:p>
        </w:tc>
        <w:tc>
          <w:tcPr>
            <w:tcW w:w="124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First</w:t>
            </w:r>
          </w:p>
        </w:tc>
        <w:tc>
          <w:tcPr>
            <w:tcW w:w="180" w:type="dxa"/>
            <w:vAlign w:val="bottom"/>
          </w:tcPr>
          <w:p>
            <w:pPr>
              <w:spacing w:after="0"/>
              <w:rPr>
                <w:sz w:val="24"/>
                <w:szCs w:val="2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Second</w:t>
            </w:r>
          </w:p>
        </w:tc>
        <w:tc>
          <w:tcPr>
            <w:tcW w:w="220" w:type="dxa"/>
            <w:vAlign w:val="bottom"/>
          </w:tcPr>
          <w:p>
            <w:pPr>
              <w:spacing w:after="0"/>
              <w:rPr>
                <w:sz w:val="24"/>
                <w:szCs w:val="24"/>
                <w:color w:val="auto"/>
              </w:rPr>
            </w:pPr>
          </w:p>
        </w:tc>
        <w:tc>
          <w:tcPr>
            <w:tcW w:w="900" w:type="dxa"/>
            <w:vAlign w:val="bottom"/>
          </w:tcPr>
          <w:p>
            <w:pPr>
              <w:jc w:val="center"/>
              <w:ind w:right="248"/>
              <w:spacing w:after="0"/>
              <w:rPr>
                <w:sz w:val="20"/>
                <w:szCs w:val="20"/>
                <w:color w:val="auto"/>
              </w:rPr>
            </w:pPr>
            <w:r>
              <w:rPr>
                <w:rFonts w:ascii="Courier New" w:cs="Courier New" w:eastAsia="Courier New" w:hAnsi="Courier New"/>
                <w:sz w:val="14"/>
                <w:szCs w:val="14"/>
                <w:color w:val="auto"/>
                <w:w w:val="99"/>
              </w:rPr>
              <w:t>Third</w:t>
            </w:r>
          </w:p>
        </w:tc>
        <w:tc>
          <w:tcPr>
            <w:tcW w:w="26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Fourth</w:t>
            </w:r>
          </w:p>
        </w:tc>
      </w:tr>
      <w:tr>
        <w:trPr>
          <w:trHeight w:val="166"/>
        </w:trPr>
        <w:tc>
          <w:tcPr>
            <w:tcW w:w="4020" w:type="dxa"/>
            <w:vAlign w:val="bottom"/>
          </w:tcPr>
          <w:p>
            <w:pPr>
              <w:spacing w:after="0"/>
              <w:rPr>
                <w:sz w:val="14"/>
                <w:szCs w:val="14"/>
                <w:color w:val="auto"/>
              </w:rPr>
            </w:pPr>
          </w:p>
        </w:tc>
        <w:tc>
          <w:tcPr>
            <w:tcW w:w="124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Quarter</w:t>
            </w:r>
          </w:p>
        </w:tc>
        <w:tc>
          <w:tcPr>
            <w:tcW w:w="18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Quarter</w:t>
            </w:r>
          </w:p>
        </w:tc>
        <w:tc>
          <w:tcPr>
            <w:tcW w:w="220" w:type="dxa"/>
            <w:vAlign w:val="bottom"/>
          </w:tcPr>
          <w:p>
            <w:pPr>
              <w:spacing w:after="0"/>
              <w:rPr>
                <w:sz w:val="14"/>
                <w:szCs w:val="14"/>
                <w:color w:val="auto"/>
              </w:rPr>
            </w:pPr>
          </w:p>
        </w:tc>
        <w:tc>
          <w:tcPr>
            <w:tcW w:w="9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Quarter</w:t>
            </w:r>
          </w:p>
        </w:tc>
        <w:tc>
          <w:tcPr>
            <w:tcW w:w="2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r>
      <w:tr>
        <w:trPr>
          <w:trHeight w:val="166"/>
        </w:trPr>
        <w:tc>
          <w:tcPr>
            <w:tcW w:w="40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 (1)</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$ 70,399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72,093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74,149</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78,469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12,245</w:t>
            </w:r>
          </w:p>
        </w:tc>
        <w:tc>
          <w:tcPr>
            <w:tcW w:w="1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20,180(7)</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13,194</w:t>
            </w:r>
          </w:p>
        </w:tc>
        <w:tc>
          <w:tcPr>
            <w:tcW w:w="2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14,103(8)</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Earnings per common share - basic</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w:t>
            </w:r>
          </w:p>
        </w:tc>
        <w:tc>
          <w:tcPr>
            <w:tcW w:w="1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2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Earnings per common share - diluted (9)</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w:t>
            </w:r>
          </w:p>
        </w:tc>
        <w:tc>
          <w:tcPr>
            <w:tcW w:w="1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w:t>
            </w:r>
          </w:p>
        </w:tc>
        <w:tc>
          <w:tcPr>
            <w:tcW w:w="2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r>
    </w:tbl>
    <w:p>
      <w:pPr>
        <w:spacing w:after="0" w:line="200" w:lineRule="exact"/>
        <w:rPr>
          <w:sz w:val="20"/>
          <w:szCs w:val="20"/>
          <w:color w:val="auto"/>
        </w:rPr>
      </w:pPr>
    </w:p>
    <w:p>
      <w:pPr>
        <w:spacing w:after="0" w:line="301" w:lineRule="exact"/>
        <w:rPr>
          <w:sz w:val="20"/>
          <w:szCs w:val="20"/>
          <w:color w:val="auto"/>
        </w:rPr>
      </w:pPr>
    </w:p>
    <w:p>
      <w:pPr>
        <w:ind w:left="860" w:right="3419" w:hanging="852"/>
        <w:spacing w:after="0" w:line="251" w:lineRule="auto"/>
        <w:tabs>
          <w:tab w:leader="none" w:pos="8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required by SFAS No. 144, revenue in the first quarter of 2002 and for all of 2001 has been reduced to reflect the discontinued assets sold in the second quarter of 2002. Total revenue from these discontinued assets, by quarter, is summarized as follows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First</w:t>
            </w:r>
          </w:p>
        </w:tc>
        <w:tc>
          <w:tcPr>
            <w:tcW w:w="34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w:t>
            </w:r>
          </w:p>
        </w:tc>
        <w:tc>
          <w:tcPr>
            <w:tcW w:w="36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Third</w:t>
            </w:r>
          </w:p>
        </w:tc>
        <w:tc>
          <w:tcPr>
            <w:tcW w:w="26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Fourth</w:t>
            </w:r>
          </w:p>
        </w:tc>
      </w:tr>
      <w:tr>
        <w:trPr>
          <w:trHeight w:val="166"/>
        </w:trPr>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Quarter</w:t>
            </w:r>
          </w:p>
        </w:tc>
        <w:tc>
          <w:tcPr>
            <w:tcW w:w="34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Quarter</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Quarter</w:t>
            </w:r>
          </w:p>
        </w:tc>
        <w:tc>
          <w:tcPr>
            <w:tcW w:w="26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r>
      <w:tr>
        <w:trPr>
          <w:trHeight w:val="166"/>
        </w:trPr>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Revenue from</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discontinued assets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1,415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688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Revenue from</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discontinued assets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1,304</w:t>
            </w:r>
          </w:p>
        </w:tc>
        <w:tc>
          <w:tcPr>
            <w:tcW w:w="34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1,305</w:t>
            </w:r>
          </w:p>
        </w:tc>
        <w:tc>
          <w:tcPr>
            <w:tcW w:w="36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1,375</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1,408</w:t>
            </w:r>
          </w:p>
        </w:tc>
      </w:tr>
    </w:tbl>
    <w:p>
      <w:pPr>
        <w:spacing w:after="0" w:line="335" w:lineRule="exact"/>
        <w:rPr>
          <w:sz w:val="20"/>
          <w:szCs w:val="20"/>
          <w:color w:val="auto"/>
        </w:rPr>
      </w:pPr>
    </w:p>
    <w:p>
      <w:pPr>
        <w:ind w:left="860" w:right="3419" w:hanging="852"/>
        <w:spacing w:after="0" w:line="252" w:lineRule="auto"/>
        <w:tabs>
          <w:tab w:leader="none" w:pos="8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includes an $8.5 million restructuring charge ($.21 per share expense - basic and diluted) and a $9.6 million loss on abandoned developments held for sale ($.24 loss per share - basic and diluted).</w:t>
      </w:r>
    </w:p>
    <w:p>
      <w:pPr>
        <w:spacing w:after="0" w:line="162" w:lineRule="exact"/>
        <w:rPr>
          <w:rFonts w:ascii="Courier New" w:cs="Courier New" w:eastAsia="Courier New" w:hAnsi="Courier New"/>
          <w:sz w:val="14"/>
          <w:szCs w:val="14"/>
          <w:color w:val="auto"/>
        </w:rPr>
      </w:pPr>
    </w:p>
    <w:p>
      <w:pPr>
        <w:ind w:left="860" w:right="3419" w:hanging="852"/>
        <w:spacing w:after="0" w:line="255" w:lineRule="auto"/>
        <w:tabs>
          <w:tab w:leader="none" w:pos="8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includes a $19.1 million gain on sale of real estate ($.47 gain per share - basic and $.46 gain per share - diluted).</w:t>
      </w:r>
    </w:p>
    <w:p>
      <w:pPr>
        <w:spacing w:after="0" w:line="159" w:lineRule="exact"/>
        <w:rPr>
          <w:rFonts w:ascii="Courier New" w:cs="Courier New" w:eastAsia="Courier New" w:hAnsi="Courier New"/>
          <w:sz w:val="14"/>
          <w:szCs w:val="14"/>
          <w:color w:val="auto"/>
        </w:rPr>
      </w:pPr>
    </w:p>
    <w:p>
      <w:pPr>
        <w:ind w:left="860" w:right="3679" w:hanging="852"/>
        <w:spacing w:after="0" w:line="255" w:lineRule="auto"/>
        <w:tabs>
          <w:tab w:leader="none" w:pos="8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includes a $13.8 million restructuring charge ($.32 per share expense - basic and $.31 per share expense - diluted).</w:t>
      </w:r>
    </w:p>
    <w:p>
      <w:pPr>
        <w:spacing w:after="0" w:line="159" w:lineRule="exact"/>
        <w:rPr>
          <w:rFonts w:ascii="Courier New" w:cs="Courier New" w:eastAsia="Courier New" w:hAnsi="Courier New"/>
          <w:sz w:val="14"/>
          <w:szCs w:val="14"/>
          <w:color w:val="auto"/>
        </w:rPr>
      </w:pPr>
    </w:p>
    <w:p>
      <w:pPr>
        <w:ind w:left="860" w:right="3519" w:hanging="852"/>
        <w:spacing w:after="0" w:line="251" w:lineRule="auto"/>
        <w:tabs>
          <w:tab w:leader="none" w:pos="8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fourth quarter of 2002 we recorded adjustments to increase revenue accruals for estimated tenant expense reimbursements by $3.3 million and decrease certain expense accruals by $1.0 million. These adjustments were offset by a revision to the cumulative amount of interest capitalized on development projects in the amount of $4.2 million. The net effect of such adjustments did not have a material effect on net income or net income per share for the year ended December 31, 2002.</w:t>
      </w:r>
    </w:p>
    <w:p>
      <w:pPr>
        <w:spacing w:after="0" w:line="163" w:lineRule="exact"/>
        <w:rPr>
          <w:rFonts w:ascii="Courier New" w:cs="Courier New" w:eastAsia="Courier New" w:hAnsi="Courier New"/>
          <w:sz w:val="14"/>
          <w:szCs w:val="14"/>
          <w:color w:val="auto"/>
        </w:rPr>
      </w:pPr>
    </w:p>
    <w:p>
      <w:pPr>
        <w:ind w:left="860" w:right="3519" w:hanging="852"/>
        <w:spacing w:after="0" w:line="252" w:lineRule="auto"/>
        <w:tabs>
          <w:tab w:leader="none" w:pos="8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quarterly earnings per common share - basic, $.87 differs from the annual earnings per common share - basic, $.86, due to rounding.</w:t>
      </w:r>
    </w:p>
    <w:p>
      <w:pPr>
        <w:spacing w:after="0" w:line="162" w:lineRule="exact"/>
        <w:rPr>
          <w:rFonts w:ascii="Courier New" w:cs="Courier New" w:eastAsia="Courier New" w:hAnsi="Courier New"/>
          <w:sz w:val="14"/>
          <w:szCs w:val="14"/>
          <w:color w:val="auto"/>
        </w:rPr>
      </w:pPr>
    </w:p>
    <w:p>
      <w:pPr>
        <w:ind w:left="860" w:right="3519" w:hanging="852"/>
        <w:spacing w:after="0" w:line="255" w:lineRule="auto"/>
        <w:tabs>
          <w:tab w:leader="none" w:pos="8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includes a $7.9 million gain on sale of real estate ($.20 gain per share - basic and diluted).</w:t>
      </w:r>
    </w:p>
    <w:p>
      <w:pPr>
        <w:spacing w:after="0" w:line="159" w:lineRule="exact"/>
        <w:rPr>
          <w:rFonts w:ascii="Courier New" w:cs="Courier New" w:eastAsia="Courier New" w:hAnsi="Courier New"/>
          <w:sz w:val="14"/>
          <w:szCs w:val="14"/>
          <w:color w:val="auto"/>
        </w:rPr>
      </w:pPr>
    </w:p>
    <w:p>
      <w:pPr>
        <w:ind w:left="860" w:right="3679" w:hanging="852"/>
        <w:spacing w:after="0" w:line="255" w:lineRule="auto"/>
        <w:tabs>
          <w:tab w:leader="none" w:pos="8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includes a net $1.3 million gain on sale of real estate ($.03 gain per share - basic and $.02 gain per share - diluted).</w:t>
      </w:r>
    </w:p>
    <w:p>
      <w:pPr>
        <w:spacing w:after="0" w:line="159" w:lineRule="exact"/>
        <w:rPr>
          <w:rFonts w:ascii="Courier New" w:cs="Courier New" w:eastAsia="Courier New" w:hAnsi="Courier New"/>
          <w:sz w:val="14"/>
          <w:szCs w:val="14"/>
          <w:color w:val="auto"/>
        </w:rPr>
      </w:pPr>
    </w:p>
    <w:p>
      <w:pPr>
        <w:jc w:val="both"/>
        <w:ind w:left="860" w:right="3599" w:hanging="852"/>
        <w:spacing w:after="0" w:line="252" w:lineRule="auto"/>
        <w:tabs>
          <w:tab w:leader="none" w:pos="8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quarterly earnings per common share - diluted, $1.51 differs from the annual earnings per common share - diluted, $1.52, due to rounding.</w:t>
      </w:r>
    </w:p>
    <w:p>
      <w:pPr>
        <w:spacing w:after="0" w:line="162"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F28 -</w:t>
      </w:r>
    </w:p>
    <w:p>
      <w:pPr>
        <w:sectPr>
          <w:pgSz w:w="11900" w:h="16838" w:orient="portrait"/>
          <w:cols w:equalWidth="0" w:num="1">
            <w:col w:w="10239"/>
          </w:cols>
          <w:pgMar w:left="220" w:top="616" w:right="1440" w:bottom="1440" w:gutter="0" w:footer="0" w:header="0"/>
        </w:sectPr>
      </w:pPr>
    </w:p>
    <w:bookmarkStart w:id="90" w:name="page91"/>
    <w:bookmarkEnd w:id="90"/>
    <w:p>
      <w:pPr>
        <w:spacing w:after="0" w:line="41"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SUMMARY OF REAL ESTATE AND ACCUMULATED DEPRECIATION</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DECEMBER 31, 2002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COLUMN A</w:t>
            </w:r>
          </w:p>
        </w:tc>
        <w:tc>
          <w:tcPr>
            <w:tcW w:w="3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COLUMN B</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COLUMN 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COLUMN D</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Initial</w:t>
            </w:r>
          </w:p>
        </w:tc>
        <w:tc>
          <w:tcPr>
            <w:tcW w:w="1840" w:type="dxa"/>
            <w:vAlign w:val="bottom"/>
            <w:gridSpan w:val="3"/>
          </w:tcPr>
          <w:p>
            <w:pPr>
              <w:jc w:val="right"/>
              <w:ind w:right="428"/>
              <w:spacing w:after="0"/>
              <w:rPr>
                <w:sz w:val="20"/>
                <w:szCs w:val="20"/>
                <w:color w:val="auto"/>
              </w:rPr>
            </w:pPr>
            <w:r>
              <w:rPr>
                <w:rFonts w:ascii="Courier New" w:cs="Courier New" w:eastAsia="Courier New" w:hAnsi="Courier New"/>
                <w:sz w:val="14"/>
                <w:szCs w:val="14"/>
                <w:color w:val="auto"/>
              </w:rPr>
              <w:t>cost to company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Cost Capitalized</w:t>
            </w:r>
          </w:p>
        </w:tc>
      </w:tr>
      <w:tr>
        <w:trPr>
          <w:trHeight w:val="166"/>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Building and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Subsequent to</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Descriptions</w:t>
            </w:r>
          </w:p>
        </w:tc>
        <w:tc>
          <w:tcPr>
            <w:tcW w:w="82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Encumbrance</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Improvements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Acquisition</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3,513,000</w:t>
            </w:r>
          </w:p>
        </w:tc>
        <w:tc>
          <w:tcPr>
            <w:tcW w:w="1340" w:type="dxa"/>
            <w:vAlign w:val="bottom"/>
          </w:tcPr>
          <w:p>
            <w:pPr>
              <w:jc w:val="right"/>
              <w:ind w:right="1188"/>
              <w:spacing w:after="0"/>
              <w:rPr>
                <w:sz w:val="20"/>
                <w:szCs w:val="20"/>
                <w:color w:val="auto"/>
              </w:rPr>
            </w:pPr>
            <w:r>
              <w:rPr>
                <w:rFonts w:ascii="Courier New" w:cs="Courier New" w:eastAsia="Courier New" w:hAnsi="Courier New"/>
                <w:sz w:val="14"/>
                <w:szCs w:val="14"/>
                <w:color w:val="auto"/>
                <w:w w:val="70"/>
              </w:rPr>
              <w:t>$</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3,920,000</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0" w:type="dxa"/>
            <w:vAlign w:val="bottom"/>
          </w:tcPr>
          <w:p>
            <w:pPr>
              <w:spacing w:after="0"/>
              <w:rPr>
                <w:sz w:val="24"/>
                <w:szCs w:val="2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2,432,000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12,346,000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4,308,000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ARIZONA BUILDINGS (2)</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1,334,000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9,104,000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598,000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3,565,000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14,466,000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5,865,000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44,300,000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4,363,000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16,459,000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18,686,000</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ROW (Maryland)</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37,025,000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9,114,000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20,821,000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48,377,000</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26,812,000</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29,922,000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8,949,000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33,000,000</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24,715,000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29,020,000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3,856,000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15,959,000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1,978,000</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3200" w:type="dxa"/>
            <w:vAlign w:val="bottom"/>
          </w:tcPr>
          <w:p>
            <w:pPr>
              <w:ind w:left="140"/>
              <w:spacing w:after="0"/>
              <w:rPr>
                <w:sz w:val="20"/>
                <w:szCs w:val="20"/>
                <w:color w:val="auto"/>
              </w:rPr>
            </w:pPr>
            <w:r>
              <w:rPr>
                <w:rFonts w:ascii="Courier New" w:cs="Courier New" w:eastAsia="Courier New" w:hAnsi="Courier New"/>
                <w:sz w:val="14"/>
                <w:szCs w:val="14"/>
                <w:color w:val="auto"/>
              </w:rPr>
              <w:t>(New Jersey)</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11,162,000</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12,456,000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8,616,000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SANTA MONICA (9)</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22,645,000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12,709,000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35,924,000</w:t>
            </w:r>
          </w:p>
        </w:tc>
      </w:tr>
      <w:tr>
        <w:trPr>
          <w:trHeight w:val="166"/>
        </w:trPr>
        <w:tc>
          <w:tcPr>
            <w:tcW w:w="4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(4)</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3,844,000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1,352,000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6,894,000</w:t>
            </w:r>
          </w:p>
        </w:tc>
      </w:tr>
      <w:tr>
        <w:trPr>
          <w:trHeight w:val="166"/>
        </w:trPr>
        <w:tc>
          <w:tcPr>
            <w:tcW w:w="4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11,685,000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9,181,000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7,061,000</w:t>
            </w:r>
          </w:p>
        </w:tc>
      </w:tr>
      <w:tr>
        <w:trPr>
          <w:trHeight w:val="166"/>
        </w:trPr>
        <w:tc>
          <w:tcPr>
            <w:tcW w:w="4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(5)</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19,496,000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25,752,000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3,267,000</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3,646,000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1,290,000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2,793,000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7,424,000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50,012,000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(10)</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25,061,000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27,739,000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(17,279,000)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 (Maryland)</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1,750,000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1,869,000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573,000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4,635,000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11,611,000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5,457,000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12,369,000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12,918,000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3,997,000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1,608,000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5,775,000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7,261,000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4,028,000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11,309,000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10,664,000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11,505,000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12,147,000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972,000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FALLS PLAZA (Virginia)</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1,260,000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735,000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6,150,000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FALLS PLAZA - East (Virginia)</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538,000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535,000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2,278,000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FEASTERVILLE (Pennsylvania)</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1,431,000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8,539,000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 (Maryland)</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35,936,000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10,216,000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17,895,000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33,657,000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 (Illinois)</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9,252,000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9,544,000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7,313,000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FLORIDA RETAIL BUILDINGS (2)</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5,206,000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1,631,000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FLOURTOWN (Pennsylvania)</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1,345,000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3,943,000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3,410,000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FRESH MEADOWS (New York)</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24,625,000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25,255,000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14,501,000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FRIENDSHIP CTR (District of Columbia)</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17,000,000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12,696,000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20,803,000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7,701,000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5,271,000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10,606,000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 (Illinois)</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2,677,000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4,829,000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3,107,000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GOVERNOR PLAZA (Maryland)</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2,068,000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4,905,000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10,930,000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 (Michigan)</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525,000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1,601,000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14,520,000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GREENLAWN (New York)</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2,294,000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3,864,000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4,426,000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HAMILTON (New Jersey)</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4,843,000</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5,405,000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2,257,000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HAUPPAUGE (New York)</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16,700,000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8,791,000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15,262,000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2,129,000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HUNTINGTON (New York)</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14,344,000</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16,008,000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6,513,000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 (Virginia)</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4,308,000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10,026,000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ILLINOIS RETAIL BUILDINGS (2)</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1,291,000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2,325,000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KINGS COURT (California)</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10,714,000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LANCASTER (Pennsylvania)</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4,907,000</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2,103,000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7,659,000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720,000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2,974,000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13,848,000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LAUREL (Maryland)</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7,458,000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22,525,000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15,497,000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LAWRENCE PARK (Pennsylvania)</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31,400,000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5,723,000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7,160,000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10,719,000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LEESBURG PLAZA (Virginia)</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9,900,000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8,184,000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10,722,000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1,437,000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 (Virginia)</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1,237,000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15,096,000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8,799,000</w:t>
            </w:r>
          </w:p>
        </w:tc>
      </w:tr>
      <w:tr>
        <w:trPr>
          <w:trHeight w:val="497"/>
        </w:trPr>
        <w:tc>
          <w:tcPr>
            <w:tcW w:w="820" w:type="dxa"/>
            <w:vAlign w:val="bottom"/>
          </w:tcPr>
          <w:p>
            <w:pPr>
              <w:spacing w:after="0"/>
              <w:rPr>
                <w:sz w:val="20"/>
                <w:szCs w:val="20"/>
                <w:color w:val="auto"/>
              </w:rPr>
            </w:pPr>
            <w:r>
              <w:rPr>
                <w:rFonts w:ascii="Courier New" w:cs="Courier New" w:eastAsia="Courier New" w:hAnsi="Courier New"/>
                <w:sz w:val="14"/>
                <w:szCs w:val="14"/>
                <w:color w:val="auto"/>
              </w:rPr>
              <w:t>COLUMN A</w:t>
            </w:r>
          </w:p>
        </w:tc>
        <w:tc>
          <w:tcPr>
            <w:tcW w:w="3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COLUMN E</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COLUMN F</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Gross amount at which carried at</w:t>
            </w:r>
          </w:p>
        </w:tc>
        <w:tc>
          <w:tcPr>
            <w:tcW w:w="1840" w:type="dxa"/>
            <w:vAlign w:val="bottom"/>
            <w:gridSpan w:val="3"/>
          </w:tcPr>
          <w:p>
            <w:pPr>
              <w:jc w:val="right"/>
              <w:ind w:right="428"/>
              <w:spacing w:after="0"/>
              <w:rPr>
                <w:sz w:val="20"/>
                <w:szCs w:val="20"/>
                <w:color w:val="auto"/>
              </w:rPr>
            </w:pPr>
            <w:r>
              <w:rPr>
                <w:rFonts w:ascii="Courier New" w:cs="Courier New" w:eastAsia="Courier New" w:hAnsi="Courier New"/>
                <w:sz w:val="14"/>
                <w:szCs w:val="14"/>
                <w:color w:val="auto"/>
              </w:rPr>
              <w:t>close of period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Accumulated</w:t>
            </w:r>
          </w:p>
        </w:tc>
      </w:tr>
      <w:tr>
        <w:trPr>
          <w:trHeight w:val="166"/>
        </w:trPr>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Building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Depreciation and</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Descriptions</w:t>
            </w:r>
          </w:p>
        </w:tc>
        <w:tc>
          <w:tcPr>
            <w:tcW w:w="820" w:type="dxa"/>
            <w:vAlign w:val="bottom"/>
          </w:tcPr>
          <w:p>
            <w:pPr>
              <w:spacing w:after="0"/>
              <w:rPr>
                <w:sz w:val="14"/>
                <w:szCs w:val="14"/>
                <w:color w:val="auto"/>
              </w:rPr>
            </w:pPr>
          </w:p>
        </w:tc>
        <w:tc>
          <w:tcPr>
            <w:tcW w:w="1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Land</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Improvements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Total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Amortization</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4,265,000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4,265,000</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1,793,000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2,432,000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16,654,000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19,086,000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7,752,000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ARIZONA BUILDINGS (2)</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1,334,000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9,702,000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11,036,000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1,268,000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3,565,000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20,331,000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23,896,000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5,893,000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4,363,000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35,145,000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39,508,000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19,705,000</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ROW (Maryland)</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9,127,000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69,185,000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78,312,000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11,479,000</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38,871,000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38,871,000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14,772,000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3,788,000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49,947,000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53,735,000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18,689,000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3,856,000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17,937,000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21,793,000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4,097,000</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3200" w:type="dxa"/>
            <w:vAlign w:val="bottom"/>
          </w:tcPr>
          <w:p>
            <w:pPr>
              <w:ind w:left="140"/>
              <w:spacing w:after="0"/>
              <w:rPr>
                <w:sz w:val="20"/>
                <w:szCs w:val="20"/>
                <w:color w:val="auto"/>
              </w:rPr>
            </w:pPr>
            <w:r>
              <w:rPr>
                <w:rFonts w:ascii="Courier New" w:cs="Courier New" w:eastAsia="Courier New" w:hAnsi="Courier New"/>
                <w:sz w:val="14"/>
                <w:szCs w:val="14"/>
                <w:color w:val="auto"/>
              </w:rPr>
              <w:t>(New Jersey)</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21,072,000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21,072,000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7,020,000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SANTA MONICA (9)</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22,645,000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48,633,000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71,278,000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6,219,000</w:t>
            </w:r>
          </w:p>
        </w:tc>
      </w:tr>
      <w:tr>
        <w:trPr>
          <w:trHeight w:val="166"/>
        </w:trPr>
        <w:tc>
          <w:tcPr>
            <w:tcW w:w="4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(4)</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3,844,000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8,246,000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12,090,000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808,000</w:t>
            </w:r>
          </w:p>
        </w:tc>
      </w:tr>
      <w:tr>
        <w:trPr>
          <w:trHeight w:val="166"/>
        </w:trPr>
        <w:tc>
          <w:tcPr>
            <w:tcW w:w="4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11,685,000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16,242,000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27,927,000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2,410,000</w:t>
            </w:r>
          </w:p>
        </w:tc>
      </w:tr>
      <w:tr>
        <w:trPr>
          <w:trHeight w:val="166"/>
        </w:trPr>
        <w:tc>
          <w:tcPr>
            <w:tcW w:w="4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(5)</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19,496,000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25,463,000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44,959,000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2,659,000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4,936,000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4,936,000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2,793,000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57,436,000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60,229,000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18,051,000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(10)</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25,061,000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10,460,000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35,521,000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4,408,000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 (Maryland)</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2,442,000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4,192,000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4,635,000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17,068,000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21,703,000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5,308,000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12,369,000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16,915,000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29,284,000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4,595,000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820" w:type="dxa"/>
            <w:vAlign w:val="bottom"/>
          </w:tcPr>
          <w:p>
            <w:pPr>
              <w:spacing w:after="0"/>
              <w:rPr>
                <w:sz w:val="14"/>
                <w:szCs w:val="14"/>
                <w:color w:val="auto"/>
              </w:rPr>
            </w:pP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1,608,000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13,036,000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14,644,000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6,175,000</w:t>
            </w:r>
          </w:p>
        </w:tc>
      </w:tr>
    </w:tbl>
    <w:p>
      <w:pPr>
        <w:sectPr>
          <w:pgSz w:w="11900" w:h="16880" w:orient="portrait"/>
          <w:cols w:equalWidth="0" w:num="1">
            <w:col w:w="11300"/>
          </w:cols>
          <w:pgMar w:left="220" w:top="616" w:right="379"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ELLISBURG CIRCLE (New Jersey)</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4,028,000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21,973,000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26,001,000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9,791,000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11,505,000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13,119,000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24,624,000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2,339,000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FALLS PLAZA (Virginia)</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1,260,000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6,885,000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8,145,000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2,396,000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FALLS PLAZA - East (Virginia)</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559,000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2,792,000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3,351,000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2,644,000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FEASTERVILLE (Pennsylvania)</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1,431,000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10,139,000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11,570,000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5,022,000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FEDERAL PLAZA (Maryland)</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10,216,000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51,552,000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61,768,000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18,151,000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FINLEY SQUARE (Illinois)</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9,252,000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16,857,000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26,109,000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5,011,000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FLORIDA RETAIL BUILDINGS (2)</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5,206,000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1,669,000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6,875,000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322,000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FLOURTOWN (Pennsylvania)</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1,345,000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7,353,000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8,698,000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3,685,000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FRESH MEADOWS (New York)</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24,625,000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39,756,000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64,381,000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6,167,000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FRIENDSHIP CTR (District of Columbia)</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12,696,000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20,756,000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33,452,000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792,000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6,012,000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17,566,000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23,578,000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6,521,000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GARDEN MARKET (Illinois)</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2,677,000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7,936,000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10,613,000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1,883,000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GOVERNOR PLAZA (Maryland)</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2,068,000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15,835,000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17,903,000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9,353,000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GRATIOT PLAZA (Michigan)</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525,000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16,121,000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16,646,000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4,918,000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GREENLAWN (New York)</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2,294,000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8,290,000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10,584,000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823,000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HAMILTON (New Jersey)</w:t>
            </w:r>
          </w:p>
        </w:tc>
        <w:tc>
          <w:tcPr>
            <w:tcW w:w="224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7,662,000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7,662,000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3,846,000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HAUPPAUGE (New York)</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8,791,000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17,391,000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26,182,000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2,188,000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HUNTINGTON (New York)</w:t>
            </w:r>
          </w:p>
        </w:tc>
        <w:tc>
          <w:tcPr>
            <w:tcW w:w="224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22,521,000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22,521,000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10,051,000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IDYLWOOD PLAZA (Virginia)</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4,308,000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10,501,000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14,809,000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2,745,000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ILLINOIS RETAIL BUILDINGS (2)</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1,291,000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2,986,000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4,277,000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734,000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KINGS COURT (California)</w:t>
            </w:r>
          </w:p>
        </w:tc>
        <w:tc>
          <w:tcPr>
            <w:tcW w:w="224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10,921,000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10,921,000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1,851,000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LANCASTER (Pennsylvania)</w:t>
            </w:r>
          </w:p>
        </w:tc>
        <w:tc>
          <w:tcPr>
            <w:tcW w:w="224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9,762,000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9,762,000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4,150,000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720,000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16,822,000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17,542,000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6,370,000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LAUREL (Maryland)</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7,458,000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38,022,000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45,480,000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18,761,000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LAWRENCE PARK (Pennsylvania)</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5,734,000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17,868,000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23,602,000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14,593,000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LEESBURG PLAZA (Virginia)</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8,184,000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12,159,000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20,343,000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1,594,000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LOEHMANN'S PLAZA (Virginia)</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1,248,000</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23,884,000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25,132,000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3,023,000</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COLUMN A</w:t>
            </w:r>
          </w:p>
        </w:tc>
        <w:tc>
          <w:tcPr>
            <w:tcW w:w="2540" w:type="dxa"/>
            <w:vAlign w:val="bottom"/>
          </w:tcPr>
          <w:p>
            <w:pPr>
              <w:spacing w:after="0"/>
              <w:rPr>
                <w:sz w:val="14"/>
                <w:szCs w:val="14"/>
                <w:color w:val="auto"/>
              </w:rPr>
            </w:pPr>
          </w:p>
        </w:tc>
        <w:tc>
          <w:tcPr>
            <w:tcW w:w="29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COLUMN G</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COLUMN H</w:t>
            </w:r>
          </w:p>
        </w:tc>
        <w:tc>
          <w:tcPr>
            <w:tcW w:w="21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COLUMN I</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Life on which</w:t>
            </w:r>
          </w:p>
        </w:tc>
      </w:tr>
      <w:tr>
        <w:trPr>
          <w:trHeight w:val="166"/>
        </w:trPr>
        <w:tc>
          <w:tcPr>
            <w:tcW w:w="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Date</w:t>
            </w:r>
          </w:p>
        </w:tc>
        <w:tc>
          <w:tcPr>
            <w:tcW w:w="138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depreciation in latest</w:t>
            </w:r>
          </w:p>
        </w:tc>
      </w:tr>
      <w:tr>
        <w:trPr>
          <w:trHeight w:val="166"/>
        </w:trPr>
        <w:tc>
          <w:tcPr>
            <w:tcW w:w="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900" w:type="dxa"/>
            <w:vAlign w:val="bottom"/>
          </w:tcPr>
          <w:p>
            <w:pPr>
              <w:jc w:val="center"/>
              <w:ind w:left="828"/>
              <w:spacing w:after="0"/>
              <w:rPr>
                <w:sz w:val="20"/>
                <w:szCs w:val="20"/>
                <w:color w:val="auto"/>
              </w:rPr>
            </w:pPr>
            <w:r>
              <w:rPr>
                <w:rFonts w:ascii="Courier New" w:cs="Courier New" w:eastAsia="Courier New" w:hAnsi="Courier New"/>
                <w:sz w:val="14"/>
                <w:szCs w:val="14"/>
                <w:color w:val="auto"/>
                <w:w w:val="94"/>
              </w:rPr>
              <w:t>of</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Date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statements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Descriptions</w:t>
            </w:r>
          </w:p>
        </w:tc>
        <w:tc>
          <w:tcPr>
            <w:tcW w:w="290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Construction</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Acquired</w:t>
            </w:r>
          </w:p>
        </w:tc>
        <w:tc>
          <w:tcPr>
            <w:tcW w:w="218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is computed</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1958</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1953</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01/12/88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ARIZONA BUILDINGS (2)</w:t>
            </w:r>
          </w:p>
        </w:tc>
        <w:tc>
          <w:tcPr>
            <w:tcW w:w="29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1995-1998</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05/07/98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1955</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09/22/93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1958</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12/31/85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ROW (Maryland)</w:t>
            </w:r>
          </w:p>
        </w:tc>
        <w:tc>
          <w:tcPr>
            <w:tcW w:w="29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1945-2000</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12/31/93</w:t>
            </w:r>
          </w:p>
        </w:tc>
        <w:tc>
          <w:tcPr>
            <w:tcW w:w="21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35 - 50 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1959</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1958</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12/28/89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1959</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9/22/95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540" w:type="dxa"/>
            <w:vAlign w:val="bottom"/>
          </w:tcPr>
          <w:p>
            <w:pPr>
              <w:ind w:left="140"/>
              <w:spacing w:after="0"/>
              <w:rPr>
                <w:sz w:val="20"/>
                <w:szCs w:val="20"/>
                <w:color w:val="auto"/>
              </w:rPr>
            </w:pPr>
            <w:r>
              <w:rPr>
                <w:rFonts w:ascii="Courier New" w:cs="Courier New" w:eastAsia="Courier New" w:hAnsi="Courier New"/>
                <w:sz w:val="14"/>
                <w:szCs w:val="14"/>
                <w:color w:val="auto"/>
              </w:rPr>
              <w:t>(New Jersey)</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1957</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w:t>
            </w:r>
          </w:p>
        </w:tc>
        <w:tc>
          <w:tcPr>
            <w:tcW w:w="2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3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SANTA MONICA (9)</w:t>
            </w:r>
          </w:p>
        </w:tc>
        <w:tc>
          <w:tcPr>
            <w:tcW w:w="29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1888-2000</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1996-2000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(4)</w:t>
            </w:r>
          </w:p>
        </w:tc>
        <w:tc>
          <w:tcPr>
            <w:tcW w:w="29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1888-1995</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1996-1997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1908</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10/23/97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(5)</w:t>
            </w:r>
          </w:p>
        </w:tc>
        <w:tc>
          <w:tcPr>
            <w:tcW w:w="2900" w:type="dxa"/>
            <w:vAlign w:val="bottom"/>
          </w:tcPr>
          <w:p>
            <w:pPr>
              <w:jc w:val="center"/>
              <w:ind w:left="748"/>
              <w:spacing w:after="0"/>
              <w:rPr>
                <w:sz w:val="20"/>
                <w:szCs w:val="20"/>
                <w:color w:val="auto"/>
              </w:rPr>
            </w:pPr>
            <w:r>
              <w:rPr>
                <w:rFonts w:ascii="Courier New" w:cs="Courier New" w:eastAsia="Courier New" w:hAnsi="Courier New"/>
                <w:sz w:val="14"/>
                <w:szCs w:val="14"/>
                <w:color w:val="auto"/>
                <w:w w:val="95"/>
              </w:rPr>
              <w:t>var</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1996-1999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1959</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1965</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04/01/65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(10)</w:t>
            </w:r>
          </w:p>
        </w:tc>
        <w:tc>
          <w:tcPr>
            <w:tcW w:w="29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1900-1991</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1994-1996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 (Maryland)</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1975</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12/17/97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1959</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07/19/93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1959</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12/31/93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1963</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12/18/86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1959</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10/16/92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1987</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12/31/96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FALLS PLAZA (Virginia)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1962</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09/30/67</w:t>
            </w:r>
          </w:p>
        </w:tc>
        <w:tc>
          <w:tcPr>
            <w:tcW w:w="218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22 3/4 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FALLS PLAZA - East (Virginia)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1960</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10/05/72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FEASTERVILLE (Pennsylvania)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1958</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07/23/80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 (Maryland)</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1970</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06/29/89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 (Illinois)</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1974</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04/27/95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FLORIDA RETAIL BUILDINGS (2)</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1920</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02/28/96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FLOURTOWN (Pennsylvania)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1957</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04/25/80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FRESH MEADOWS (New York)</w:t>
            </w:r>
          </w:p>
        </w:tc>
        <w:tc>
          <w:tcPr>
            <w:tcW w:w="29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1946-1949</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12/05/97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FRIENDSHIP CTR (District of Columbia)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09/21/01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1966</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04/22/93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 (Illinois)</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1958</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07/28/94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GOVERNOR PLAZA (Maryland)</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1963</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10/01/85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 (Michigan)</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1964</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03/29/73</w:t>
            </w:r>
          </w:p>
        </w:tc>
        <w:tc>
          <w:tcPr>
            <w:tcW w:w="218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25 3/4 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GREENLAWN (New York)</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1975</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01/05/00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HAMILTON (New Jersey)</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1961</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HAUPPAUGE (New York)</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1963</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08/06/98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HUNTINGTON (New York)</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1962</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12/12/88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 (Virginia)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1991</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04/15/94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ILLINOIS RETAIL BUILDINGS (2)</w:t>
            </w:r>
          </w:p>
        </w:tc>
        <w:tc>
          <w:tcPr>
            <w:tcW w:w="29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1900-1927</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1995-1997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KINGS COURT (California)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1960</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08/24/98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LANCASTER (Pennsylvania)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1958</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04/24/80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1966</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01/31/85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LAUREL (Maryland)</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1956</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08/15/86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LAWRENCE PARK (Pennsylvania)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1972</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07/23/80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LEESBURG PLAZA (Virginia)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1967</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09/15/98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 (Virginia)</w:t>
            </w:r>
          </w:p>
        </w:tc>
        <w:tc>
          <w:tcPr>
            <w:tcW w:w="290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1971</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07/21/83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497"/>
        </w:trPr>
        <w:tc>
          <w:tcPr>
            <w:tcW w:w="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00" w:type="dxa"/>
            <w:vAlign w:val="bottom"/>
          </w:tcPr>
          <w:p>
            <w:pPr>
              <w:jc w:val="right"/>
              <w:ind w:right="2568"/>
              <w:spacing w:after="0"/>
              <w:rPr>
                <w:sz w:val="20"/>
                <w:szCs w:val="20"/>
                <w:color w:val="auto"/>
              </w:rPr>
            </w:pPr>
            <w:r>
              <w:rPr>
                <w:rFonts w:ascii="Courier New" w:cs="Courier New" w:eastAsia="Courier New" w:hAnsi="Courier New"/>
                <w:sz w:val="14"/>
                <w:szCs w:val="14"/>
                <w:color w:val="auto"/>
                <w:w w:val="95"/>
              </w:rPr>
              <w:t>F29</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120"/>
          </w:cols>
          <w:pgMar w:left="220" w:top="141" w:right="559" w:bottom="897" w:gutter="0" w:footer="0" w:header="0"/>
        </w:sectPr>
      </w:pPr>
    </w:p>
    <w:bookmarkStart w:id="92" w:name="page93"/>
    <w:bookmarkEnd w:id="92"/>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COLUMN A</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COLUMN B</w:t>
            </w:r>
          </w:p>
        </w:tc>
        <w:tc>
          <w:tcPr>
            <w:tcW w:w="180" w:type="dxa"/>
            <w:vAlign w:val="bottom"/>
          </w:tcPr>
          <w:p>
            <w:pPr>
              <w:spacing w:after="0"/>
              <w:rPr>
                <w:sz w:val="14"/>
                <w:szCs w:val="14"/>
                <w:color w:val="auto"/>
              </w:rPr>
            </w:pPr>
          </w:p>
        </w:tc>
        <w:tc>
          <w:tcPr>
            <w:tcW w:w="1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COLUMN C</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COLUMN D</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1"/>
                <w:szCs w:val="11"/>
                <w:color w:val="auto"/>
                <w:w w:val="74"/>
              </w:rPr>
              <w:t>- ----------------------------------------</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Initial cost to company</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Cost Capitalized</w:t>
            </w: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Courier New" w:cs="Courier New" w:eastAsia="Courier New" w:hAnsi="Courier New"/>
                <w:sz w:val="14"/>
                <w:szCs w:val="14"/>
                <w:color w:val="auto"/>
              </w:rPr>
              <w:t>Building and</w:t>
            </w:r>
          </w:p>
        </w:tc>
        <w:tc>
          <w:tcPr>
            <w:tcW w:w="10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Subsequent to</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Descriptions</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Encumbrance</w:t>
            </w:r>
          </w:p>
        </w:tc>
        <w:tc>
          <w:tcPr>
            <w:tcW w:w="180" w:type="dxa"/>
            <w:vAlign w:val="bottom"/>
          </w:tcPr>
          <w:p>
            <w:pPr>
              <w:spacing w:after="0"/>
              <w:rPr>
                <w:sz w:val="14"/>
                <w:szCs w:val="14"/>
                <w:color w:val="auto"/>
              </w:rPr>
            </w:pPr>
          </w:p>
        </w:tc>
        <w:tc>
          <w:tcPr>
            <w:tcW w:w="15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Land</w:t>
            </w:r>
          </w:p>
        </w:tc>
        <w:tc>
          <w:tcPr>
            <w:tcW w:w="14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Courier New" w:cs="Courier New" w:eastAsia="Courier New" w:hAnsi="Courier New"/>
                <w:sz w:val="14"/>
                <w:szCs w:val="14"/>
                <w:color w:val="auto"/>
              </w:rPr>
              <w:t>Improvements</w:t>
            </w:r>
          </w:p>
        </w:tc>
        <w:tc>
          <w:tcPr>
            <w:tcW w:w="10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Acquisition</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1"/>
                <w:szCs w:val="11"/>
                <w:color w:val="auto"/>
                <w:w w:val="74"/>
              </w:rPr>
              <w:t>- ----------------------------------------</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MAGRUDERS (Maryland)</w:t>
            </w: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4,554,000</w:t>
            </w:r>
          </w:p>
        </w:tc>
        <w:tc>
          <w:tcPr>
            <w:tcW w:w="140" w:type="dxa"/>
            <w:vAlign w:val="bottom"/>
          </w:tcPr>
          <w:p>
            <w:pPr>
              <w:spacing w:after="0"/>
              <w:rPr>
                <w:sz w:val="24"/>
                <w:szCs w:val="2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4,859,000</w:t>
            </w:r>
          </w:p>
        </w:tc>
        <w:tc>
          <w:tcPr>
            <w:tcW w:w="100" w:type="dxa"/>
            <w:vAlign w:val="bottom"/>
          </w:tcPr>
          <w:p>
            <w:pPr>
              <w:spacing w:after="0"/>
              <w:rPr>
                <w:sz w:val="24"/>
                <w:szCs w:val="2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975,000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2460" w:type="dxa"/>
            <w:vAlign w:val="bottom"/>
            <w:gridSpan w:val="2"/>
          </w:tcPr>
          <w:p>
            <w:pPr>
              <w:jc w:val="right"/>
              <w:ind w:right="1088"/>
              <w:spacing w:after="0"/>
              <w:rPr>
                <w:sz w:val="20"/>
                <w:szCs w:val="20"/>
                <w:color w:val="auto"/>
              </w:rPr>
            </w:pPr>
            <w:r>
              <w:rPr>
                <w:rFonts w:ascii="Courier New" w:cs="Courier New" w:eastAsia="Courier New" w:hAnsi="Courier New"/>
                <w:sz w:val="14"/>
                <w:szCs w:val="14"/>
                <w:color w:val="auto"/>
              </w:rPr>
              <w:t>RETAIL BLDG (1)</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1,873,000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1,884,000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MID PIKE PLAZA (Maryland)</w:t>
            </w:r>
          </w:p>
        </w:tc>
        <w:tc>
          <w:tcPr>
            <w:tcW w:w="46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10,041,000</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10,335,000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6,648,000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NEW YORK RETAIL BUILDINGS (3)</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5,891,000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6,051,000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12,023,000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NORTHEAST (Pennsylvania)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1,152,000</w:t>
            </w:r>
          </w:p>
        </w:tc>
        <w:tc>
          <w:tcPr>
            <w:tcW w:w="140" w:type="dxa"/>
            <w:vAlign w:val="bottom"/>
          </w:tcPr>
          <w:p>
            <w:pPr>
              <w:spacing w:after="0"/>
              <w:rPr>
                <w:sz w:val="14"/>
                <w:szCs w:val="14"/>
                <w:color w:val="auto"/>
              </w:rPr>
            </w:pP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10,596,000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9,696,000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NORTH LAKE COMMONS (Illinois)</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2,782,000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8,604,000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1,568,000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OLD KEENE MILL (Virginia)</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638,000</w:t>
            </w:r>
          </w:p>
        </w:tc>
        <w:tc>
          <w:tcPr>
            <w:tcW w:w="140" w:type="dxa"/>
            <w:vAlign w:val="bottom"/>
          </w:tcPr>
          <w:p>
            <w:pPr>
              <w:spacing w:after="0"/>
              <w:rPr>
                <w:sz w:val="14"/>
                <w:szCs w:val="14"/>
                <w:color w:val="auto"/>
              </w:rPr>
            </w:pP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3,408,000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OLD TOWN CENTER (California)</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3,420,000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2,765,000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26,315,000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8,694,000</w:t>
            </w:r>
          </w:p>
        </w:tc>
        <w:tc>
          <w:tcPr>
            <w:tcW w:w="140" w:type="dxa"/>
            <w:vAlign w:val="bottom"/>
          </w:tcPr>
          <w:p>
            <w:pPr>
              <w:spacing w:after="0"/>
              <w:rPr>
                <w:sz w:val="14"/>
                <w:szCs w:val="14"/>
                <w:color w:val="auto"/>
              </w:rPr>
            </w:pP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12,929,000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3,174,000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PENTAGON ROW (Virginia)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2,955,000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82,610,000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PERRING PLAZA (Maryland)</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2,800,000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6,461,000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14,714,000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PIKE 7 (Virginia)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9,709,000</w:t>
            </w:r>
          </w:p>
        </w:tc>
        <w:tc>
          <w:tcPr>
            <w:tcW w:w="140" w:type="dxa"/>
            <w:vAlign w:val="bottom"/>
          </w:tcPr>
          <w:p>
            <w:pPr>
              <w:spacing w:after="0"/>
              <w:rPr>
                <w:sz w:val="14"/>
                <w:szCs w:val="14"/>
                <w:color w:val="auto"/>
              </w:rPr>
            </w:pP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22,799,000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862,000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3,319,000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8,457,000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2,866,000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3,197,000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7,949,000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7,814,000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ROLLINGWOOD APTS. (Maryland)</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2,246,000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3,885,000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RUTGERS (New Jersey)</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12,930,000</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14,429,000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1,486,000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SAM'S PARK &amp; SHOP (District of Columbia)</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4,840,000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6,319,000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577,000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SAUGUS (Massachusetts)</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4,383,000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8,291,000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SHIRLINGTON (Virginia)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9,761,000</w:t>
            </w:r>
          </w:p>
        </w:tc>
        <w:tc>
          <w:tcPr>
            <w:tcW w:w="140" w:type="dxa"/>
            <w:vAlign w:val="bottom"/>
          </w:tcPr>
          <w:p>
            <w:pPr>
              <w:spacing w:after="0"/>
              <w:rPr>
                <w:sz w:val="14"/>
                <w:szCs w:val="14"/>
                <w:color w:val="auto"/>
              </w:rPr>
            </w:pP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14,808,000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7,546,000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TEXAS RETAIL BUILDINGS</w:t>
            </w:r>
          </w:p>
        </w:tc>
        <w:tc>
          <w:tcPr>
            <w:tcW w:w="1680" w:type="dxa"/>
            <w:vAlign w:val="bottom"/>
          </w:tcPr>
          <w:p>
            <w:pPr>
              <w:jc w:val="right"/>
              <w:ind w:right="1348"/>
              <w:spacing w:after="0"/>
              <w:rPr>
                <w:sz w:val="20"/>
                <w:szCs w:val="20"/>
                <w:color w:val="auto"/>
              </w:rPr>
            </w:pPr>
            <w:r>
              <w:rPr>
                <w:rFonts w:ascii="Courier New" w:cs="Courier New" w:eastAsia="Courier New" w:hAnsi="Courier New"/>
                <w:sz w:val="14"/>
                <w:szCs w:val="14"/>
                <w:color w:val="auto"/>
                <w:w w:val="95"/>
              </w:rPr>
              <w:t>(9)</w:t>
            </w:r>
          </w:p>
        </w:tc>
        <w:tc>
          <w:tcPr>
            <w:tcW w:w="46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268,000</w:t>
            </w:r>
          </w:p>
        </w:tc>
        <w:tc>
          <w:tcPr>
            <w:tcW w:w="18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14,680,000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1,976,000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38,342,000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TOWER (Virginia)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7,170,000</w:t>
            </w:r>
          </w:p>
        </w:tc>
        <w:tc>
          <w:tcPr>
            <w:tcW w:w="140" w:type="dxa"/>
            <w:vAlign w:val="bottom"/>
          </w:tcPr>
          <w:p>
            <w:pPr>
              <w:spacing w:after="0"/>
              <w:rPr>
                <w:sz w:val="14"/>
                <w:szCs w:val="14"/>
                <w:color w:val="auto"/>
              </w:rPr>
            </w:pP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10,518,000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TROY (New Jersey)</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3,126,000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5,193,000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12,127,000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TYSONS STATION (Virginia)</w:t>
            </w:r>
          </w:p>
        </w:tc>
        <w:tc>
          <w:tcPr>
            <w:tcW w:w="46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6,864,000</w:t>
            </w:r>
          </w:p>
        </w:tc>
        <w:tc>
          <w:tcPr>
            <w:tcW w:w="18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388,000</w:t>
            </w:r>
          </w:p>
        </w:tc>
        <w:tc>
          <w:tcPr>
            <w:tcW w:w="140" w:type="dxa"/>
            <w:vAlign w:val="bottom"/>
          </w:tcPr>
          <w:p>
            <w:pPr>
              <w:spacing w:after="0"/>
              <w:rPr>
                <w:sz w:val="14"/>
                <w:szCs w:val="14"/>
                <w:color w:val="auto"/>
              </w:rPr>
            </w:pP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2,482,000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WILDWOOD (Maryland)</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27,600,000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9,111,000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1,061,000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5,844,000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WILLOW GROVE (Pennsylvania)</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1,499,000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6,643,000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17,733,000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WILLOW LAWN (Virginia)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3,192,000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7,723,000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51,406,000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WYNNEWOOD (Pennsylvania)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32,000,000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8,055,000</w:t>
            </w:r>
          </w:p>
        </w:tc>
        <w:tc>
          <w:tcPr>
            <w:tcW w:w="140" w:type="dxa"/>
            <w:vAlign w:val="bottom"/>
          </w:tcPr>
          <w:p>
            <w:pPr>
              <w:spacing w:after="0"/>
              <w:rPr>
                <w:sz w:val="14"/>
                <w:szCs w:val="14"/>
                <w:color w:val="auto"/>
              </w:rPr>
            </w:pP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13,759,000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13,320,000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DEVELOPMENT PROJECTS:</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7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TANASBOURNE (Oregon)</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7,502,000</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37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SANTANA ROW (California)</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41,969,000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1,161,000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390,993,000</w:t>
            </w: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393,212,000</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429,886,000</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728,553,000</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1,148,387,000</w:t>
            </w: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COLUMN A</w:t>
            </w: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COLUMN E</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COLUMN F</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1"/>
                <w:szCs w:val="11"/>
                <w:color w:val="auto"/>
                <w:w w:val="74"/>
              </w:rPr>
              <w:t>- ----------------------------------------</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Gross amount at which carried at close of period</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Accumulated</w:t>
            </w: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Building and</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and</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Descriptions</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Land</w:t>
            </w:r>
          </w:p>
        </w:tc>
        <w:tc>
          <w:tcPr>
            <w:tcW w:w="18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Improvements</w:t>
            </w:r>
          </w:p>
        </w:tc>
        <w:tc>
          <w:tcPr>
            <w:tcW w:w="140" w:type="dxa"/>
            <w:vAlign w:val="bottom"/>
          </w:tcPr>
          <w:p>
            <w:pPr>
              <w:spacing w:after="0"/>
              <w:rPr>
                <w:sz w:val="14"/>
                <w:szCs w:val="14"/>
                <w:color w:val="auto"/>
              </w:rPr>
            </w:pPr>
          </w:p>
        </w:tc>
        <w:tc>
          <w:tcPr>
            <w:tcW w:w="1580" w:type="dxa"/>
            <w:vAlign w:val="bottom"/>
          </w:tcPr>
          <w:p>
            <w:pPr>
              <w:ind w:left="460"/>
              <w:spacing w:after="0"/>
              <w:rPr>
                <w:sz w:val="20"/>
                <w:szCs w:val="20"/>
                <w:color w:val="auto"/>
              </w:rPr>
            </w:pPr>
            <w:r>
              <w:rPr>
                <w:rFonts w:ascii="Courier New" w:cs="Courier New" w:eastAsia="Courier New" w:hAnsi="Courier New"/>
                <w:sz w:val="14"/>
                <w:szCs w:val="14"/>
                <w:color w:val="auto"/>
              </w:rPr>
              <w:t>Total</w:t>
            </w:r>
          </w:p>
        </w:tc>
        <w:tc>
          <w:tcPr>
            <w:tcW w:w="10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Amortization</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1"/>
                <w:szCs w:val="11"/>
                <w:color w:val="auto"/>
                <w:w w:val="74"/>
              </w:rPr>
              <w:t>- ----------------------------------------</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MAGRUDERS (Maryland)</w:t>
            </w: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4,554,000</w:t>
            </w:r>
          </w:p>
        </w:tc>
        <w:tc>
          <w:tcPr>
            <w:tcW w:w="180" w:type="dxa"/>
            <w:vAlign w:val="bottom"/>
          </w:tcPr>
          <w:p>
            <w:pPr>
              <w:spacing w:after="0"/>
              <w:rPr>
                <w:sz w:val="24"/>
                <w:szCs w:val="2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5,834,000</w:t>
            </w:r>
          </w:p>
        </w:tc>
        <w:tc>
          <w:tcPr>
            <w:tcW w:w="140" w:type="dxa"/>
            <w:vAlign w:val="bottom"/>
          </w:tcPr>
          <w:p>
            <w:pPr>
              <w:spacing w:after="0"/>
              <w:rPr>
                <w:sz w:val="24"/>
                <w:szCs w:val="2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10,388,000</w:t>
            </w:r>
          </w:p>
        </w:tc>
        <w:tc>
          <w:tcPr>
            <w:tcW w:w="100" w:type="dxa"/>
            <w:vAlign w:val="bottom"/>
          </w:tcPr>
          <w:p>
            <w:pPr>
              <w:spacing w:after="0"/>
              <w:rPr>
                <w:sz w:val="24"/>
                <w:szCs w:val="2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847,000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2460" w:type="dxa"/>
            <w:vAlign w:val="bottom"/>
            <w:gridSpan w:val="2"/>
          </w:tcPr>
          <w:p>
            <w:pPr>
              <w:jc w:val="right"/>
              <w:ind w:right="1088"/>
              <w:spacing w:after="0"/>
              <w:rPr>
                <w:sz w:val="20"/>
                <w:szCs w:val="20"/>
                <w:color w:val="auto"/>
              </w:rPr>
            </w:pPr>
            <w:r>
              <w:rPr>
                <w:rFonts w:ascii="Courier New" w:cs="Courier New" w:eastAsia="Courier New" w:hAnsi="Courier New"/>
                <w:sz w:val="14"/>
                <w:szCs w:val="14"/>
                <w:color w:val="auto"/>
              </w:rPr>
              <w:t>RETAIL BLDG (1)</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1,873,000</w:t>
            </w:r>
          </w:p>
        </w:tc>
        <w:tc>
          <w:tcPr>
            <w:tcW w:w="18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2,149,000</w:t>
            </w:r>
          </w:p>
        </w:tc>
        <w:tc>
          <w:tcPr>
            <w:tcW w:w="140" w:type="dxa"/>
            <w:vAlign w:val="bottom"/>
          </w:tcPr>
          <w:p>
            <w:pPr>
              <w:spacing w:after="0"/>
              <w:rPr>
                <w:sz w:val="14"/>
                <w:szCs w:val="14"/>
                <w:color w:val="auto"/>
              </w:rPr>
            </w:pP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4,022,000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534,000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MID PIKE PLAZA (Maryland)</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16,983,000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16,983,000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9,228,000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NEW YORK RETAIL BUILDINGS (3)</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6,140,000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17,825,000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23,965,000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1,910,000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NORTHEAST (Pennsylvania)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1,153,000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20,291,000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21,444,000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10,755,000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NORTH LAKE COMMONS (Illinois)</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2,782,000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10,172,000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12,954,000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2,608,000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OLD KEENE MILL (Virginia)</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638,000</w:t>
            </w:r>
          </w:p>
        </w:tc>
        <w:tc>
          <w:tcPr>
            <w:tcW w:w="18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4,406,000</w:t>
            </w:r>
          </w:p>
        </w:tc>
        <w:tc>
          <w:tcPr>
            <w:tcW w:w="140" w:type="dxa"/>
            <w:vAlign w:val="bottom"/>
          </w:tcPr>
          <w:p>
            <w:pPr>
              <w:spacing w:after="0"/>
              <w:rPr>
                <w:sz w:val="14"/>
                <w:szCs w:val="14"/>
                <w:color w:val="auto"/>
              </w:rPr>
            </w:pP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5,044,000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3,375,000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OLD TOWN CENTER (California)</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3,420,000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29,080,000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32,500,000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4,069,000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8,694,000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16,103,000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24,797,000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5,857,000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PENTAGON ROW (Virginia)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85,565,000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85,565,000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3,468,000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PERRING PLAZA (Maryland)</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2,800,000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21,175,000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23,975,000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10,913,000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PIKE 7 (Virginia)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9,709,000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23,661,000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33,370,000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4,216,000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3,319,000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11,323,000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14,642,000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3,597,000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2,928,000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16,032,000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18,960,000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5,971,000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ROLLINGWOOD APTS. (Maryland)</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572,000</w:t>
            </w:r>
          </w:p>
        </w:tc>
        <w:tc>
          <w:tcPr>
            <w:tcW w:w="18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6,111,000</w:t>
            </w:r>
          </w:p>
        </w:tc>
        <w:tc>
          <w:tcPr>
            <w:tcW w:w="140" w:type="dxa"/>
            <w:vAlign w:val="bottom"/>
          </w:tcPr>
          <w:p>
            <w:pPr>
              <w:spacing w:after="0"/>
              <w:rPr>
                <w:sz w:val="14"/>
                <w:szCs w:val="14"/>
                <w:color w:val="auto"/>
              </w:rPr>
            </w:pP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6,683,000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6,011,000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RUTGERS (New Jersey)</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15,915,000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15,915,000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6,466,000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SAM'S PARK &amp; SHOP (District of Columbia)</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4,840,000</w:t>
            </w:r>
          </w:p>
        </w:tc>
        <w:tc>
          <w:tcPr>
            <w:tcW w:w="18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6,896,000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11,736,000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1,647,000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SAUGUS (Massachusetts)</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4,383,000</w:t>
            </w:r>
          </w:p>
        </w:tc>
        <w:tc>
          <w:tcPr>
            <w:tcW w:w="18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8,686,000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13,069,000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1,678,000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SHIRLINGTON (Virginia)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9,816,000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22,299,000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32,115,000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4,188,000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TEXAS RETAIL BUILDINGS</w:t>
            </w:r>
          </w:p>
        </w:tc>
        <w:tc>
          <w:tcPr>
            <w:tcW w:w="1680" w:type="dxa"/>
            <w:vAlign w:val="bottom"/>
          </w:tcPr>
          <w:p>
            <w:pPr>
              <w:jc w:val="right"/>
              <w:ind w:right="1348"/>
              <w:spacing w:after="0"/>
              <w:rPr>
                <w:sz w:val="20"/>
                <w:szCs w:val="20"/>
                <w:color w:val="auto"/>
              </w:rPr>
            </w:pPr>
            <w:r>
              <w:rPr>
                <w:rFonts w:ascii="Courier New" w:cs="Courier New" w:eastAsia="Courier New" w:hAnsi="Courier New"/>
                <w:sz w:val="14"/>
                <w:szCs w:val="14"/>
                <w:color w:val="auto"/>
                <w:w w:val="95"/>
              </w:rPr>
              <w:t>(9)</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14,680,000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40,318,000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54,998,000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1,089,000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TOWER (Virginia)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7,129,000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10,964,000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18,093,000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1,419,000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TROY (New Jersey)</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3,126,000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17,320,000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20,446,000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11,554,000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TYSONS STATION (Virginia)</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475,000</w:t>
            </w:r>
          </w:p>
        </w:tc>
        <w:tc>
          <w:tcPr>
            <w:tcW w:w="18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2,848,000</w:t>
            </w:r>
          </w:p>
        </w:tc>
        <w:tc>
          <w:tcPr>
            <w:tcW w:w="140" w:type="dxa"/>
            <w:vAlign w:val="bottom"/>
          </w:tcPr>
          <w:p>
            <w:pPr>
              <w:spacing w:after="0"/>
              <w:rPr>
                <w:sz w:val="14"/>
                <w:szCs w:val="14"/>
                <w:color w:val="auto"/>
              </w:rPr>
            </w:pP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3,323,000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2,396,000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WILDWOOD (Maryland)</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9,111,000</w:t>
            </w:r>
          </w:p>
        </w:tc>
        <w:tc>
          <w:tcPr>
            <w:tcW w:w="18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6,905,000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16,016,000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6,056,000</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WILLOW GROVE (Pennsylvania)</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1,499,000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24,376,000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25,875,000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12,054,000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WILLOW LAWN (Virginia)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7,790,000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54,531,000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62,321,000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26,718,000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WYNNEWOOD (Pennsylvania)</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8,055,000</w:t>
            </w:r>
          </w:p>
        </w:tc>
        <w:tc>
          <w:tcPr>
            <w:tcW w:w="18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Courier New" w:cs="Courier New" w:eastAsia="Courier New" w:hAnsi="Courier New"/>
                <w:sz w:val="14"/>
                <w:szCs w:val="14"/>
                <w:color w:val="auto"/>
              </w:rPr>
              <w:t>27,079,000</w:t>
            </w:r>
          </w:p>
        </w:tc>
        <w:tc>
          <w:tcPr>
            <w:tcW w:w="14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35,134,000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5,173,000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DEVELOPMENT PROJECTS:</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7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TANASBOURNE (Oregon)</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7,502,000</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7,502,000</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7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SANTANA ROW (California)</w:t>
            </w: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41,969,000</w:t>
            </w:r>
          </w:p>
        </w:tc>
        <w:tc>
          <w:tcPr>
            <w:tcW w:w="18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392,154,000</w:t>
            </w:r>
          </w:p>
        </w:tc>
        <w:tc>
          <w:tcPr>
            <w:tcW w:w="140" w:type="dxa"/>
            <w:vAlign w:val="bottom"/>
          </w:tcPr>
          <w:p>
            <w:pPr>
              <w:spacing w:after="0"/>
              <w:rPr>
                <w:sz w:val="14"/>
                <w:szCs w:val="14"/>
                <w:color w:val="auto"/>
              </w:rPr>
            </w:pP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434,123,000</w:t>
            </w:r>
          </w:p>
        </w:tc>
        <w:tc>
          <w:tcPr>
            <w:tcW w:w="100" w:type="dxa"/>
            <w:vAlign w:val="bottom"/>
          </w:tcPr>
          <w:p>
            <w:pPr>
              <w:spacing w:after="0"/>
              <w:rPr>
                <w:sz w:val="14"/>
                <w:szCs w:val="14"/>
                <w:color w:val="auto"/>
              </w:rPr>
            </w:pP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1,763,000</w:t>
            </w: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436,741,000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1,870,085,000</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2,306,826,000</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450,697,000</w:t>
            </w: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COLUMN A</w:t>
            </w: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COLUMN G</w:t>
            </w:r>
          </w:p>
        </w:tc>
        <w:tc>
          <w:tcPr>
            <w:tcW w:w="180" w:type="dxa"/>
            <w:vAlign w:val="bottom"/>
          </w:tcPr>
          <w:p>
            <w:pPr>
              <w:spacing w:after="0"/>
              <w:rPr>
                <w:sz w:val="24"/>
                <w:szCs w:val="24"/>
                <w:color w:val="auto"/>
              </w:rPr>
            </w:pPr>
          </w:p>
        </w:tc>
        <w:tc>
          <w:tcPr>
            <w:tcW w:w="1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COLUMN H</w:t>
            </w:r>
          </w:p>
        </w:tc>
        <w:tc>
          <w:tcPr>
            <w:tcW w:w="140" w:type="dxa"/>
            <w:vAlign w:val="bottom"/>
          </w:tcPr>
          <w:p>
            <w:pPr>
              <w:spacing w:after="0"/>
              <w:rPr>
                <w:sz w:val="24"/>
                <w:szCs w:val="2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COLUMN I</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1"/>
                <w:szCs w:val="11"/>
                <w:color w:val="auto"/>
                <w:w w:val="74"/>
              </w:rPr>
              <w:t>- ----------------------------------------</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3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Life on which</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Date</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360" w:type="dxa"/>
            <w:vAlign w:val="bottom"/>
            <w:gridSpan w:val="4"/>
          </w:tcPr>
          <w:p>
            <w:pPr>
              <w:spacing w:after="0"/>
              <w:rPr>
                <w:sz w:val="20"/>
                <w:szCs w:val="20"/>
                <w:color w:val="auto"/>
              </w:rPr>
            </w:pPr>
            <w:r>
              <w:rPr>
                <w:rFonts w:ascii="Courier New" w:cs="Courier New" w:eastAsia="Courier New" w:hAnsi="Courier New"/>
                <w:sz w:val="14"/>
                <w:szCs w:val="14"/>
                <w:color w:val="auto"/>
              </w:rPr>
              <w:t>depreciation in latest</w:t>
            </w:r>
          </w:p>
        </w:tc>
      </w:tr>
      <w:tr>
        <w:trPr>
          <w:trHeight w:val="166"/>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of</w:t>
            </w:r>
          </w:p>
        </w:tc>
        <w:tc>
          <w:tcPr>
            <w:tcW w:w="180" w:type="dxa"/>
            <w:vAlign w:val="bottom"/>
          </w:tcPr>
          <w:p>
            <w:pPr>
              <w:spacing w:after="0"/>
              <w:rPr>
                <w:sz w:val="14"/>
                <w:szCs w:val="14"/>
                <w:color w:val="auto"/>
              </w:rPr>
            </w:pPr>
          </w:p>
        </w:tc>
        <w:tc>
          <w:tcPr>
            <w:tcW w:w="15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Date</w:t>
            </w:r>
          </w:p>
        </w:tc>
        <w:tc>
          <w:tcPr>
            <w:tcW w:w="14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income statements</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Descriptions</w:t>
            </w: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Construction</w:t>
            </w:r>
          </w:p>
        </w:tc>
        <w:tc>
          <w:tcPr>
            <w:tcW w:w="180" w:type="dxa"/>
            <w:vAlign w:val="bottom"/>
          </w:tcPr>
          <w:p>
            <w:pPr>
              <w:spacing w:after="0"/>
              <w:rPr>
                <w:sz w:val="14"/>
                <w:szCs w:val="14"/>
                <w:color w:val="auto"/>
              </w:rPr>
            </w:pPr>
          </w:p>
        </w:tc>
        <w:tc>
          <w:tcPr>
            <w:tcW w:w="1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Acquired</w:t>
            </w:r>
          </w:p>
        </w:tc>
        <w:tc>
          <w:tcPr>
            <w:tcW w:w="140" w:type="dxa"/>
            <w:vAlign w:val="bottom"/>
          </w:tcPr>
          <w:p>
            <w:pPr>
              <w:spacing w:after="0"/>
              <w:rPr>
                <w:sz w:val="14"/>
                <w:szCs w:val="14"/>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is computed</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1"/>
                <w:szCs w:val="11"/>
                <w:color w:val="auto"/>
                <w:w w:val="74"/>
              </w:rPr>
              <w:t>- ----------------------------------------</w:t>
            </w: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3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MAGRUDERS (Maryland)</w:t>
            </w: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1955</w:t>
            </w:r>
          </w:p>
        </w:tc>
        <w:tc>
          <w:tcPr>
            <w:tcW w:w="180" w:type="dxa"/>
            <w:vAlign w:val="bottom"/>
          </w:tcPr>
          <w:p>
            <w:pPr>
              <w:spacing w:after="0"/>
              <w:rPr>
                <w:sz w:val="24"/>
                <w:szCs w:val="24"/>
                <w:color w:val="auto"/>
              </w:rPr>
            </w:pPr>
          </w:p>
        </w:tc>
        <w:tc>
          <w:tcPr>
            <w:tcW w:w="1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12/17/97</w:t>
            </w:r>
          </w:p>
        </w:tc>
        <w:tc>
          <w:tcPr>
            <w:tcW w:w="140" w:type="dxa"/>
            <w:vAlign w:val="bottom"/>
          </w:tcPr>
          <w:p>
            <w:pPr>
              <w:spacing w:after="0"/>
              <w:rPr>
                <w:sz w:val="24"/>
                <w:szCs w:val="2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 years</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80" w:orient="portrait"/>
          <w:cols w:equalWidth="0" w:num="1">
            <w:col w:w="10860"/>
          </w:cols>
          <w:pgMar w:left="220" w:top="947" w:right="819" w:bottom="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1930</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09/07/95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MID PIKE PLAZA (Maryland)</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1963</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05/18/82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NEW YORK RETAIL BUILDINGS (3)</w:t>
            </w:r>
          </w:p>
        </w:tc>
        <w:tc>
          <w:tcPr>
            <w:tcW w:w="1860" w:type="dxa"/>
            <w:vAlign w:val="bottom"/>
          </w:tcPr>
          <w:p>
            <w:pPr>
              <w:jc w:val="center"/>
              <w:spacing w:after="0"/>
              <w:rPr>
                <w:sz w:val="20"/>
                <w:szCs w:val="20"/>
                <w:color w:val="auto"/>
              </w:rPr>
            </w:pPr>
            <w:r>
              <w:rPr>
                <w:rFonts w:ascii="Courier New" w:cs="Courier New" w:eastAsia="Courier New" w:hAnsi="Courier New"/>
                <w:sz w:val="14"/>
                <w:szCs w:val="14"/>
                <w:color w:val="auto"/>
              </w:rPr>
              <w:t>1937 - 1987</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12/16/97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NORTHEAST (Pennsylvania)</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1959</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08/30/83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1989</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04/27/94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OLD KEENE MILL (Virginia)</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1968</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06/15/76</w:t>
            </w:r>
          </w:p>
        </w:tc>
        <w:tc>
          <w:tcPr>
            <w:tcW w:w="14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33 1/3 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OLD TOWN CENTER (California)</w:t>
            </w:r>
          </w:p>
        </w:tc>
        <w:tc>
          <w:tcPr>
            <w:tcW w:w="1860" w:type="dxa"/>
            <w:vAlign w:val="bottom"/>
          </w:tcPr>
          <w:p>
            <w:pPr>
              <w:jc w:val="center"/>
              <w:spacing w:after="0"/>
              <w:rPr>
                <w:sz w:val="20"/>
                <w:szCs w:val="20"/>
                <w:color w:val="auto"/>
              </w:rPr>
            </w:pPr>
            <w:r>
              <w:rPr>
                <w:rFonts w:ascii="Courier New" w:cs="Courier New" w:eastAsia="Courier New" w:hAnsi="Courier New"/>
                <w:sz w:val="14"/>
                <w:szCs w:val="14"/>
                <w:color w:val="auto"/>
              </w:rPr>
              <w:t>1997-1998</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10/22/97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1979</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02/05/93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PENTAGON ROW (Virginia)</w:t>
            </w:r>
          </w:p>
        </w:tc>
        <w:tc>
          <w:tcPr>
            <w:tcW w:w="1860" w:type="dxa"/>
            <w:vAlign w:val="bottom"/>
          </w:tcPr>
          <w:p>
            <w:pPr>
              <w:jc w:val="center"/>
              <w:spacing w:after="0"/>
              <w:rPr>
                <w:sz w:val="20"/>
                <w:szCs w:val="20"/>
                <w:color w:val="auto"/>
              </w:rPr>
            </w:pPr>
            <w:r>
              <w:rPr>
                <w:rFonts w:ascii="Courier New" w:cs="Courier New" w:eastAsia="Courier New" w:hAnsi="Courier New"/>
                <w:sz w:val="14"/>
                <w:szCs w:val="14"/>
                <w:color w:val="auto"/>
              </w:rPr>
              <w:t>1999 - 2002</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PERRING PLAZA (Maryland)</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1963</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10/01/85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PIKE 7 (Virginia)</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1968</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03/31/97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1967</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12/23/94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1975</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04/22/93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ROLLINGWOOD APTS. (Maryland)</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1960</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01/15/71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RUTGERS (New Jersey)</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1973</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12/12/88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SAM'S PARK &amp; SHOP (District of Columbia)</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1930</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12/01/95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SAUGUS (Massachusetts)</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1976</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10/01/96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SHIRLINGTON (Virginia)</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1940</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12/21/95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TEXAS RETAIL BUILDINGS  (9)</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var</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1998-1999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TOWER (Virginia)</w:t>
            </w:r>
          </w:p>
        </w:tc>
        <w:tc>
          <w:tcPr>
            <w:tcW w:w="1860" w:type="dxa"/>
            <w:vAlign w:val="bottom"/>
          </w:tcPr>
          <w:p>
            <w:pPr>
              <w:jc w:val="center"/>
              <w:spacing w:after="0"/>
              <w:rPr>
                <w:sz w:val="20"/>
                <w:szCs w:val="20"/>
                <w:color w:val="auto"/>
              </w:rPr>
            </w:pPr>
            <w:r>
              <w:rPr>
                <w:rFonts w:ascii="Courier New" w:cs="Courier New" w:eastAsia="Courier New" w:hAnsi="Courier New"/>
                <w:sz w:val="14"/>
                <w:szCs w:val="14"/>
                <w:color w:val="auto"/>
              </w:rPr>
              <w:t>1953-1960</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08/24/98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TROY (New Jersey)</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1966</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07/23/80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TYSONS STATION (Virginia)</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1954</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01/17/78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WILDWOOD (Maryland)</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1958</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05/05/69</w:t>
            </w:r>
          </w:p>
        </w:tc>
        <w:tc>
          <w:tcPr>
            <w:tcW w:w="14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33 1/3 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WILLOW GROVE (Pennsylvania)</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1953</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11/20/84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WILLOW LAWN (Virginia)</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1957</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12/05/83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WYNNEWOOD (Pennsylvania)</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1948</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10/29/96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DEVELOPMENT PROJECTS:</w:t>
            </w:r>
          </w:p>
        </w:tc>
        <w:tc>
          <w:tcPr>
            <w:tcW w:w="1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TANASBOURNE (Oregon)</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2000</w:t>
            </w: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SANTANA ROW (California)</w:t>
            </w:r>
          </w:p>
        </w:tc>
        <w:tc>
          <w:tcPr>
            <w:tcW w:w="1860" w:type="dxa"/>
            <w:vAlign w:val="bottom"/>
          </w:tcPr>
          <w:p>
            <w:pPr>
              <w:jc w:val="center"/>
              <w:spacing w:after="0"/>
              <w:rPr>
                <w:sz w:val="20"/>
                <w:szCs w:val="20"/>
                <w:color w:val="auto"/>
              </w:rPr>
            </w:pPr>
            <w:r>
              <w:rPr>
                <w:rFonts w:ascii="Courier New" w:cs="Courier New" w:eastAsia="Courier New" w:hAnsi="Courier New"/>
                <w:sz w:val="14"/>
                <w:szCs w:val="14"/>
                <w:color w:val="auto"/>
              </w:rPr>
              <w:t>1999 - 2002</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03/05/97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39"/>
          </w:cols>
          <w:pgMar w:left="220" w:top="141" w:right="1440" w:bottom="1440" w:gutter="0" w:footer="0" w:header="0"/>
        </w:sectPr>
      </w:pPr>
    </w:p>
    <w:bookmarkStart w:id="94" w:name="page95"/>
    <w:bookmarkEnd w:id="94"/>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DEPRECIATION - CONTINUED</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THREE YEARS ENDED DECEMBER 31, 2002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ind w:left="2240"/>
              <w:spacing w:after="0"/>
              <w:rPr>
                <w:sz w:val="20"/>
                <w:szCs w:val="20"/>
                <w:color w:val="auto"/>
              </w:rPr>
            </w:pPr>
            <w:r>
              <w:rPr>
                <w:rFonts w:ascii="Courier New" w:cs="Courier New" w:eastAsia="Courier New" w:hAnsi="Courier New"/>
                <w:sz w:val="14"/>
                <w:szCs w:val="14"/>
                <w:color w:val="auto"/>
              </w:rPr>
              <w:t>RECONCILIATION OF TOTAL COST</w:t>
            </w: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63"/>
        </w:trPr>
        <w:tc>
          <w:tcPr>
            <w:tcW w:w="5520" w:type="dxa"/>
            <w:vAlign w:val="bottom"/>
          </w:tcPr>
          <w:p>
            <w:pPr>
              <w:spacing w:after="0"/>
              <w:rPr>
                <w:sz w:val="20"/>
                <w:szCs w:val="20"/>
                <w:color w:val="auto"/>
              </w:rPr>
            </w:pPr>
            <w:r>
              <w:rPr>
                <w:rFonts w:ascii="Courier New" w:cs="Courier New" w:eastAsia="Courier New" w:hAnsi="Courier New"/>
                <w:sz w:val="14"/>
                <w:szCs w:val="14"/>
                <w:color w:val="auto"/>
              </w:rPr>
              <w:t>Balance, January 1, 2000</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1,721,459,000</w:t>
            </w:r>
          </w:p>
        </w:tc>
      </w:tr>
      <w:tr>
        <w:trPr>
          <w:trHeight w:val="331"/>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Acquisitions</w:t>
            </w:r>
          </w:p>
        </w:tc>
        <w:tc>
          <w:tcPr>
            <w:tcW w:w="82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26,794,000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Improvements</w:t>
            </w:r>
          </w:p>
        </w:tc>
        <w:tc>
          <w:tcPr>
            <w:tcW w:w="82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156,021,000</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of property and miscellaneous retirements and impairments</w:t>
            </w:r>
          </w:p>
        </w:tc>
        <w:tc>
          <w:tcPr>
            <w:tcW w:w="8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(49,361,000)</w:t>
            </w:r>
          </w:p>
        </w:tc>
      </w:tr>
      <w:tr>
        <w:trPr>
          <w:trHeight w:val="166"/>
        </w:trPr>
        <w:tc>
          <w:tcPr>
            <w:tcW w:w="5520" w:type="dxa"/>
            <w:vAlign w:val="bottom"/>
          </w:tcPr>
          <w:p>
            <w:pPr>
              <w:spacing w:after="0"/>
              <w:rPr>
                <w:sz w:val="14"/>
                <w:szCs w:val="14"/>
                <w:color w:val="auto"/>
              </w:rPr>
            </w:pPr>
          </w:p>
        </w:tc>
        <w:tc>
          <w:tcPr>
            <w:tcW w:w="2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820" w:type="dxa"/>
            <w:vAlign w:val="bottom"/>
          </w:tcPr>
          <w:p>
            <w:pPr>
              <w:spacing w:after="0"/>
              <w:rPr>
                <w:sz w:val="24"/>
                <w:szCs w:val="2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1,854,913,000</w:t>
            </w:r>
          </w:p>
        </w:tc>
      </w:tr>
      <w:tr>
        <w:trPr>
          <w:trHeight w:val="331"/>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Acquisitions</w:t>
            </w:r>
          </w:p>
        </w:tc>
        <w:tc>
          <w:tcPr>
            <w:tcW w:w="82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52,820,000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Improvements</w:t>
            </w:r>
          </w:p>
        </w:tc>
        <w:tc>
          <w:tcPr>
            <w:tcW w:w="82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219,549,000</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of property and miscellaneous retirements</w:t>
            </w:r>
          </w:p>
        </w:tc>
        <w:tc>
          <w:tcPr>
            <w:tcW w:w="8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(22,978,000)</w:t>
            </w:r>
          </w:p>
        </w:tc>
      </w:tr>
      <w:tr>
        <w:trPr>
          <w:trHeight w:val="166"/>
        </w:trPr>
        <w:tc>
          <w:tcPr>
            <w:tcW w:w="5520" w:type="dxa"/>
            <w:vAlign w:val="bottom"/>
          </w:tcPr>
          <w:p>
            <w:pPr>
              <w:spacing w:after="0"/>
              <w:rPr>
                <w:sz w:val="14"/>
                <w:szCs w:val="14"/>
                <w:color w:val="auto"/>
              </w:rPr>
            </w:pPr>
          </w:p>
        </w:tc>
        <w:tc>
          <w:tcPr>
            <w:tcW w:w="2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Balance, December 31, 2001</w:t>
            </w:r>
          </w:p>
        </w:tc>
        <w:tc>
          <w:tcPr>
            <w:tcW w:w="820" w:type="dxa"/>
            <w:vAlign w:val="bottom"/>
          </w:tcPr>
          <w:p>
            <w:pPr>
              <w:spacing w:after="0"/>
              <w:rPr>
                <w:sz w:val="24"/>
                <w:szCs w:val="2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2,104,304,000</w:t>
            </w:r>
          </w:p>
        </w:tc>
      </w:tr>
      <w:tr>
        <w:trPr>
          <w:trHeight w:val="331"/>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Acquisitions</w:t>
            </w:r>
          </w:p>
        </w:tc>
        <w:tc>
          <w:tcPr>
            <w:tcW w:w="82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Improvements</w:t>
            </w:r>
          </w:p>
        </w:tc>
        <w:tc>
          <w:tcPr>
            <w:tcW w:w="82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265,531,000</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of property and miscellaneous retirements</w:t>
            </w:r>
          </w:p>
        </w:tc>
        <w:tc>
          <w:tcPr>
            <w:tcW w:w="8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(63,009,000)</w:t>
            </w:r>
          </w:p>
        </w:tc>
      </w:tr>
      <w:tr>
        <w:trPr>
          <w:trHeight w:val="166"/>
        </w:trPr>
        <w:tc>
          <w:tcPr>
            <w:tcW w:w="5520" w:type="dxa"/>
            <w:vAlign w:val="bottom"/>
          </w:tcPr>
          <w:p>
            <w:pPr>
              <w:spacing w:after="0"/>
              <w:rPr>
                <w:sz w:val="14"/>
                <w:szCs w:val="14"/>
                <w:color w:val="auto"/>
              </w:rPr>
            </w:pPr>
          </w:p>
        </w:tc>
        <w:tc>
          <w:tcPr>
            <w:tcW w:w="2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Balance, December 31, 2002</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2,306,826,000</w:t>
            </w:r>
          </w:p>
        </w:tc>
      </w:tr>
      <w:tr>
        <w:trPr>
          <w:trHeight w:val="166"/>
        </w:trPr>
        <w:tc>
          <w:tcPr>
            <w:tcW w:w="5520" w:type="dxa"/>
            <w:vAlign w:val="bottom"/>
          </w:tcPr>
          <w:p>
            <w:pPr>
              <w:spacing w:after="0"/>
              <w:rPr>
                <w:sz w:val="14"/>
                <w:szCs w:val="14"/>
                <w:color w:val="auto"/>
              </w:rPr>
            </w:pPr>
          </w:p>
        </w:tc>
        <w:tc>
          <w:tcPr>
            <w:tcW w:w="2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60" w:right="4119" w:hanging="252"/>
        <w:spacing w:after="0" w:line="255" w:lineRule="auto"/>
        <w:tabs>
          <w:tab w:leader="none" w:pos="346"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cost basis is approximately $2,090,091,000 as of December 31, 2002.</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39"/>
          </w:cols>
          <w:pgMar w:left="220" w:top="616" w:right="1440" w:bottom="1440" w:gutter="0" w:footer="0" w:header="0"/>
        </w:sectPr>
      </w:pPr>
    </w:p>
    <w:bookmarkStart w:id="95" w:name="page96"/>
    <w:bookmarkEnd w:id="95"/>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DEPRECIATION - CONTINUED</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THREE YEARS ENDED DECEMBER 31, 2002</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RECONCILIATION OF ACCUMULATED DEPRECIATION AND AMORTIZATION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20"/>
                <w:szCs w:val="20"/>
                <w:color w:val="auto"/>
              </w:rPr>
            </w:pPr>
            <w:r>
              <w:rPr>
                <w:rFonts w:ascii="Courier New" w:cs="Courier New" w:eastAsia="Courier New" w:hAnsi="Courier New"/>
                <w:sz w:val="14"/>
                <w:szCs w:val="14"/>
                <w:color w:val="auto"/>
              </w:rPr>
              <w:t>Balance, January 1, 2000</w:t>
            </w:r>
          </w:p>
        </w:tc>
        <w:tc>
          <w:tcPr>
            <w:tcW w:w="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317,921,000</w:t>
            </w:r>
          </w:p>
        </w:tc>
      </w:tr>
      <w:tr>
        <w:trPr>
          <w:trHeight w:val="166"/>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 expense</w:t>
            </w:r>
          </w:p>
        </w:tc>
        <w:tc>
          <w:tcPr>
            <w:tcW w:w="68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49,176,000</w:t>
            </w:r>
          </w:p>
        </w:tc>
      </w:tr>
      <w:tr>
        <w:trPr>
          <w:trHeight w:val="166"/>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w:t>
            </w: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property and miscellaneous retirements</w:t>
            </w:r>
          </w:p>
        </w:tc>
        <w:tc>
          <w:tcPr>
            <w:tcW w:w="6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(15,839,000)</w:t>
            </w:r>
          </w:p>
        </w:tc>
      </w:tr>
      <w:tr>
        <w:trPr>
          <w:trHeight w:val="166"/>
        </w:trPr>
        <w:tc>
          <w:tcPr>
            <w:tcW w:w="5740" w:type="dxa"/>
            <w:vAlign w:val="bottom"/>
          </w:tcPr>
          <w:p>
            <w:pPr>
              <w:spacing w:after="0"/>
              <w:rPr>
                <w:sz w:val="14"/>
                <w:szCs w:val="14"/>
                <w:color w:val="auto"/>
              </w:rPr>
            </w:pPr>
          </w:p>
        </w:tc>
        <w:tc>
          <w:tcPr>
            <w:tcW w:w="2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680" w:type="dxa"/>
            <w:vAlign w:val="bottom"/>
          </w:tcPr>
          <w:p>
            <w:pPr>
              <w:spacing w:after="0"/>
              <w:rPr>
                <w:sz w:val="24"/>
                <w:szCs w:val="2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351,258,000</w:t>
            </w:r>
          </w:p>
        </w:tc>
      </w:tr>
      <w:tr>
        <w:trPr>
          <w:trHeight w:val="166"/>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 expense</w:t>
            </w:r>
          </w:p>
        </w:tc>
        <w:tc>
          <w:tcPr>
            <w:tcW w:w="68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55,048,000</w:t>
            </w:r>
          </w:p>
        </w:tc>
      </w:tr>
      <w:tr>
        <w:trPr>
          <w:trHeight w:val="166"/>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 property,</w:t>
            </w: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miscellaneous retirements and acquisition of minority interest</w:t>
            </w:r>
          </w:p>
        </w:tc>
        <w:tc>
          <w:tcPr>
            <w:tcW w:w="6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(10,539,000)</w:t>
            </w:r>
          </w:p>
        </w:tc>
      </w:tr>
      <w:tr>
        <w:trPr>
          <w:trHeight w:val="166"/>
        </w:trPr>
        <w:tc>
          <w:tcPr>
            <w:tcW w:w="5740" w:type="dxa"/>
            <w:vAlign w:val="bottom"/>
          </w:tcPr>
          <w:p>
            <w:pPr>
              <w:spacing w:after="0"/>
              <w:rPr>
                <w:sz w:val="14"/>
                <w:szCs w:val="14"/>
                <w:color w:val="auto"/>
              </w:rPr>
            </w:pPr>
          </w:p>
        </w:tc>
        <w:tc>
          <w:tcPr>
            <w:tcW w:w="2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Balance, December 31, 2001</w:t>
            </w:r>
          </w:p>
        </w:tc>
        <w:tc>
          <w:tcPr>
            <w:tcW w:w="680" w:type="dxa"/>
            <w:vAlign w:val="bottom"/>
          </w:tcPr>
          <w:p>
            <w:pPr>
              <w:spacing w:after="0"/>
              <w:rPr>
                <w:sz w:val="24"/>
                <w:szCs w:val="2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395,767,000</w:t>
            </w:r>
          </w:p>
        </w:tc>
      </w:tr>
      <w:tr>
        <w:trPr>
          <w:trHeight w:val="331"/>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 expense</w:t>
            </w:r>
          </w:p>
        </w:tc>
        <w:tc>
          <w:tcPr>
            <w:tcW w:w="68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59,296,000</w:t>
            </w:r>
          </w:p>
        </w:tc>
      </w:tr>
      <w:tr>
        <w:trPr>
          <w:trHeight w:val="166"/>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 property,</w:t>
            </w: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miscellaneous retirements and acquisition of minority interest</w:t>
            </w:r>
          </w:p>
        </w:tc>
        <w:tc>
          <w:tcPr>
            <w:tcW w:w="6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(4,366,000)</w:t>
            </w:r>
          </w:p>
        </w:tc>
      </w:tr>
      <w:tr>
        <w:trPr>
          <w:trHeight w:val="166"/>
        </w:trPr>
        <w:tc>
          <w:tcPr>
            <w:tcW w:w="5740" w:type="dxa"/>
            <w:vAlign w:val="bottom"/>
          </w:tcPr>
          <w:p>
            <w:pPr>
              <w:spacing w:after="0"/>
              <w:rPr>
                <w:sz w:val="14"/>
                <w:szCs w:val="14"/>
                <w:color w:val="auto"/>
              </w:rPr>
            </w:pPr>
          </w:p>
        </w:tc>
        <w:tc>
          <w:tcPr>
            <w:tcW w:w="2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Balance, December 31, 2002</w:t>
            </w:r>
          </w:p>
        </w:tc>
        <w:tc>
          <w:tcPr>
            <w:tcW w:w="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450,697,000</w:t>
            </w:r>
          </w:p>
        </w:tc>
      </w:tr>
      <w:tr>
        <w:trPr>
          <w:trHeight w:val="166"/>
        </w:trPr>
        <w:tc>
          <w:tcPr>
            <w:tcW w:w="5740" w:type="dxa"/>
            <w:vAlign w:val="bottom"/>
          </w:tcPr>
          <w:p>
            <w:pPr>
              <w:spacing w:after="0"/>
              <w:rPr>
                <w:sz w:val="14"/>
                <w:szCs w:val="14"/>
                <w:color w:val="auto"/>
              </w:rPr>
            </w:pPr>
          </w:p>
        </w:tc>
        <w:tc>
          <w:tcPr>
            <w:tcW w:w="2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5740" w:type="dxa"/>
            <w:vAlign w:val="bottom"/>
          </w:tcPr>
          <w:p>
            <w:pPr>
              <w:ind w:left="3360"/>
              <w:spacing w:after="0"/>
              <w:rPr>
                <w:sz w:val="20"/>
                <w:szCs w:val="20"/>
                <w:color w:val="auto"/>
              </w:rPr>
            </w:pPr>
            <w:r>
              <w:rPr>
                <w:rFonts w:ascii="Courier New" w:cs="Courier New" w:eastAsia="Courier New" w:hAnsi="Courier New"/>
                <w:sz w:val="14"/>
                <w:szCs w:val="14"/>
                <w:color w:val="auto"/>
              </w:rPr>
              <w:t>F32</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96" w:name="page97"/>
    <w:bookmarkEnd w:id="96"/>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SCHEDULE IV</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MORTGAGE LOANS ON REAL ESTATE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YEAR ENDED DECEMBER 31, 2002</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Column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Column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Column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600" w:space="160"/>
            <w:col w:w="2340" w:space="160"/>
            <w:col w:w="4979"/>
          </w:cols>
          <w:pgMar w:left="220" w:top="616" w:right="1440" w:bottom="1440" w:gutter="0" w:footer="0" w:header="0"/>
          <w:type w:val="continuous"/>
        </w:sectPr>
      </w:pP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Description of Lien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Interest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Maturity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600" w:space="160"/>
            <w:col w:w="2340" w:space="160"/>
            <w:col w:w="49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Leasehold mortgage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2003</w:t>
      </w:r>
    </w:p>
    <w:p>
      <w:pPr>
        <w:spacing w:after="0" w:line="7" w:lineRule="exact"/>
        <w:rPr>
          <w:sz w:val="20"/>
          <w:szCs w:val="20"/>
          <w:color w:val="auto"/>
        </w:rPr>
      </w:pPr>
    </w:p>
    <w:p>
      <w:pPr>
        <w:sectPr>
          <w:pgSz w:w="11900" w:h="16838" w:orient="portrait"/>
          <w:cols w:equalWidth="0" w:num="3">
            <w:col w:w="1880" w:space="720"/>
            <w:col w:w="1780" w:space="720"/>
            <w:col w:w="5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on office building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San Francisco, CA</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on Hotel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to 15%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2012</w:t>
      </w:r>
    </w:p>
    <w:p>
      <w:pPr>
        <w:spacing w:after="0" w:line="7" w:lineRule="exact"/>
        <w:rPr>
          <w:sz w:val="20"/>
          <w:szCs w:val="20"/>
          <w:color w:val="auto"/>
        </w:rPr>
      </w:pPr>
    </w:p>
    <w:p>
      <w:pPr>
        <w:sectPr>
          <w:pgSz w:w="11900" w:h="16838" w:orient="portrait"/>
          <w:cols w:equalWidth="0" w:num="3">
            <w:col w:w="1880" w:space="720"/>
            <w:col w:w="1780" w:space="720"/>
            <w:col w:w="5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 San Jose, CA</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Mortgage on retail buildings in Philadelphia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Greater of prime plus</w:t>
      </w:r>
    </w:p>
    <w:p>
      <w:pPr>
        <w:spacing w:after="0" w:line="7" w:lineRule="exact"/>
        <w:rPr>
          <w:sz w:val="20"/>
          <w:szCs w:val="20"/>
          <w:color w:val="auto"/>
        </w:rPr>
      </w:pPr>
    </w:p>
    <w:p>
      <w:pPr>
        <w:ind w:left="80"/>
        <w:spacing w:after="0"/>
        <w:tabs>
          <w:tab w:leader="none" w:pos="400" w:val="left"/>
        </w:tabs>
        <w:rPr>
          <w:sz w:val="20"/>
          <w:szCs w:val="20"/>
          <w:color w:val="auto"/>
        </w:rPr>
      </w:pPr>
      <w:r>
        <w:rPr>
          <w:rFonts w:ascii="Courier New" w:cs="Courier New" w:eastAsia="Courier New" w:hAnsi="Courier New"/>
          <w:sz w:val="14"/>
          <w:szCs w:val="14"/>
          <w:color w:val="auto"/>
        </w:rPr>
        <w:t>2%</w:t>
        <w:tab/>
        <w:t>or 10%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2021</w:t>
      </w:r>
    </w:p>
    <w:p>
      <w:pPr>
        <w:spacing w:after="0" w:line="378" w:lineRule="exact"/>
        <w:rPr>
          <w:sz w:val="20"/>
          <w:szCs w:val="20"/>
          <w:color w:val="auto"/>
        </w:rPr>
      </w:pPr>
    </w:p>
    <w:p>
      <w:pPr>
        <w:sectPr>
          <w:pgSz w:w="11900" w:h="16838" w:orient="portrait"/>
          <w:cols w:equalWidth="0" w:num="3">
            <w:col w:w="2160" w:space="440"/>
            <w:col w:w="1800" w:space="700"/>
            <w:col w:w="5139"/>
          </w:cols>
          <w:pgMar w:left="220" w:top="616"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on retail</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plus participation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2021</w:t>
      </w:r>
    </w:p>
    <w:p>
      <w:pPr>
        <w:spacing w:after="0" w:line="7" w:lineRule="exact"/>
        <w:rPr>
          <w:sz w:val="20"/>
          <w:szCs w:val="20"/>
          <w:color w:val="auto"/>
        </w:rPr>
      </w:pPr>
    </w:p>
    <w:p>
      <w:pPr>
        <w:sectPr>
          <w:pgSz w:w="11900" w:h="16838" w:orient="portrait"/>
          <w:cols w:equalWidth="0" w:num="3">
            <w:col w:w="1880" w:space="720"/>
            <w:col w:w="1880" w:space="620"/>
            <w:col w:w="5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buildings in Philadelphia</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Column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Periodic Payment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Terms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Column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Liens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Column F</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Face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Mortgages</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Column 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Carrying</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Mortgages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3620" w:space="180"/>
            <w:col w:w="1380" w:space="80"/>
            <w:col w:w="1380" w:space="180"/>
            <w:col w:w="3419"/>
          </w:cols>
          <w:pgMar w:left="220" w:top="61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Interest only</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5,618,000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5,618,000 (2)</w:t>
      </w:r>
    </w:p>
    <w:p>
      <w:pPr>
        <w:spacing w:after="0" w:line="7" w:lineRule="exact"/>
        <w:rPr>
          <w:sz w:val="20"/>
          <w:szCs w:val="20"/>
          <w:color w:val="auto"/>
        </w:rPr>
      </w:pPr>
    </w:p>
    <w:p>
      <w:pPr>
        <w:sectPr>
          <w:pgSz w:w="11900" w:h="16838" w:orient="portrait"/>
          <w:cols w:equalWidth="0" w:num="5">
            <w:col w:w="4020" w:space="720"/>
            <w:col w:w="520" w:space="440"/>
            <w:col w:w="760" w:space="180"/>
            <w:col w:w="80" w:space="700"/>
            <w:col w:w="2819"/>
          </w:cols>
          <w:pgMar w:left="220" w:top="61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monthly; ballon payment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due at maturity</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7,200,000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7,200,000</w:t>
      </w:r>
    </w:p>
    <w:p>
      <w:pPr>
        <w:spacing w:after="0" w:line="200" w:lineRule="exact"/>
        <w:rPr>
          <w:sz w:val="20"/>
          <w:szCs w:val="20"/>
          <w:color w:val="auto"/>
        </w:rPr>
      </w:pPr>
    </w:p>
    <w:p>
      <w:pPr>
        <w:sectPr>
          <w:pgSz w:w="11900" w:h="16838" w:orient="portrait"/>
          <w:cols w:equalWidth="0" w:num="4">
            <w:col w:w="4020" w:space="720"/>
            <w:col w:w="240" w:space="720"/>
            <w:col w:w="1000" w:space="720"/>
            <w:col w:w="2819"/>
          </w:cols>
          <w:pgMar w:left="220" w:top="616" w:right="1440" w:bottom="1440" w:gutter="0" w:footer="0" w:header="0"/>
          <w:type w:val="continuous"/>
        </w:sectPr>
      </w:pPr>
    </w:p>
    <w:p>
      <w:pPr>
        <w:spacing w:after="0" w:line="1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Interest only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13,509,000 (4)</w:t>
      </w:r>
    </w:p>
    <w:p>
      <w:pPr>
        <w:spacing w:after="0" w:line="7" w:lineRule="exact"/>
        <w:rPr>
          <w:sz w:val="20"/>
          <w:szCs w:val="20"/>
          <w:color w:val="auto"/>
        </w:rPr>
      </w:pPr>
    </w:p>
    <w:p>
      <w:pPr>
        <w:sectPr>
          <w:pgSz w:w="11900" w:h="16838" w:orient="portrait"/>
          <w:cols w:equalWidth="0" w:num="4">
            <w:col w:w="4020" w:space="720"/>
            <w:col w:w="180" w:space="680"/>
            <w:col w:w="1000" w:space="720"/>
            <w:col w:w="2919"/>
          </w:cols>
          <w:pgMar w:left="220" w:top="61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monthly; balloon payment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due at maturity</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Interest only; balloon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9,250,000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9,250,000</w:t>
      </w:r>
    </w:p>
    <w:p>
      <w:pPr>
        <w:spacing w:after="0" w:line="7" w:lineRule="exact"/>
        <w:rPr>
          <w:sz w:val="20"/>
          <w:szCs w:val="20"/>
          <w:color w:val="auto"/>
        </w:rPr>
      </w:pPr>
    </w:p>
    <w:p>
      <w:pPr>
        <w:sectPr>
          <w:pgSz w:w="11900" w:h="16838" w:orient="portrait"/>
          <w:cols w:equalWidth="0" w:num="4">
            <w:col w:w="4020" w:space="720"/>
            <w:col w:w="240" w:space="720"/>
            <w:col w:w="1000" w:space="720"/>
            <w:col w:w="2819"/>
          </w:cols>
          <w:pgMar w:left="220" w:top="61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payment due at maturity</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000" w:space="180"/>
            <w:col w:w="1280" w:space="180"/>
            <w:col w:w="3599"/>
          </w:cols>
          <w:pgMar w:left="220" w:top="616" w:right="1440" w:bottom="1440" w:gutter="0" w:footer="0" w:header="0"/>
          <w:type w:val="continuous"/>
        </w:sect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Courier New" w:cs="Courier New" w:eastAsia="Courier New" w:hAnsi="Courier New"/>
          <w:sz w:val="14"/>
          <w:szCs w:val="14"/>
          <w:color w:val="auto"/>
        </w:rPr>
        <w:t>$ 47,068,000 ===============</w:t>
      </w:r>
    </w:p>
    <w:p>
      <w:pPr>
        <w:spacing w:after="0" w:line="20" w:lineRule="exact"/>
        <w:rPr>
          <w:sz w:val="20"/>
          <w:szCs w:val="20"/>
          <w:color w:val="auto"/>
        </w:rPr>
      </w:pPr>
      <w:r>
        <w:rPr>
          <w:sz w:val="20"/>
          <w:szCs w:val="20"/>
          <w:color w:val="auto"/>
        </w:rPr>
        <w:br w:type="column"/>
      </w:r>
    </w:p>
    <w:p>
      <w:pPr>
        <w:spacing w:after="0"/>
        <w:tabs>
          <w:tab w:leader="none" w:pos="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35,577,000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2" w:lineRule="exact"/>
        <w:rPr>
          <w:sz w:val="20"/>
          <w:szCs w:val="20"/>
          <w:color w:val="auto"/>
        </w:rPr>
      </w:pPr>
    </w:p>
    <w:p>
      <w:pPr>
        <w:sectPr>
          <w:pgSz w:w="11900" w:h="16838" w:orient="portrait"/>
          <w:cols w:equalWidth="0" w:num="3">
            <w:col w:w="5000" w:space="180"/>
            <w:col w:w="1280" w:space="180"/>
            <w:col w:w="3599"/>
          </w:cols>
          <w:pgMar w:left="220" w:top="616" w:right="1440" w:bottom="1440" w:gutter="0" w:footer="0" w:header="0"/>
          <w:type w:val="continuous"/>
        </w:sectPr>
      </w:pPr>
    </w:p>
    <w:p>
      <w:pPr>
        <w:spacing w:after="0" w:line="126" w:lineRule="exact"/>
        <w:rPr>
          <w:sz w:val="20"/>
          <w:szCs w:val="20"/>
          <w:color w:val="auto"/>
        </w:rPr>
      </w:pPr>
    </w:p>
    <w:p>
      <w:pPr>
        <w:ind w:left="260" w:hanging="252"/>
        <w:spacing w:after="0"/>
        <w:tabs>
          <w:tab w:leader="none" w:pos="2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tax basis is approximately</w:t>
      </w:r>
    </w:p>
    <w:p>
      <w:pPr>
        <w:spacing w:after="0" w:line="7" w:lineRule="exact"/>
        <w:rPr>
          <w:rFonts w:ascii="Courier New" w:cs="Courier New" w:eastAsia="Courier New" w:hAnsi="Courier New"/>
          <w:sz w:val="14"/>
          <w:szCs w:val="14"/>
          <w:color w:val="auto"/>
        </w:rPr>
      </w:pPr>
    </w:p>
    <w:p>
      <w:pPr>
        <w:ind w:left="260" w:right="37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$35,577,000 as of December 31, 2002. No payments are delinquent on these mortgages.</w:t>
      </w:r>
    </w:p>
    <w:p>
      <w:pPr>
        <w:ind w:left="260" w:right="3419" w:hanging="252"/>
        <w:spacing w:after="0" w:line="250" w:lineRule="auto"/>
        <w:tabs>
          <w:tab w:leader="none" w:pos="2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was not repaid on the due date. We are currently exploring all available options we may have as a result of the borrowers failure to pay at maturity.</w:t>
      </w:r>
    </w:p>
    <w:p>
      <w:pPr>
        <w:spacing w:after="0" w:line="1" w:lineRule="exact"/>
        <w:rPr>
          <w:rFonts w:ascii="Courier New" w:cs="Courier New" w:eastAsia="Courier New" w:hAnsi="Courier New"/>
          <w:sz w:val="14"/>
          <w:szCs w:val="14"/>
          <w:color w:val="auto"/>
        </w:rPr>
      </w:pPr>
    </w:p>
    <w:p>
      <w:pPr>
        <w:ind w:left="260" w:right="3339" w:hanging="252"/>
        <w:spacing w:after="0" w:line="250" w:lineRule="auto"/>
        <w:tabs>
          <w:tab w:leader="none" w:pos="2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first five years interest is payable from cash flow, if available. If cash flow is not sufficient to pay interest in full, the unpaid amount will accrue and bear interest at the same rate as the principal. After year five, current interest payments are required. After year seven, mortgagee is required to apply 50% of all available cash flow to repayment of principal.</w:t>
      </w:r>
    </w:p>
    <w:p>
      <w:pPr>
        <w:spacing w:after="0" w:line="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available for up to $25,000,000.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F33</w:t>
      </w:r>
    </w:p>
    <w:p>
      <w:pPr>
        <w:sectPr>
          <w:pgSz w:w="11900" w:h="16838" w:orient="portrait"/>
          <w:cols w:equalWidth="0" w:num="1">
            <w:col w:w="10239"/>
          </w:cols>
          <w:pgMar w:left="220" w:top="616" w:right="1440" w:bottom="1440" w:gutter="0" w:footer="0" w:header="0"/>
          <w:type w:val="continuous"/>
        </w:sectPr>
      </w:pPr>
    </w:p>
    <w:bookmarkStart w:id="97" w:name="page98"/>
    <w:bookmarkEnd w:id="97"/>
    <w:p>
      <w:pPr>
        <w:jc w:val="center"/>
        <w:ind w:right="323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SCHEDULE IV</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MORTGAGE LOANS ON REAL ESTATE - CONTINUED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THREE YEARS ENDED DECEMBER 31, 2001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gridSpan w:val="2"/>
          </w:tcPr>
          <w:p>
            <w:pPr>
              <w:ind w:left="2080"/>
              <w:spacing w:after="0"/>
              <w:rPr>
                <w:sz w:val="20"/>
                <w:szCs w:val="20"/>
                <w:color w:val="auto"/>
              </w:rPr>
            </w:pPr>
            <w:r>
              <w:rPr>
                <w:rFonts w:ascii="Courier New" w:cs="Courier New" w:eastAsia="Courier New" w:hAnsi="Courier New"/>
                <w:sz w:val="14"/>
                <w:szCs w:val="14"/>
                <w:color w:val="auto"/>
              </w:rPr>
              <w:t>RECONCILIATION OF CARRYING AMOUNT</w:t>
            </w:r>
          </w:p>
        </w:tc>
        <w:tc>
          <w:tcPr>
            <w:tcW w:w="120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 January 1, 2000</w:t>
            </w:r>
          </w:p>
        </w:tc>
        <w:tc>
          <w:tcPr>
            <w:tcW w:w="17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53,495,000</w:t>
            </w:r>
          </w:p>
        </w:tc>
      </w:tr>
      <w:tr>
        <w:trPr>
          <w:trHeight w:val="331"/>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Issuance of loan</w:t>
            </w:r>
          </w:p>
        </w:tc>
        <w:tc>
          <w:tcPr>
            <w:tcW w:w="17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5,701,000</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w:t>
            </w:r>
          </w:p>
        </w:tc>
        <w:tc>
          <w:tcPr>
            <w:tcW w:w="17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Collection of loan</w:t>
            </w:r>
          </w:p>
        </w:tc>
        <w:tc>
          <w:tcPr>
            <w:tcW w:w="17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(11,836,000)</w:t>
            </w:r>
          </w:p>
        </w:tc>
      </w:tr>
      <w:tr>
        <w:trPr>
          <w:trHeight w:val="166"/>
        </w:trPr>
        <w:tc>
          <w:tcPr>
            <w:tcW w:w="3360" w:type="dxa"/>
            <w:vAlign w:val="bottom"/>
          </w:tcPr>
          <w:p>
            <w:pPr>
              <w:spacing w:after="0"/>
              <w:rPr>
                <w:sz w:val="14"/>
                <w:szCs w:val="14"/>
                <w:color w:val="auto"/>
              </w:rPr>
            </w:pPr>
          </w:p>
        </w:tc>
        <w:tc>
          <w:tcPr>
            <w:tcW w:w="2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174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47,360,000</w:t>
            </w:r>
          </w:p>
        </w:tc>
      </w:tr>
      <w:tr>
        <w:trPr>
          <w:trHeight w:val="331"/>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Issuance of loans</w:t>
            </w:r>
          </w:p>
        </w:tc>
        <w:tc>
          <w:tcPr>
            <w:tcW w:w="17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925,000</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w:t>
            </w:r>
          </w:p>
        </w:tc>
        <w:tc>
          <w:tcPr>
            <w:tcW w:w="17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Collection and satisfaction of loans</w:t>
            </w:r>
          </w:p>
        </w:tc>
        <w:tc>
          <w:tcPr>
            <w:tcW w:w="17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(12,678,000)</w:t>
            </w:r>
          </w:p>
        </w:tc>
      </w:tr>
      <w:tr>
        <w:trPr>
          <w:trHeight w:val="166"/>
        </w:trPr>
        <w:tc>
          <w:tcPr>
            <w:tcW w:w="3360" w:type="dxa"/>
            <w:vAlign w:val="bottom"/>
          </w:tcPr>
          <w:p>
            <w:pPr>
              <w:spacing w:after="0"/>
              <w:rPr>
                <w:sz w:val="14"/>
                <w:szCs w:val="14"/>
                <w:color w:val="auto"/>
              </w:rPr>
            </w:pPr>
          </w:p>
        </w:tc>
        <w:tc>
          <w:tcPr>
            <w:tcW w:w="2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 December 31, 2001</w:t>
            </w:r>
          </w:p>
        </w:tc>
        <w:tc>
          <w:tcPr>
            <w:tcW w:w="174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35,607,000</w:t>
            </w:r>
          </w:p>
        </w:tc>
      </w:tr>
      <w:tr>
        <w:trPr>
          <w:trHeight w:val="331"/>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Issuance of loans</w:t>
            </w:r>
          </w:p>
        </w:tc>
        <w:tc>
          <w:tcPr>
            <w:tcW w:w="17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14,362,000</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w:t>
            </w:r>
          </w:p>
        </w:tc>
        <w:tc>
          <w:tcPr>
            <w:tcW w:w="17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Collection and satisfaction of loans</w:t>
            </w:r>
          </w:p>
        </w:tc>
        <w:tc>
          <w:tcPr>
            <w:tcW w:w="17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(14,392,000)</w:t>
            </w:r>
          </w:p>
        </w:tc>
      </w:tr>
      <w:tr>
        <w:trPr>
          <w:trHeight w:val="166"/>
        </w:trPr>
        <w:tc>
          <w:tcPr>
            <w:tcW w:w="3360" w:type="dxa"/>
            <w:vAlign w:val="bottom"/>
          </w:tcPr>
          <w:p>
            <w:pPr>
              <w:spacing w:after="0"/>
              <w:rPr>
                <w:sz w:val="14"/>
                <w:szCs w:val="14"/>
                <w:color w:val="auto"/>
              </w:rPr>
            </w:pPr>
          </w:p>
        </w:tc>
        <w:tc>
          <w:tcPr>
            <w:tcW w:w="2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 December 31, 2002</w:t>
            </w:r>
          </w:p>
        </w:tc>
        <w:tc>
          <w:tcPr>
            <w:tcW w:w="17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35,577,000</w:t>
            </w:r>
          </w:p>
        </w:tc>
      </w:tr>
      <w:tr>
        <w:trPr>
          <w:trHeight w:val="166"/>
        </w:trPr>
        <w:tc>
          <w:tcPr>
            <w:tcW w:w="3360" w:type="dxa"/>
            <w:vAlign w:val="bottom"/>
          </w:tcPr>
          <w:p>
            <w:pPr>
              <w:spacing w:after="0"/>
              <w:rPr>
                <w:sz w:val="14"/>
                <w:szCs w:val="14"/>
                <w:color w:val="auto"/>
              </w:rPr>
            </w:pPr>
          </w:p>
        </w:tc>
        <w:tc>
          <w:tcPr>
            <w:tcW w:w="2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1740" w:type="dxa"/>
            <w:vAlign w:val="bottom"/>
          </w:tcPr>
          <w:p>
            <w:pPr>
              <w:jc w:val="right"/>
              <w:ind w:right="1408"/>
              <w:spacing w:after="0"/>
              <w:rPr>
                <w:sz w:val="20"/>
                <w:szCs w:val="20"/>
                <w:color w:val="auto"/>
              </w:rPr>
            </w:pPr>
            <w:r>
              <w:rPr>
                <w:rFonts w:ascii="Courier New" w:cs="Courier New" w:eastAsia="Courier New" w:hAnsi="Courier New"/>
                <w:sz w:val="14"/>
                <w:szCs w:val="14"/>
                <w:color w:val="auto"/>
                <w:w w:val="95"/>
              </w:rPr>
              <w:t>F34</w:t>
            </w:r>
          </w:p>
        </w:tc>
        <w:tc>
          <w:tcPr>
            <w:tcW w:w="12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98" w:name="page99"/>
    <w:bookmarkEnd w:id="98"/>
    <w:p>
      <w:pPr>
        <w:ind w:left="1040" w:right="3779" w:hanging="1033"/>
        <w:spacing w:after="0" w:line="255" w:lineRule="auto"/>
        <w:tabs>
          <w:tab w:leader="none" w:pos="102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 DISCLOSURE</w:t>
      </w:r>
    </w:p>
    <w:p>
      <w:pPr>
        <w:spacing w:after="0" w:line="160"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Grant Thornton LLP has been selected as our independent public accountants for the current year and examined our financial statements for the year ended December 31, 2002. On June 4, 2002, Arthur Andersen LLP was dismissed and Grant Thornton LLP was engaged as our principal independent public accountants. The decision to change accountants was approved by the Board of Trustees upon the recommendation of the Audit Committee. The reports of Arthur Andersen LLP for the years ended December 31, 2000 and 2001 and the subsequent interim period through June 4, 2002 did not contain any adverse opinion or disclaimer of opinion, nor were they qualified as to uncertainty, audit scope or accounting principles. During our fiscal years ended December 31, 2000 and 2001 and the subsequent interim period through June 4, 2002, there were no disagreements with Arthur Andersen LLP on any matter of accounting principles or practices, financial statement disclosure, or auditing scope or procedures, which disagreements, if not resolved to the satisfaction of Arthur Andersen LLP, would have caused them to make reference thereto in their reports on the financial statements for those years.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Certain information required in Part III is omitted from this Report but is incorporated herein by reference from our Proxy Statement for the 2003 Annual Meeting of Shareholders (the "Proxy Statement").</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TRUSTEES AND EXECUTIVE OFFICERS</w:t>
      </w:r>
    </w:p>
    <w:p>
      <w:pPr>
        <w:spacing w:after="0" w:line="173"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a.) The table identifying our Trustees under the caption "Election of Trustees" and the section entitled "Executive Officers" of the Proxy Statement is incorporated herein by reference.</w:t>
      </w:r>
    </w:p>
    <w:p>
      <w:pPr>
        <w:spacing w:after="0" w:line="163" w:lineRule="exact"/>
        <w:rPr>
          <w:sz w:val="20"/>
          <w:szCs w:val="20"/>
          <w:color w:val="auto"/>
        </w:rPr>
      </w:pPr>
    </w:p>
    <w:p>
      <w:pPr>
        <w:ind w:right="3599" w:firstLine="603"/>
        <w:spacing w:after="0" w:line="252" w:lineRule="auto"/>
        <w:rPr>
          <w:sz w:val="20"/>
          <w:szCs w:val="20"/>
          <w:color w:val="auto"/>
        </w:rPr>
      </w:pPr>
      <w:r>
        <w:rPr>
          <w:rFonts w:ascii="Courier New" w:cs="Courier New" w:eastAsia="Courier New" w:hAnsi="Courier New"/>
          <w:sz w:val="14"/>
          <w:szCs w:val="14"/>
          <w:color w:val="auto"/>
        </w:rPr>
        <w:t>b.) The information required by this item is included in this report at Item 1 under the caption "Executive Officers of the Registrant". The information contained in the Proxy Statement under the captions "The Board of Trustees" and "Executive Officers" is incorporated herein by reference.</w:t>
      </w:r>
    </w:p>
    <w:p>
      <w:pPr>
        <w:spacing w:after="0" w:line="16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The sections entitled "Summary Compensation Table" and "Aggregated Option Exercises in 2002 and December 31, 2002 Option Values" of the Proxy Statement are incorporated herein by reference.</w:t>
      </w:r>
    </w:p>
    <w:p>
      <w:pPr>
        <w:spacing w:after="0" w:line="163" w:lineRule="exact"/>
        <w:rPr>
          <w:sz w:val="20"/>
          <w:szCs w:val="20"/>
          <w:color w:val="auto"/>
        </w:rPr>
      </w:pPr>
    </w:p>
    <w:p>
      <w:pPr>
        <w:ind w:left="1040" w:right="3519" w:hanging="1033"/>
        <w:spacing w:after="0" w:line="255" w:lineRule="auto"/>
        <w:tabs>
          <w:tab w:leader="none" w:pos="102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 AND RELATED SHAREHOLDER MATTERS</w:t>
      </w:r>
    </w:p>
    <w:p>
      <w:pPr>
        <w:spacing w:after="0" w:line="160"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The sections entitled "Ownership of Shares by Certain Beneficial Owners," "Ownership of Shares by Trustees and Officers" and "Equity Compensation Plan Information" of the Proxy Statement are incorporated herein by reference.</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section entitled "Certain Relationships and Related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Proxy Statement is incorporated herein by reference.</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President and Chief Executive Officer and Senior Vice President and Chief Financial Officer, as appropriate, to allow timely decisions regarding required disclosure based</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F35 -</w:t>
      </w:r>
    </w:p>
    <w:p>
      <w:pPr>
        <w:sectPr>
          <w:pgSz w:w="11900" w:h="16838" w:orient="portrait"/>
          <w:cols w:equalWidth="0" w:num="1">
            <w:col w:w="10239"/>
          </w:cols>
          <w:pgMar w:left="220" w:top="616" w:right="1440" w:bottom="1440" w:gutter="0" w:footer="0" w:header="0"/>
        </w:sectPr>
      </w:pPr>
    </w:p>
    <w:bookmarkStart w:id="99" w:name="page100"/>
    <w:bookmarkEnd w:id="99"/>
    <w:p>
      <w:pPr>
        <w:ind w:right="3339"/>
        <w:spacing w:after="0" w:line="251" w:lineRule="auto"/>
        <w:rPr>
          <w:sz w:val="20"/>
          <w:szCs w:val="20"/>
          <w:color w:val="auto"/>
        </w:rPr>
      </w:pPr>
      <w:r>
        <w:rPr>
          <w:rFonts w:ascii="Courier New" w:cs="Courier New" w:eastAsia="Courier New" w:hAnsi="Courier New"/>
          <w:sz w:val="14"/>
          <w:szCs w:val="14"/>
          <w:color w:val="auto"/>
        </w:rPr>
        <w:t>closely on the definition of "disclosure controls and procedures" in Rule 13a-14(c) promulgated under the Exchange Act.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15.</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(a)(1) Financial Statements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Report of Independent Public Accountants - Grant Thornton LLP</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Report of Independent Public Accountants - Arthur Andersen LLP</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Consolidated Balance Sheets - December 31, 2002 and 2001</w:t>
      </w:r>
    </w:p>
    <w:p>
      <w:pPr>
        <w:spacing w:after="0" w:line="173" w:lineRule="exact"/>
        <w:rPr>
          <w:sz w:val="20"/>
          <w:szCs w:val="20"/>
          <w:color w:val="auto"/>
        </w:rPr>
      </w:pPr>
    </w:p>
    <w:p>
      <w:pPr>
        <w:ind w:left="1040" w:right="4019"/>
        <w:spacing w:after="0" w:line="255" w:lineRule="auto"/>
        <w:rPr>
          <w:sz w:val="20"/>
          <w:szCs w:val="20"/>
          <w:color w:val="auto"/>
        </w:rPr>
      </w:pPr>
      <w:r>
        <w:rPr>
          <w:rFonts w:ascii="Courier New" w:cs="Courier New" w:eastAsia="Courier New" w:hAnsi="Courier New"/>
          <w:sz w:val="14"/>
          <w:szCs w:val="14"/>
          <w:color w:val="auto"/>
        </w:rPr>
        <w:t>Consolidated Statements of Operations - Years Ended December 31, 2002, 2001 and 2000</w:t>
      </w:r>
    </w:p>
    <w:p>
      <w:pPr>
        <w:spacing w:after="0" w:line="160" w:lineRule="exact"/>
        <w:rPr>
          <w:sz w:val="20"/>
          <w:szCs w:val="20"/>
          <w:color w:val="auto"/>
        </w:rPr>
      </w:pPr>
    </w:p>
    <w:p>
      <w:pPr>
        <w:ind w:left="1040" w:right="3859"/>
        <w:spacing w:after="0" w:line="255" w:lineRule="auto"/>
        <w:rPr>
          <w:sz w:val="20"/>
          <w:szCs w:val="20"/>
          <w:color w:val="auto"/>
        </w:rPr>
      </w:pPr>
      <w:r>
        <w:rPr>
          <w:rFonts w:ascii="Courier New" w:cs="Courier New" w:eastAsia="Courier New" w:hAnsi="Courier New"/>
          <w:sz w:val="14"/>
          <w:szCs w:val="14"/>
          <w:color w:val="auto"/>
        </w:rPr>
        <w:t>Consolidated Statements of Common Shareholders' Equity - Years Ended December 31, 2002, 2001 and 2000</w:t>
      </w:r>
    </w:p>
    <w:p>
      <w:pPr>
        <w:spacing w:after="0" w:line="160" w:lineRule="exact"/>
        <w:rPr>
          <w:sz w:val="20"/>
          <w:szCs w:val="20"/>
          <w:color w:val="auto"/>
        </w:rPr>
      </w:pPr>
    </w:p>
    <w:p>
      <w:pPr>
        <w:ind w:left="1040" w:right="4019"/>
        <w:spacing w:after="0" w:line="255" w:lineRule="auto"/>
        <w:rPr>
          <w:sz w:val="20"/>
          <w:szCs w:val="20"/>
          <w:color w:val="auto"/>
        </w:rPr>
      </w:pPr>
      <w:r>
        <w:rPr>
          <w:rFonts w:ascii="Courier New" w:cs="Courier New" w:eastAsia="Courier New" w:hAnsi="Courier New"/>
          <w:sz w:val="14"/>
          <w:szCs w:val="14"/>
          <w:color w:val="auto"/>
        </w:rPr>
        <w:t>Consolidated Statements of Cash Flows - Years Ended December 31, 2002, 2001 and 2000</w:t>
      </w:r>
    </w:p>
    <w:p>
      <w:pPr>
        <w:spacing w:after="0" w:line="160" w:lineRule="exact"/>
        <w:rPr>
          <w:sz w:val="20"/>
          <w:szCs w:val="20"/>
          <w:color w:val="auto"/>
        </w:rPr>
      </w:pPr>
    </w:p>
    <w:p>
      <w:pPr>
        <w:ind w:left="1040" w:right="3859"/>
        <w:spacing w:after="0" w:line="255" w:lineRule="auto"/>
        <w:rPr>
          <w:sz w:val="20"/>
          <w:szCs w:val="20"/>
          <w:color w:val="auto"/>
        </w:rPr>
      </w:pPr>
      <w:r>
        <w:rPr>
          <w:rFonts w:ascii="Courier New" w:cs="Courier New" w:eastAsia="Courier New" w:hAnsi="Courier New"/>
          <w:sz w:val="14"/>
          <w:szCs w:val="14"/>
          <w:color w:val="auto"/>
        </w:rPr>
        <w:t>Notes to Consolidated Financial Statements (including selected quarterly data)</w:t>
      </w:r>
    </w:p>
    <w:p>
      <w:pPr>
        <w:spacing w:after="0" w:line="160" w:lineRule="exact"/>
        <w:rPr>
          <w:sz w:val="20"/>
          <w:szCs w:val="20"/>
          <w:color w:val="auto"/>
        </w:rPr>
      </w:pPr>
    </w:p>
    <w:p>
      <w:pPr>
        <w:ind w:left="620" w:hanging="612"/>
        <w:spacing w:after="0"/>
        <w:tabs>
          <w:tab w:leader="none" w:pos="62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w:t>
      </w:r>
    </w:p>
    <w:p>
      <w:pPr>
        <w:spacing w:after="0" w:line="173" w:lineRule="exact"/>
        <w:rPr>
          <w:sz w:val="20"/>
          <w:szCs w:val="20"/>
          <w:color w:val="auto"/>
        </w:rPr>
      </w:pPr>
    </w:p>
    <w:p>
      <w:pPr>
        <w:ind w:left="1040"/>
        <w:spacing w:after="0"/>
        <w:tabs>
          <w:tab w:leader="none" w:pos="2400" w:val="left"/>
        </w:tabs>
        <w:rPr>
          <w:sz w:val="20"/>
          <w:szCs w:val="20"/>
          <w:color w:val="auto"/>
        </w:rPr>
      </w:pPr>
      <w:r>
        <w:rPr>
          <w:rFonts w:ascii="Courier New" w:cs="Courier New" w:eastAsia="Courier New" w:hAnsi="Courier New"/>
          <w:sz w:val="14"/>
          <w:szCs w:val="14"/>
          <w:color w:val="auto"/>
        </w:rPr>
        <w:t>Schedule III.</w:t>
      </w:r>
      <w:r>
        <w:rPr>
          <w:sz w:val="20"/>
          <w:szCs w:val="20"/>
          <w:color w:val="auto"/>
        </w:rPr>
        <w:tab/>
      </w:r>
      <w:r>
        <w:rPr>
          <w:rFonts w:ascii="Courier New" w:cs="Courier New" w:eastAsia="Courier New" w:hAnsi="Courier New"/>
          <w:sz w:val="14"/>
          <w:szCs w:val="14"/>
          <w:color w:val="auto"/>
        </w:rPr>
        <w:t>Schedule of Real Estate and Accumulated</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Depreciation</w:t>
      </w:r>
    </w:p>
    <w:p>
      <w:pPr>
        <w:spacing w:after="0" w:line="173" w:lineRule="exact"/>
        <w:rPr>
          <w:sz w:val="20"/>
          <w:szCs w:val="20"/>
          <w:color w:val="auto"/>
        </w:rPr>
      </w:pPr>
    </w:p>
    <w:p>
      <w:pPr>
        <w:ind w:left="1040"/>
        <w:spacing w:after="0"/>
        <w:tabs>
          <w:tab w:leader="none" w:pos="2580" w:val="left"/>
        </w:tabs>
        <w:rPr>
          <w:sz w:val="20"/>
          <w:szCs w:val="20"/>
          <w:color w:val="auto"/>
        </w:rPr>
      </w:pPr>
      <w:r>
        <w:rPr>
          <w:rFonts w:ascii="Courier New" w:cs="Courier New" w:eastAsia="Courier New" w:hAnsi="Courier New"/>
          <w:sz w:val="14"/>
          <w:szCs w:val="14"/>
          <w:color w:val="auto"/>
        </w:rPr>
        <w:t>Schedule IV.</w:t>
      </w:r>
      <w:r>
        <w:rPr>
          <w:sz w:val="20"/>
          <w:szCs w:val="20"/>
          <w:color w:val="auto"/>
        </w:rPr>
        <w:tab/>
      </w:r>
      <w:r>
        <w:rPr>
          <w:rFonts w:ascii="Courier New" w:cs="Courier New" w:eastAsia="Courier New" w:hAnsi="Courier New"/>
          <w:sz w:val="14"/>
          <w:szCs w:val="14"/>
          <w:color w:val="auto"/>
        </w:rPr>
        <w:t>Mortgage Loans on Real Estate</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F36 -</w:t>
      </w:r>
    </w:p>
    <w:p>
      <w:pPr>
        <w:sectPr>
          <w:pgSz w:w="11900" w:h="16838" w:orient="portrait"/>
          <w:cols w:equalWidth="0" w:num="1">
            <w:col w:w="10239"/>
          </w:cols>
          <w:pgMar w:left="220" w:top="616" w:right="1440" w:bottom="1440" w:gutter="0" w:footer="0" w:header="0"/>
        </w:sectPr>
      </w:pPr>
    </w:p>
    <w:bookmarkStart w:id="100" w:name="page101"/>
    <w:bookmarkEnd w:id="100"/>
    <w:p>
      <w:pPr>
        <w:ind w:left="780" w:hanging="772"/>
        <w:spacing w:after="0"/>
        <w:tabs>
          <w:tab w:leader="none" w:pos="7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tabs>
          <w:tab w:leader="none" w:pos="840"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Declaration of Trust of Federal Realty Investment Trust dated May 5, 1999 (previously filed as Exhibit 3.2 to the Trust's Current Report on Form 8-K filed on May 25, 1999 (File No. 1-07533) and incorporated herein by reference)</w:t>
      </w:r>
    </w:p>
    <w:p>
      <w:pPr>
        <w:spacing w:after="0" w:line="162" w:lineRule="exact"/>
        <w:rPr>
          <w:sz w:val="20"/>
          <w:szCs w:val="20"/>
          <w:color w:val="auto"/>
        </w:rPr>
      </w:pPr>
    </w:p>
    <w:p>
      <w:pPr>
        <w:ind w:left="860" w:right="351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Amended and Restated Bylaws of Federal Realty Investment Trust dated February 12, 2003 (filed herewith)</w:t>
      </w:r>
    </w:p>
    <w:p>
      <w:pPr>
        <w:spacing w:after="0" w:line="160" w:lineRule="exact"/>
        <w:rPr>
          <w:sz w:val="20"/>
          <w:szCs w:val="20"/>
          <w:color w:val="auto"/>
        </w:rPr>
      </w:pPr>
    </w:p>
    <w:p>
      <w:pPr>
        <w:jc w:val="both"/>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Specimen Common Share certificate (previously filed as Exhibit 4(i) to the Trust's Annual Report on Form 10-K for the year ended December 31, 1999 (File No. 1-07533) (the "1999 Form 10-K") and incorporated herein by reference)</w:t>
      </w:r>
    </w:p>
    <w:p>
      <w:pPr>
        <w:spacing w:after="0" w:line="162" w:lineRule="exact"/>
        <w:rPr>
          <w:sz w:val="20"/>
          <w:szCs w:val="20"/>
          <w:color w:val="auto"/>
        </w:rPr>
      </w:pPr>
    </w:p>
    <w:p>
      <w:pPr>
        <w:ind w:left="860" w:right="35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Specimen 7.95% Series A Cumulative Redeemable Preferred Share certificate (previously filed as Exhibit 4(ii) to the 1999 Form 10-K and incorporated herein by reference)</w:t>
      </w:r>
    </w:p>
    <w:p>
      <w:pPr>
        <w:spacing w:after="0" w:line="163" w:lineRule="exact"/>
        <w:rPr>
          <w:sz w:val="20"/>
          <w:szCs w:val="20"/>
          <w:color w:val="auto"/>
        </w:rPr>
      </w:pPr>
    </w:p>
    <w:p>
      <w:pPr>
        <w:ind w:left="860" w:right="341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Articles Supplementary relating to the 8 1/2% Series B Cumulative Redeemable Preferred Shares (previously filed as Exhibit 4.1 to the Trust's Registration Statement on Form 8-A filed on November 26, 2001 (File No. 1-07533) (the "2001 Form 8-A") and incorporated by reference)</w:t>
      </w:r>
    </w:p>
    <w:p>
      <w:pPr>
        <w:spacing w:after="0" w:line="165" w:lineRule="exact"/>
        <w:rPr>
          <w:sz w:val="20"/>
          <w:szCs w:val="20"/>
          <w:color w:val="auto"/>
        </w:rPr>
      </w:pPr>
    </w:p>
    <w:p>
      <w:pPr>
        <w:ind w:left="860" w:right="34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Specimen 8 1/2% Series B Cumulative Redeemable Preferred Share certificate (previously filed as Exhibit 4.2 to the 2001 Form 8-A and incorporated herein by reference)</w:t>
      </w:r>
    </w:p>
    <w:p>
      <w:pPr>
        <w:spacing w:after="0" w:line="163"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Amended and Restated Rights Agreement, dated March 11, 1999, between the Trust and American Stock Transfer &amp; Trust Company (previously filed as Exhibit 1 to the Trust's Registration Statement on Form 8-A/A filed on March 11, 1999 (File No. 1-07533) and incorporated herein by reference)</w:t>
      </w:r>
    </w:p>
    <w:p>
      <w:pPr>
        <w:spacing w:after="0" w:line="165"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5 1/4% Convertible Subordinated Debenture due 2003 (previously described in Amendment No. 1 to Form S-3 filed on August 4, 1987 (File No. 33-15264) is incorporated herein by reference)</w:t>
      </w:r>
    </w:p>
    <w:p>
      <w:pPr>
        <w:spacing w:after="0" w:line="163"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Indenture dated December 13, 1993 related to the Trust's 7.48% Debentures due August 15, 2026; 6 5/8% Notes due 2005; 6.82% Medium Term Notes due August 1, 2027; 6.74% Medium Term Notes due March 10, 2004; and 6.99% Medium Term Notes due March 10, 2006 (previously filed as Exhibit 4(a) to the Trust's Registration Statement on Form S-3 (File No. 33-51029), and amended on Form S-3 (File No. 33-63687), filed on December 13, 1993 is incorporated herein by reference)</w:t>
      </w:r>
    </w:p>
    <w:p>
      <w:pPr>
        <w:spacing w:after="0" w:line="164" w:lineRule="exact"/>
        <w:rPr>
          <w:sz w:val="20"/>
          <w:szCs w:val="20"/>
          <w:color w:val="auto"/>
        </w:rPr>
      </w:pPr>
    </w:p>
    <w:p>
      <w:pPr>
        <w:ind w:left="860" w:right="351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Indenture dated September 1, 1998 related to the Trust's 8.75% Notes due December 1, 2009 and the Trust's 6 1/8% Notes due November 15, 2007 filed as Exhibit 4(a) to the Trust's Registration Statement on Form S-3 (File No. 333-63619) filed on September 17, 1998 is incorporated herein by reference thereto</w:t>
      </w:r>
    </w:p>
    <w:p>
      <w:pPr>
        <w:spacing w:after="0" w:line="165" w:lineRule="exact"/>
        <w:rPr>
          <w:sz w:val="20"/>
          <w:szCs w:val="20"/>
          <w:color w:val="auto"/>
        </w:rPr>
      </w:pPr>
    </w:p>
    <w:p>
      <w:pPr>
        <w:ind w:left="860" w:right="34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 Deferred Compensation Agreement with Steven J. Guttman dated December 13, 1978 (previously filed as Exhibit 10(iv) to the Trust's Annual Report on Form 10-K for the year ended December 31, 1980 (File No. 1-07533) and incorporated herein by reference)</w:t>
      </w:r>
    </w:p>
    <w:p>
      <w:pPr>
        <w:spacing w:after="0" w:line="162"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Amended and Restated 1983 Stock Option Plan and 1985 Non-Qualified Stock Option Plan of Federal Realty Investment Trust (previously filed as exhibits to the Trust's Registration Statement in Form S-8 (File No. 33-55111), filed on August 17, 1994 and incorporated herein by reference)</w:t>
      </w:r>
    </w:p>
    <w:p>
      <w:pPr>
        <w:spacing w:after="0" w:line="165" w:lineRule="exact"/>
        <w:rPr>
          <w:sz w:val="20"/>
          <w:szCs w:val="20"/>
          <w:color w:val="auto"/>
        </w:rPr>
      </w:pPr>
    </w:p>
    <w:p>
      <w:pPr>
        <w:ind w:left="860" w:right="34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1985 Non-Qualified Stock Option Plan (previously filed as a portion of Exhibit 10 to the Trust's Annual Report on Form 10-K for the year ended December 31, 1985 (File No. 1-07533) and incorporated herein by reference)</w:t>
      </w:r>
    </w:p>
    <w:p>
      <w:pPr>
        <w:spacing w:after="0" w:line="162" w:lineRule="exact"/>
        <w:rPr>
          <w:sz w:val="20"/>
          <w:szCs w:val="20"/>
          <w:color w:val="auto"/>
        </w:rPr>
      </w:pPr>
    </w:p>
    <w:p>
      <w:pPr>
        <w:jc w:val="both"/>
        <w:ind w:left="860" w:right="34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1991 Share Purchase Plan (previously filed as a portion of Exhibit 10 to the Trust's Annual Report on Form 10-K for the year ended December 31, 1990 (File No. 1-07533) and incorporated herein by reference)</w:t>
      </w:r>
    </w:p>
    <w:p>
      <w:pPr>
        <w:spacing w:after="0" w:line="163" w:lineRule="exact"/>
        <w:rPr>
          <w:sz w:val="20"/>
          <w:szCs w:val="20"/>
          <w:color w:val="auto"/>
        </w:rPr>
      </w:pPr>
    </w:p>
    <w:p>
      <w:pPr>
        <w:ind w:left="860" w:right="341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Amendment dated October 1, 1992 to Voting Trust Agreement dated as of March 3, 1989 by and between I. Wolford Berman and Dennis L. Berman (previously filed as an exhibit to the Trust's Annual Report on Form 10-K for the year ended December 31, 1992 (File No. 1-07533) and incorporated herein by reference)</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 F37 -</w:t>
      </w:r>
    </w:p>
    <w:p>
      <w:pPr>
        <w:sectPr>
          <w:pgSz w:w="11900" w:h="16838" w:orient="portrait"/>
          <w:cols w:equalWidth="0" w:num="1">
            <w:col w:w="10239"/>
          </w:cols>
          <w:pgMar w:left="220" w:top="782"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tabs>
          <w:tab w:leader="none" w:pos="840"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51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Amended and Restated 1993 Long-Term Incentive Plan, as amended on October 6, 1997 and further amended on May 6, 1998 (previously filed as a portion of Exhibit 10 to the Trust's Annual Report on Form 10-K for the year ended December 31, 1998 (File No. 1-07533) and incorporated herein by reference)</w:t>
      </w:r>
    </w:p>
    <w:p>
      <w:pPr>
        <w:spacing w:after="0" w:line="165"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Fiscal Agency Agreement dated as of October 28, 1993 between the Trust and Citibank, N.A. (previously filed as an exhibit to the Trust's Quarterly Report on Form 10-Q for the quarter ended September 30, 1993 (File No. 1-07533) (the "1993 Form 10-Q") and incorporated herein by reference)</w:t>
      </w:r>
    </w:p>
    <w:p>
      <w:pPr>
        <w:spacing w:after="0" w:line="165" w:lineRule="exact"/>
        <w:rPr>
          <w:sz w:val="20"/>
          <w:szCs w:val="20"/>
          <w:color w:val="auto"/>
        </w:rPr>
      </w:pPr>
    </w:p>
    <w:p>
      <w:pPr>
        <w:ind w:left="860" w:right="341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Form of Severance Agreement between the Trust and Certain of its Officers dated December 31, 1994 (previously filed as a portion of Exhibit 10 to the Trust's Annual Report on Form 10-K for the year ended December 31, 1994 (File No. 1-07533) and incorporated herein by reference)</w:t>
      </w:r>
    </w:p>
    <w:p>
      <w:pPr>
        <w:spacing w:after="0" w:line="165" w:lineRule="exact"/>
        <w:rPr>
          <w:sz w:val="20"/>
          <w:szCs w:val="20"/>
          <w:color w:val="auto"/>
        </w:rPr>
      </w:pPr>
    </w:p>
    <w:p>
      <w:pPr>
        <w:ind w:left="860" w:right="3339" w:hanging="860"/>
        <w:spacing w:after="0" w:line="250" w:lineRule="auto"/>
        <w:tabs>
          <w:tab w:leader="none" w:pos="84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Credit Agreement dated as of December 19, 1997 by and among the Trust, as Borrower, the financial institutions party thereto and their assignees, as Lenders, Corestates Bank, N.A., as Syndication Agent, First Union National Bank, as Administrative Agent and as Arranger, and Wells Fargo Bank, as Documentation Agent and as Co-Arranger (previously filed as a portion of Exhibit 10 to the Trust's Annual Report on Form 10-K for the year ended December 31, 1997 (File No.</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1-07533) (the "1997 Form 10-K") and incorporated herein by reference)</w:t>
      </w:r>
    </w:p>
    <w:p>
      <w:pPr>
        <w:spacing w:after="0" w:line="173"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 Performance Share Award Agreement between the Trust and Steven J. Guttman, as of January 1, 1998 (previously filed as a portion of Exhibit 10 to the 1997 Form 10-K and incorporated herein by reference)</w:t>
      </w:r>
    </w:p>
    <w:p>
      <w:pPr>
        <w:spacing w:after="0" w:line="163" w:lineRule="exact"/>
        <w:rPr>
          <w:sz w:val="20"/>
          <w:szCs w:val="20"/>
          <w:color w:val="auto"/>
        </w:rPr>
      </w:pPr>
    </w:p>
    <w:p>
      <w:pPr>
        <w:ind w:left="860" w:right="367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 Form of Amended and Restated Restricted Share Award Agreements between the Trust and Steven J. Guttman for the years 1998 through 2002 (previously filed as a portion of Exhibit 10 to the 1997 Form 10-K and incorporated herein by reference)</w:t>
      </w:r>
    </w:p>
    <w:p>
      <w:pPr>
        <w:spacing w:after="0" w:line="162" w:lineRule="exact"/>
        <w:rPr>
          <w:sz w:val="20"/>
          <w:szCs w:val="20"/>
          <w:color w:val="auto"/>
        </w:rPr>
      </w:pPr>
    </w:p>
    <w:p>
      <w:pPr>
        <w:ind w:left="860" w:right="35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 Amended and Restated Employment Agreement between the Trust and Steven J. Guttman as of March 6, 1998 (previously filed as a portion of Exhibit 10 to the 1997 Form 10-K and incorporated herein by reference)</w:t>
      </w:r>
    </w:p>
    <w:p>
      <w:pPr>
        <w:spacing w:after="0" w:line="162" w:lineRule="exact"/>
        <w:rPr>
          <w:sz w:val="20"/>
          <w:szCs w:val="20"/>
          <w:color w:val="auto"/>
        </w:rPr>
      </w:pPr>
    </w:p>
    <w:p>
      <w:pPr>
        <w:ind w:left="860" w:right="35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 Amended and Restated Executive Agreement between the Trust and Steven J. Guttman as of March 6, 1998 (previously filed as a portion of Exhibit 10 to the 1997 Form 10-K and incorporated herein by reference)</w:t>
      </w:r>
    </w:p>
    <w:p>
      <w:pPr>
        <w:spacing w:after="0" w:line="162"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Term Loan Agreement, dated as of December 22, 1998 by and among the Trust, as Borrower, the financial institutions party thereto and their assignees, as Lenders, Commerzbank Aktiengesellschaft, New York Branch as Syndication Agent, PNC, National Association, as Administrative Agent and Fleet National Bank, as documentation agent (previously filed as a portion of Exhibit 10 to the Trust's Annual Report on Form 10-K for the year ended December 31, 1998 (File No. 1-07533) and incorporated herein by reference)</w:t>
      </w:r>
    </w:p>
    <w:p>
      <w:pPr>
        <w:spacing w:after="0" w:line="164"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 Performance Share Award Agreement dated as of February 9, 2000 between the Trust and Donald C. Wood (previously filed as a portion of Exhibit 10 to the Trust's Annual Report on Form 10-K for the year ended December 31, 1999 (File No. 1-07533) (the "1999 Form 10-K") and incorporated herein by reference)</w:t>
      </w:r>
    </w:p>
    <w:p>
      <w:pPr>
        <w:spacing w:after="0" w:line="165"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 Restricted Share Award Agreement dated as of February 9, 2000 between the Trust and Donald C. Wood (previously filed as a portion of Exhibit 10 to the 1999 Form 10-K and incorporated herein by reference)</w:t>
      </w:r>
    </w:p>
    <w:p>
      <w:pPr>
        <w:spacing w:after="0" w:line="163" w:lineRule="exact"/>
        <w:rPr>
          <w:sz w:val="20"/>
          <w:szCs w:val="20"/>
          <w:color w:val="auto"/>
        </w:rPr>
      </w:pPr>
    </w:p>
    <w:p>
      <w:pPr>
        <w:jc w:val="both"/>
        <w:ind w:left="860" w:right="34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 Amendment to Performance Share Award Agreement dated as of February 25, 2000 between the Trust and Steven J. Guttman (previously filed as a portion of Exhibit 10 to the 1999 Form 10-K and incorporated herein by reference)</w:t>
      </w:r>
    </w:p>
    <w:p>
      <w:pPr>
        <w:spacing w:after="0" w:line="162" w:lineRule="exact"/>
        <w:rPr>
          <w:sz w:val="20"/>
          <w:szCs w:val="20"/>
          <w:color w:val="auto"/>
        </w:rPr>
      </w:pPr>
    </w:p>
    <w:p>
      <w:pPr>
        <w:ind w:left="860" w:right="34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 Severance Agreement between the Trust and Donald C. Wood dated February 22, 1999 (previously filed as a portion of Exhibit 10 to the 1999 Form 10-K and incorporated herein by reference)</w:t>
      </w:r>
    </w:p>
    <w:p>
      <w:pPr>
        <w:spacing w:after="0" w:line="163" w:lineRule="exact"/>
        <w:rPr>
          <w:sz w:val="20"/>
          <w:szCs w:val="20"/>
          <w:color w:val="auto"/>
        </w:rPr>
      </w:pPr>
    </w:p>
    <w:p>
      <w:pPr>
        <w:ind w:left="860" w:right="341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 Executive Agreement between Federal Realty Investment Trust and Donald C. Wood dated February 22, 1999 (previously filed as a portion of Exhibit 10 to the 1999 Form 10-K and incorporated herein by reference)</w:t>
      </w:r>
    </w:p>
    <w:p>
      <w:pPr>
        <w:spacing w:after="0" w:line="162"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 Amendment to Restricted Share Award Agreement dated December 8, 2000 the Trust and Donald C. Wood (previously filed as a portion of Exhibit 10 to the Trust's Annual Report on Form 10-K for the year ended December 31, 2000 (File No. 1-07533) (the "2000 Form 10-K") and incorporated herein by reference)</w:t>
      </w:r>
    </w:p>
    <w:p>
      <w:pPr>
        <w:spacing w:after="0" w:line="165"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 Split Dollar Life Insurance Agreement dated June 7, 1998 between the Trust and The Guttman Family 1998 Trust (previously filed as a portion of Exhibit 10 to the 2000 Form 10-K and incorporated herein by reference)</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 F38 -</w:t>
      </w:r>
    </w:p>
    <w:p>
      <w:pPr>
        <w:sectPr>
          <w:pgSz w:w="11900" w:h="16838" w:orient="portrait"/>
          <w:cols w:equalWidth="0" w:num="1">
            <w:col w:w="10239"/>
          </w:cols>
          <w:pgMar w:left="220" w:top="616" w:right="1440" w:bottom="0" w:gutter="0" w:footer="0" w:header="0"/>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tabs>
          <w:tab w:leader="none" w:pos="840"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 Split Dollar Life Insurance Agreement dated August 12, 1998 between the Trust and Donald C. Wood (previously filed as a portion of Exhibit 10 to the 2000 Form 10-K and incorporated herein by reference)</w:t>
      </w:r>
    </w:p>
    <w:p>
      <w:pPr>
        <w:spacing w:after="0" w:line="163" w:lineRule="exact"/>
        <w:rPr>
          <w:sz w:val="20"/>
          <w:szCs w:val="20"/>
          <w:color w:val="auto"/>
        </w:rPr>
      </w:pPr>
    </w:p>
    <w:p>
      <w:pPr>
        <w:ind w:left="860" w:right="3339" w:hanging="860"/>
        <w:spacing w:after="0" w:line="251" w:lineRule="auto"/>
        <w:tabs>
          <w:tab w:leader="none" w:pos="84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 Restricted Share Award Agreement dated as of February 15, 2000 between the Trust and Jeffrey S. Berkes (previously filed as a portion of Exhibit 10 to the Trust's Annual Report on Form 10-K for the year ended December 31, 2001 (File No. 1-07533) (the "2001 Form 10-K") and incorporated herein by reference)</w:t>
      </w:r>
    </w:p>
    <w:p>
      <w:pPr>
        <w:spacing w:after="0" w:line="165" w:lineRule="exact"/>
        <w:rPr>
          <w:sz w:val="20"/>
          <w:szCs w:val="20"/>
          <w:color w:val="auto"/>
        </w:rPr>
      </w:pPr>
    </w:p>
    <w:p>
      <w:pPr>
        <w:ind w:left="860" w:right="333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 Severance Agreement between the Trust and Jeffrey S. Berkes dated March 1, 2000 (previously filed as a portion of Exhibit 10 to the 2001 Form 10-K and incorporated herein by reference)</w:t>
      </w:r>
    </w:p>
    <w:p>
      <w:pPr>
        <w:spacing w:after="0" w:line="163" w:lineRule="exact"/>
        <w:rPr>
          <w:sz w:val="20"/>
          <w:szCs w:val="20"/>
          <w:color w:val="auto"/>
        </w:rPr>
      </w:pPr>
    </w:p>
    <w:p>
      <w:pPr>
        <w:ind w:left="860" w:right="341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 Severance Agreement dated March 1, 2002 between the Trust and Larry E. Finger (filed herewith)</w:t>
      </w:r>
    </w:p>
    <w:p>
      <w:pPr>
        <w:spacing w:after="0" w:line="160" w:lineRule="exact"/>
        <w:rPr>
          <w:sz w:val="20"/>
          <w:szCs w:val="20"/>
          <w:color w:val="auto"/>
        </w:rPr>
      </w:pPr>
    </w:p>
    <w:p>
      <w:pPr>
        <w:ind w:left="860" w:right="3599" w:hanging="860"/>
        <w:spacing w:after="0" w:line="252" w:lineRule="auto"/>
        <w:tabs>
          <w:tab w:leader="none" w:pos="840" w:val="left"/>
        </w:tabs>
        <w:rPr>
          <w:sz w:val="20"/>
          <w:szCs w:val="20"/>
          <w:color w:val="auto"/>
        </w:rPr>
      </w:pPr>
      <w:r>
        <w:rPr>
          <w:rFonts w:ascii="Courier New" w:cs="Courier New" w:eastAsia="Courier New" w:hAnsi="Courier New"/>
          <w:sz w:val="14"/>
          <w:szCs w:val="14"/>
          <w:color w:val="auto"/>
        </w:rPr>
        <w:t>10.26</w:t>
      </w:r>
      <w:r>
        <w:rPr>
          <w:sz w:val="20"/>
          <w:szCs w:val="20"/>
          <w:color w:val="auto"/>
        </w:rPr>
        <w:tab/>
      </w:r>
      <w:r>
        <w:rPr>
          <w:rFonts w:ascii="Courier New" w:cs="Courier New" w:eastAsia="Courier New" w:hAnsi="Courier New"/>
          <w:sz w:val="14"/>
          <w:szCs w:val="14"/>
          <w:color w:val="auto"/>
        </w:rPr>
        <w:t>* Combined Incentive and Non-Qualified Stock Option Agreement dated February 28, 2002 between the Trust and Larry E. Finger (filed herewith)</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10.27</w:t>
      </w:r>
      <w:r>
        <w:rPr>
          <w:sz w:val="20"/>
          <w:szCs w:val="20"/>
          <w:color w:val="auto"/>
        </w:rPr>
        <w:tab/>
      </w:r>
      <w:r>
        <w:rPr>
          <w:rFonts w:ascii="Courier New" w:cs="Courier New" w:eastAsia="Courier New" w:hAnsi="Courier New"/>
          <w:sz w:val="14"/>
          <w:szCs w:val="14"/>
          <w:color w:val="auto"/>
        </w:rPr>
        <w:t>* Performance Share Award Agreement between the Trust and Donald C.</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Wood dated February 28, 2002 (filed herewith)</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10.28</w:t>
      </w:r>
      <w:r>
        <w:rPr>
          <w:sz w:val="20"/>
          <w:szCs w:val="20"/>
          <w:color w:val="auto"/>
        </w:rPr>
        <w:tab/>
      </w:r>
      <w:r>
        <w:rPr>
          <w:rFonts w:ascii="Courier New" w:cs="Courier New" w:eastAsia="Courier New" w:hAnsi="Courier New"/>
          <w:sz w:val="14"/>
          <w:szCs w:val="14"/>
          <w:color w:val="auto"/>
        </w:rPr>
        <w:t>* Performance Share Award Agreement between the Trust and Jeffrey 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Berkes dated February 28, 2002 (filed herewith)</w:t>
      </w:r>
    </w:p>
    <w:p>
      <w:pPr>
        <w:spacing w:after="0" w:line="173" w:lineRule="exact"/>
        <w:rPr>
          <w:sz w:val="20"/>
          <w:szCs w:val="20"/>
          <w:color w:val="auto"/>
        </w:rPr>
      </w:pPr>
    </w:p>
    <w:p>
      <w:pPr>
        <w:ind w:left="860" w:right="367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10.29</w:t>
      </w:r>
      <w:r>
        <w:rPr>
          <w:sz w:val="20"/>
          <w:szCs w:val="20"/>
          <w:color w:val="auto"/>
        </w:rPr>
        <w:tab/>
      </w:r>
      <w:r>
        <w:rPr>
          <w:rFonts w:ascii="Courier New" w:cs="Courier New" w:eastAsia="Courier New" w:hAnsi="Courier New"/>
          <w:sz w:val="14"/>
          <w:szCs w:val="14"/>
          <w:color w:val="auto"/>
        </w:rPr>
        <w:t>* Amendment to Promissory Notes dated May 31, 2002 between Federal Realty Investment Trust and Steven J. Guttman (filed herewith)</w:t>
      </w:r>
    </w:p>
    <w:p>
      <w:pPr>
        <w:spacing w:after="0" w:line="160" w:lineRule="exact"/>
        <w:rPr>
          <w:sz w:val="20"/>
          <w:szCs w:val="20"/>
          <w:color w:val="auto"/>
        </w:rPr>
      </w:pPr>
    </w:p>
    <w:p>
      <w:pPr>
        <w:ind w:left="860" w:right="359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10.30</w:t>
      </w:r>
      <w:r>
        <w:rPr>
          <w:sz w:val="20"/>
          <w:szCs w:val="20"/>
          <w:color w:val="auto"/>
        </w:rPr>
        <w:tab/>
      </w:r>
      <w:r>
        <w:rPr>
          <w:rFonts w:ascii="Courier New" w:cs="Courier New" w:eastAsia="Courier New" w:hAnsi="Courier New"/>
          <w:sz w:val="14"/>
          <w:szCs w:val="14"/>
          <w:color w:val="auto"/>
        </w:rPr>
        <w:t>* Amendment to Stock Option Agreement dated August 15, 2002 between the Trust and Dawn M. Becker (filed herewith)</w:t>
      </w:r>
    </w:p>
    <w:p>
      <w:pPr>
        <w:spacing w:after="0" w:line="160" w:lineRule="exact"/>
        <w:rPr>
          <w:sz w:val="20"/>
          <w:szCs w:val="20"/>
          <w:color w:val="auto"/>
        </w:rPr>
      </w:pPr>
    </w:p>
    <w:p>
      <w:pPr>
        <w:ind w:left="860" w:right="333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10.31</w:t>
      </w:r>
      <w:r>
        <w:rPr>
          <w:sz w:val="20"/>
          <w:szCs w:val="20"/>
          <w:color w:val="auto"/>
        </w:rPr>
        <w:tab/>
      </w:r>
      <w:r>
        <w:rPr>
          <w:rFonts w:ascii="Courier New" w:cs="Courier New" w:eastAsia="Courier New" w:hAnsi="Courier New"/>
          <w:sz w:val="14"/>
          <w:szCs w:val="14"/>
          <w:color w:val="auto"/>
        </w:rPr>
        <w:t>* Amendment to Stock Option Agreement dated August 15, 2002 between Federal Realty Investment Trust and Jeffrey S. Berkes (filed herewith)</w:t>
      </w:r>
    </w:p>
    <w:p>
      <w:pPr>
        <w:spacing w:after="0" w:line="160" w:lineRule="exact"/>
        <w:rPr>
          <w:sz w:val="20"/>
          <w:szCs w:val="20"/>
          <w:color w:val="auto"/>
        </w:rPr>
      </w:pPr>
    </w:p>
    <w:p>
      <w:pPr>
        <w:ind w:left="860" w:right="341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4"/>
          <w:szCs w:val="14"/>
          <w:color w:val="auto"/>
        </w:rPr>
        <w:t>2001 Long-Term Incentive Plan (previously file as Exhibit 99.1 to the Trust's S-8 Registration Number 333-60364 filed on May 7, 2001)</w:t>
      </w:r>
    </w:p>
    <w:p>
      <w:pPr>
        <w:spacing w:after="0" w:line="16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Grant Thornton LLP (filed herewith)</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25.1</w:t>
      </w:r>
      <w:r>
        <w:rPr>
          <w:sz w:val="20"/>
          <w:szCs w:val="20"/>
          <w:color w:val="auto"/>
        </w:rPr>
        <w:tab/>
      </w:r>
      <w:r>
        <w:rPr>
          <w:rFonts w:ascii="Courier New" w:cs="Courier New" w:eastAsia="Courier New" w:hAnsi="Courier New"/>
          <w:sz w:val="14"/>
          <w:szCs w:val="14"/>
          <w:color w:val="auto"/>
        </w:rPr>
        <w:t>Power of Attorney (included on signature page)</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Section 906 Certification for Donald C. Wood</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99.2</w:t>
      </w:r>
      <w:r>
        <w:rPr>
          <w:sz w:val="20"/>
          <w:szCs w:val="20"/>
          <w:color w:val="auto"/>
        </w:rPr>
        <w:tab/>
      </w:r>
      <w:r>
        <w:rPr>
          <w:rFonts w:ascii="Courier New" w:cs="Courier New" w:eastAsia="Courier New" w:hAnsi="Courier New"/>
          <w:sz w:val="14"/>
          <w:szCs w:val="14"/>
          <w:color w:val="auto"/>
        </w:rPr>
        <w:t>Section 906 Certification for Larry E. Finger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 F39 -</w:t>
      </w:r>
    </w:p>
    <w:p>
      <w:pPr>
        <w:sectPr>
          <w:pgSz w:w="11900" w:h="16838" w:orient="portrait"/>
          <w:cols w:equalWidth="0" w:num="1">
            <w:col w:w="10239"/>
          </w:cols>
          <w:pgMar w:left="220" w:top="616" w:right="1440" w:bottom="1440" w:gutter="0" w:footer="0" w:header="0"/>
        </w:sectPr>
      </w:pPr>
    </w:p>
    <w:bookmarkStart w:id="103" w:name="page104"/>
    <w:bookmarkEnd w:id="103"/>
    <w:p>
      <w:pPr>
        <w:ind w:left="860" w:hanging="852"/>
        <w:spacing w:after="0"/>
        <w:tabs>
          <w:tab w:leader="none" w:pos="86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On December 23, 2002, we filed a Form 8-K dated December 20, 2002 in response to Items 5 and 7, to report and file a press release announcing the resignation of Steven J. Guttman as Trustee, chief executive officer and chairman of the Board of Trustees effective January 1, 2003 and the appointment of Donald Wood, our then president and chief operating officer, as chief executive officer and a member of the Board of Trustees. In addition, Mark Ordan, a member of the Board of Trustees since 1996, was named non-executive chairman of the board.</w:t>
      </w:r>
    </w:p>
    <w:p>
      <w:pPr>
        <w:spacing w:after="0" w:line="330"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On November 18, 2002, we filed a Form 8-K dated November 18, 2002 in response to Item 7, to file certain exhibits to our registration statement on Form S-3 (File No. 333-63619) in connection with our underwritten public offering of $150 million of 6 1/8% Notes due 2007.</w:t>
      </w:r>
    </w:p>
    <w:p>
      <w:pPr>
        <w:spacing w:after="0" w:line="162"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On November 13, 2002, we filed a Form 8-K dated November 13, 2002 in response to Item 5, to file a description of the material U.S. federal income tax consequences relating to our taxation as a REIT and the ownership and disposition of our common shares.</w:t>
      </w:r>
    </w:p>
    <w:p>
      <w:pPr>
        <w:spacing w:after="0" w:line="162"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On October 30, 2002, we filed a Form 8-K dated September 30, 2002 in response to Item 5, to file supplemental data pertaining to our portfolio of properties at September 30, 2002.</w:t>
      </w:r>
    </w:p>
    <w:p>
      <w:pPr>
        <w:spacing w:after="0" w:line="163" w:lineRule="exact"/>
        <w:rPr>
          <w:sz w:val="20"/>
          <w:szCs w:val="20"/>
          <w:color w:val="auto"/>
        </w:rPr>
      </w:pPr>
    </w:p>
    <w:p>
      <w:pPr>
        <w:ind w:left="860" w:hanging="852"/>
        <w:spacing w:after="0"/>
        <w:tabs>
          <w:tab w:leader="none" w:pos="8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Item 15(a)(3) above</w:t>
      </w:r>
    </w:p>
    <w:p>
      <w:pPr>
        <w:spacing w:after="0" w:line="173" w:lineRule="exact"/>
        <w:rPr>
          <w:sz w:val="20"/>
          <w:szCs w:val="20"/>
          <w:color w:val="auto"/>
        </w:rPr>
      </w:pPr>
    </w:p>
    <w:p>
      <w:pPr>
        <w:ind w:left="180" w:hanging="172"/>
        <w:spacing w:after="0"/>
        <w:tabs>
          <w:tab w:leader="none" w:pos="1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to be filed under item 15(c) of Form</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10-K.</w:t>
      </w:r>
    </w:p>
    <w:p>
      <w:pPr>
        <w:spacing w:after="0" w:line="172"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F41 -</w:t>
      </w:r>
    </w:p>
    <w:p>
      <w:pPr>
        <w:sectPr>
          <w:pgSz w:w="11900" w:h="16838" w:orient="portrait"/>
          <w:cols w:equalWidth="0" w:num="1">
            <w:col w:w="10239"/>
          </w:cols>
          <w:pgMar w:left="220" w:top="616" w:right="1440" w:bottom="1440" w:gutter="0" w:footer="0" w:header="0"/>
        </w:sectPr>
      </w:pPr>
    </w:p>
    <w:bookmarkStart w:id="104" w:name="page105"/>
    <w:bookmarkEnd w:id="104"/>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as amended, the Registrant has duly caused this Report to be signed on its behalf by the undersigned thereunto duly authorized this 26th day of March, 2003.</w:t>
      </w:r>
    </w:p>
    <w:p>
      <w:pPr>
        <w:spacing w:after="0" w:line="162"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DONALD C. WOOD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Donald C. Wood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sectPr>
          <w:pgSz w:w="11900" w:h="16838" w:orient="portrait"/>
          <w:cols w:equalWidth="0" w:num="2">
            <w:col w:w="3980" w:space="240"/>
            <w:col w:w="6019"/>
          </w:cols>
          <w:pgMar w:left="220" w:top="616" w:right="1440" w:bottom="1440" w:gutter="0" w:footer="0" w:header="0"/>
          <w:type w:val="continuous"/>
        </w:sectPr>
      </w:pPr>
    </w:p>
    <w:p>
      <w:pPr>
        <w:ind w:right="3339"/>
        <w:spacing w:after="0" w:line="251" w:lineRule="auto"/>
        <w:rPr>
          <w:sz w:val="20"/>
          <w:szCs w:val="20"/>
          <w:color w:val="auto"/>
        </w:rPr>
      </w:pPr>
      <w:r>
        <w:rPr>
          <w:rFonts w:ascii="Courier New" w:cs="Courier New" w:eastAsia="Courier New" w:hAnsi="Courier New"/>
          <w:sz w:val="14"/>
          <w:szCs w:val="14"/>
          <w:color w:val="auto"/>
        </w:rPr>
        <w:t>Pursuant to the requirements of the Securities Exchange Act of 1934, as amended, this Report has been signed below by the following persons in the capacities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4060" w:space="260"/>
            <w:col w:w="3180" w:space="260"/>
            <w:col w:w="2479"/>
          </w:cols>
          <w:pgMar w:left="220" w:top="616" w:right="1440" w:bottom="1440" w:gutter="0" w:footer="0" w:header="0"/>
          <w:type w:val="continuous"/>
        </w:sectPr>
      </w:pPr>
    </w:p>
    <w:p>
      <w:pPr>
        <w:spacing w:after="0"/>
        <w:tabs>
          <w:tab w:leader="none" w:pos="50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Donald C. Wood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Executive Officer (Principal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26, 2003</w:t>
      </w:r>
    </w:p>
    <w:p>
      <w:pPr>
        <w:spacing w:after="0" w:line="172" w:lineRule="exact"/>
        <w:rPr>
          <w:sz w:val="20"/>
          <w:szCs w:val="20"/>
          <w:color w:val="auto"/>
        </w:rPr>
      </w:pPr>
    </w:p>
    <w:p>
      <w:pPr>
        <w:sectPr>
          <w:pgSz w:w="11900" w:h="16838" w:orient="portrait"/>
          <w:cols w:equalWidth="0" w:num="3">
            <w:col w:w="3420" w:space="720"/>
            <w:col w:w="2940" w:space="500"/>
            <w:col w:w="26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C. Wood</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E. Finger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Financial Officer 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and accounting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2003</w:t>
      </w:r>
    </w:p>
    <w:p>
      <w:pPr>
        <w:spacing w:after="0" w:line="696" w:lineRule="exact"/>
        <w:rPr>
          <w:sz w:val="20"/>
          <w:szCs w:val="20"/>
          <w:color w:val="auto"/>
        </w:rPr>
      </w:pPr>
    </w:p>
    <w:p>
      <w:pPr>
        <w:sectPr>
          <w:pgSz w:w="11900" w:h="16838" w:orient="portrait"/>
          <w:cols w:equalWidth="0" w:num="3">
            <w:col w:w="3420" w:space="720"/>
            <w:col w:w="3020" w:space="420"/>
            <w:col w:w="2659"/>
          </w:cols>
          <w:pgMar w:left="220" w:top="616" w:right="1440" w:bottom="1440" w:gutter="0" w:footer="0" w:header="0"/>
          <w:type w:val="continuous"/>
        </w:sectPr>
      </w:pPr>
    </w:p>
    <w:p>
      <w:pPr>
        <w:spacing w:after="0" w:line="13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Mark S. Ordan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Non-Executive Chairman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4"/>
          <w:szCs w:val="14"/>
          <w:color w:val="auto"/>
        </w:rPr>
        <w:t>March 26, 2003</w:t>
      </w:r>
    </w:p>
    <w:p>
      <w:pPr>
        <w:spacing w:after="0" w:line="7" w:lineRule="exact"/>
        <w:rPr>
          <w:sz w:val="20"/>
          <w:szCs w:val="20"/>
          <w:color w:val="auto"/>
        </w:rPr>
      </w:pPr>
    </w:p>
    <w:p>
      <w:pPr>
        <w:sectPr>
          <w:pgSz w:w="11900" w:h="16838" w:orient="portrait"/>
          <w:cols w:equalWidth="0" w:num="3">
            <w:col w:w="3420" w:space="720"/>
            <w:col w:w="2720" w:space="720"/>
            <w:col w:w="2659"/>
          </w:cols>
          <w:pgMar w:left="220" w:top="616" w:right="1440" w:bottom="1440" w:gutter="0" w:footer="0" w:header="0"/>
          <w:type w:val="continuous"/>
        </w:sectPr>
      </w:pPr>
    </w:p>
    <w:p>
      <w:pPr>
        <w:ind w:left="180" w:hanging="172"/>
        <w:spacing w:after="0"/>
        <w:tabs>
          <w:tab w:leader="none" w:pos="1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Mark S. Ordan</w:t>
      </w:r>
    </w:p>
    <w:p>
      <w:pPr>
        <w:spacing w:after="0" w:line="338" w:lineRule="exact"/>
        <w:rPr>
          <w:sz w:val="20"/>
          <w:szCs w:val="20"/>
          <w:color w:val="auto"/>
        </w:rPr>
      </w:pPr>
    </w:p>
    <w:p>
      <w:pPr>
        <w:spacing w:after="0"/>
        <w:tabs>
          <w:tab w:leader="none" w:pos="500" w:val="left"/>
          <w:tab w:leader="none" w:pos="4120" w:val="left"/>
          <w:tab w:leader="none" w:pos="756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Dennis L. Berman</w:t>
      </w:r>
      <w:r>
        <w:rPr>
          <w:sz w:val="20"/>
          <w:szCs w:val="20"/>
          <w:color w:val="auto"/>
        </w:rPr>
        <w:tab/>
      </w: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4"/>
          <w:szCs w:val="14"/>
          <w:color w:val="auto"/>
        </w:rPr>
        <w:t>March 26, 2003</w:t>
      </w:r>
    </w:p>
    <w:p>
      <w:pPr>
        <w:spacing w:after="0" w:line="7" w:lineRule="exact"/>
        <w:rPr>
          <w:sz w:val="20"/>
          <w:szCs w:val="20"/>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Dennis L. Berman</w:t>
      </w:r>
    </w:p>
    <w:p>
      <w:pPr>
        <w:spacing w:after="0" w:line="338" w:lineRule="exact"/>
        <w:rPr>
          <w:sz w:val="20"/>
          <w:szCs w:val="20"/>
          <w:color w:val="auto"/>
        </w:rPr>
      </w:pPr>
    </w:p>
    <w:p>
      <w:pPr>
        <w:spacing w:after="0"/>
        <w:tabs>
          <w:tab w:leader="none" w:pos="500" w:val="left"/>
          <w:tab w:leader="none" w:pos="4120" w:val="left"/>
          <w:tab w:leader="none" w:pos="756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Kristin Gamble</w:t>
      </w:r>
      <w:r>
        <w:rPr>
          <w:sz w:val="20"/>
          <w:szCs w:val="20"/>
          <w:color w:val="auto"/>
        </w:rPr>
        <w:tab/>
      </w: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4"/>
          <w:szCs w:val="14"/>
          <w:color w:val="auto"/>
        </w:rPr>
        <w:t>March 26, 2003</w:t>
      </w:r>
    </w:p>
    <w:p>
      <w:pPr>
        <w:spacing w:after="0" w:line="7" w:lineRule="exact"/>
        <w:rPr>
          <w:sz w:val="20"/>
          <w:szCs w:val="20"/>
          <w:color w:val="auto"/>
        </w:rPr>
      </w:pPr>
    </w:p>
    <w:p>
      <w:pPr>
        <w:ind w:left="180" w:hanging="172"/>
        <w:spacing w:after="0"/>
        <w:tabs>
          <w:tab w:leader="none" w:pos="1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Kristin Gamble</w:t>
      </w:r>
    </w:p>
    <w:p>
      <w:pPr>
        <w:spacing w:after="0" w:line="338" w:lineRule="exact"/>
        <w:rPr>
          <w:sz w:val="20"/>
          <w:szCs w:val="20"/>
          <w:color w:val="auto"/>
        </w:rPr>
      </w:pPr>
    </w:p>
    <w:p>
      <w:pPr>
        <w:spacing w:after="0"/>
        <w:tabs>
          <w:tab w:leader="none" w:pos="500" w:val="left"/>
          <w:tab w:leader="none" w:pos="4120" w:val="left"/>
          <w:tab w:leader="none" w:pos="756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Amy B. Lane</w:t>
      </w:r>
      <w:r>
        <w:rPr>
          <w:sz w:val="20"/>
          <w:szCs w:val="20"/>
          <w:color w:val="auto"/>
        </w:rPr>
        <w:tab/>
      </w: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4"/>
          <w:szCs w:val="14"/>
          <w:color w:val="auto"/>
        </w:rPr>
        <w:t>March 26, 2003</w:t>
      </w:r>
    </w:p>
    <w:p>
      <w:pPr>
        <w:spacing w:after="0" w:line="7" w:lineRule="exact"/>
        <w:rPr>
          <w:sz w:val="20"/>
          <w:szCs w:val="20"/>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Amy B. Lane</w:t>
      </w:r>
    </w:p>
    <w:p>
      <w:pPr>
        <w:spacing w:after="0" w:line="338" w:lineRule="exact"/>
        <w:rPr>
          <w:sz w:val="20"/>
          <w:szCs w:val="20"/>
          <w:color w:val="auto"/>
        </w:rPr>
      </w:pPr>
    </w:p>
    <w:p>
      <w:pPr>
        <w:spacing w:after="0"/>
        <w:tabs>
          <w:tab w:leader="none" w:pos="500" w:val="left"/>
          <w:tab w:leader="none" w:pos="4120" w:val="left"/>
          <w:tab w:leader="none" w:pos="756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Walter F. Loeb</w:t>
      </w:r>
      <w:r>
        <w:rPr>
          <w:sz w:val="20"/>
          <w:szCs w:val="20"/>
          <w:color w:val="auto"/>
        </w:rPr>
        <w:tab/>
      </w: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4"/>
          <w:szCs w:val="14"/>
          <w:color w:val="auto"/>
        </w:rPr>
        <w:t>March 26, 2003</w:t>
      </w:r>
    </w:p>
    <w:p>
      <w:pPr>
        <w:spacing w:after="0" w:line="7" w:lineRule="exact"/>
        <w:rPr>
          <w:sz w:val="20"/>
          <w:szCs w:val="20"/>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Walter F. Loeb</w:t>
      </w:r>
    </w:p>
    <w:p>
      <w:pPr>
        <w:spacing w:after="0" w:line="338" w:lineRule="exact"/>
        <w:rPr>
          <w:sz w:val="20"/>
          <w:szCs w:val="20"/>
          <w:color w:val="auto"/>
        </w:rPr>
      </w:pPr>
    </w:p>
    <w:p>
      <w:pPr>
        <w:spacing w:after="0"/>
        <w:tabs>
          <w:tab w:leader="none" w:pos="500" w:val="left"/>
          <w:tab w:leader="none" w:pos="4120" w:val="left"/>
          <w:tab w:leader="none" w:pos="756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Joseph S. Vassalluzzo</w:t>
      </w:r>
      <w:r>
        <w:rPr>
          <w:sz w:val="20"/>
          <w:szCs w:val="20"/>
          <w:color w:val="auto"/>
        </w:rPr>
        <w:tab/>
      </w: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4"/>
          <w:szCs w:val="14"/>
          <w:color w:val="auto"/>
        </w:rPr>
        <w:t>March 26, 2003</w:t>
      </w:r>
    </w:p>
    <w:p>
      <w:pPr>
        <w:spacing w:after="0" w:line="7" w:lineRule="exact"/>
        <w:rPr>
          <w:sz w:val="20"/>
          <w:szCs w:val="20"/>
          <w:color w:val="auto"/>
        </w:rPr>
      </w:pPr>
    </w:p>
    <w:p>
      <w:pPr>
        <w:ind w:left="180" w:hanging="172"/>
        <w:spacing w:after="0"/>
        <w:tabs>
          <w:tab w:leader="none" w:pos="1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Joseph S. Vassalluzzo</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F42 -</w:t>
      </w:r>
    </w:p>
    <w:p>
      <w:pPr>
        <w:sectPr>
          <w:pgSz w:w="11900" w:h="16838" w:orient="portrait"/>
          <w:cols w:equalWidth="0" w:num="1">
            <w:col w:w="10239"/>
          </w:cols>
          <w:pgMar w:left="220" w:top="616" w:right="1440" w:bottom="1440" w:gutter="0" w:footer="0" w:header="0"/>
          <w:type w:val="continuous"/>
        </w:sectPr>
      </w:pPr>
    </w:p>
    <w:bookmarkStart w:id="105" w:name="page106"/>
    <w:bookmarkEnd w:id="105"/>
    <w:p>
      <w:pPr>
        <w:ind w:left="2860"/>
        <w:spacing w:after="0"/>
        <w:rPr>
          <w:sz w:val="20"/>
          <w:szCs w:val="20"/>
          <w:color w:val="auto"/>
        </w:rPr>
      </w:pPr>
      <w:r>
        <w:rPr>
          <w:rFonts w:ascii="Courier New" w:cs="Courier New" w:eastAsia="Courier New" w:hAnsi="Courier New"/>
          <w:sz w:val="14"/>
          <w:szCs w:val="14"/>
          <w:color w:val="auto"/>
        </w:rPr>
        <w:t>CERTIFICATIONS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Donald C. Wood, certify that:</w:t>
      </w:r>
    </w:p>
    <w:p>
      <w:pPr>
        <w:spacing w:after="0" w:line="173" w:lineRule="exact"/>
        <w:rPr>
          <w:sz w:val="20"/>
          <w:szCs w:val="20"/>
          <w:color w:val="auto"/>
        </w:rPr>
      </w:pPr>
    </w:p>
    <w:p>
      <w:pPr>
        <w:ind w:left="860" w:right="3779" w:hanging="421"/>
        <w:spacing w:after="0" w:line="255" w:lineRule="auto"/>
        <w:tabs>
          <w:tab w:leader="none" w:pos="8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Federal Realty Investment Trust;</w:t>
      </w:r>
    </w:p>
    <w:p>
      <w:pPr>
        <w:spacing w:after="0" w:line="159"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quarterly report; and</w:t>
      </w:r>
    </w:p>
    <w:p>
      <w:pPr>
        <w:spacing w:after="0" w:line="164"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quarterly report.</w:t>
      </w:r>
    </w:p>
    <w:p>
      <w:pPr>
        <w:spacing w:after="0" w:line="164" w:lineRule="exact"/>
        <w:rPr>
          <w:rFonts w:ascii="Courier New" w:cs="Courier New" w:eastAsia="Courier New" w:hAnsi="Courier New"/>
          <w:sz w:val="14"/>
          <w:szCs w:val="14"/>
          <w:color w:val="auto"/>
        </w:rPr>
      </w:pPr>
    </w:p>
    <w:p>
      <w:pPr>
        <w:jc w:val="both"/>
        <w:ind w:left="860" w:right="3599" w:hanging="421"/>
        <w:spacing w:after="0" w:line="252" w:lineRule="auto"/>
        <w:tabs>
          <w:tab w:leader="none" w:pos="8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13a-14 and 15d-14) for the registrant and have:</w:t>
      </w:r>
    </w:p>
    <w:p>
      <w:pPr>
        <w:spacing w:after="0" w:line="162" w:lineRule="exact"/>
        <w:rPr>
          <w:rFonts w:ascii="Courier New" w:cs="Courier New" w:eastAsia="Courier New" w:hAnsi="Courier New"/>
          <w:sz w:val="14"/>
          <w:szCs w:val="14"/>
          <w:color w:val="auto"/>
        </w:rPr>
      </w:pPr>
    </w:p>
    <w:p>
      <w:pPr>
        <w:ind w:left="1300" w:right="3519" w:hanging="43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64" w:lineRule="exact"/>
        <w:rPr>
          <w:rFonts w:ascii="Courier New" w:cs="Courier New" w:eastAsia="Courier New" w:hAnsi="Courier New"/>
          <w:sz w:val="14"/>
          <w:szCs w:val="14"/>
          <w:color w:val="auto"/>
        </w:rPr>
      </w:pPr>
    </w:p>
    <w:p>
      <w:pPr>
        <w:ind w:left="1300" w:right="3419" w:hanging="43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evaluated the effectiveness of the registrant's disclosure controls and procedures as of a date within 90 days prior to the filing date of this annual report (the "Evaluation Date"); and</w:t>
      </w:r>
    </w:p>
    <w:p>
      <w:pPr>
        <w:spacing w:after="0" w:line="162" w:lineRule="exact"/>
        <w:rPr>
          <w:rFonts w:ascii="Courier New" w:cs="Courier New" w:eastAsia="Courier New" w:hAnsi="Courier New"/>
          <w:sz w:val="14"/>
          <w:szCs w:val="14"/>
          <w:color w:val="auto"/>
        </w:rPr>
      </w:pPr>
    </w:p>
    <w:p>
      <w:pPr>
        <w:ind w:left="1300" w:right="3419" w:hanging="43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presented in this annual report our conclusions about the effectiveness of the disclosure controls and procedures based on our evaluation as of the Evaluation Date;</w:t>
      </w:r>
    </w:p>
    <w:p>
      <w:pPr>
        <w:spacing w:after="0" w:line="162"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to the registrant's auditors and the audit committee of registrant's board of trustees (or persons performing the equivalent functions):</w:t>
      </w:r>
    </w:p>
    <w:p>
      <w:pPr>
        <w:spacing w:after="0" w:line="162" w:lineRule="exact"/>
        <w:rPr>
          <w:rFonts w:ascii="Courier New" w:cs="Courier New" w:eastAsia="Courier New" w:hAnsi="Courier New"/>
          <w:sz w:val="14"/>
          <w:szCs w:val="14"/>
          <w:color w:val="auto"/>
        </w:rPr>
      </w:pPr>
    </w:p>
    <w:p>
      <w:pPr>
        <w:ind w:left="1300" w:right="3519" w:hanging="43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4" w:lineRule="exact"/>
        <w:rPr>
          <w:rFonts w:ascii="Courier New" w:cs="Courier New" w:eastAsia="Courier New" w:hAnsi="Courier New"/>
          <w:sz w:val="14"/>
          <w:szCs w:val="14"/>
          <w:color w:val="auto"/>
        </w:rPr>
      </w:pPr>
    </w:p>
    <w:p>
      <w:pPr>
        <w:ind w:left="1300" w:right="3519" w:hanging="43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any fraud, whether or not material, that involves management or other employees who have a significant role in the registrant's internal controls; and</w:t>
      </w:r>
    </w:p>
    <w:p>
      <w:pPr>
        <w:spacing w:after="0" w:line="162"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indicated in this annual report whether there were significant changes in internal controls or in other factors that</w:t>
      </w:r>
    </w:p>
    <w:p>
      <w:pPr>
        <w:spacing w:after="0" w:line="162"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F45 -</w:t>
      </w:r>
    </w:p>
    <w:p>
      <w:pPr>
        <w:sectPr>
          <w:pgSz w:w="11900" w:h="16838" w:orient="portrait"/>
          <w:cols w:equalWidth="0" w:num="1">
            <w:col w:w="10239"/>
          </w:cols>
          <w:pgMar w:left="220" w:top="782" w:right="1440" w:bottom="1440" w:gutter="0" w:footer="0" w:header="0"/>
        </w:sectPr>
      </w:pPr>
    </w:p>
    <w:bookmarkStart w:id="106" w:name="page107"/>
    <w:bookmarkEnd w:id="106"/>
    <w:p>
      <w:pPr>
        <w:ind w:left="860" w:right="3339"/>
        <w:spacing w:after="0" w:line="252" w:lineRule="auto"/>
        <w:rPr>
          <w:sz w:val="20"/>
          <w:szCs w:val="20"/>
          <w:color w:val="auto"/>
        </w:rPr>
      </w:pPr>
      <w:r>
        <w:rPr>
          <w:rFonts w:ascii="Courier New" w:cs="Courier New" w:eastAsia="Courier New" w:hAnsi="Courier New"/>
          <w:sz w:val="14"/>
          <w:szCs w:val="14"/>
          <w:color w:val="auto"/>
        </w:rPr>
        <w:t>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26, 2003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Donald C. Wood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Donald C. Wood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President and Chief Executive Officer</w:t>
      </w:r>
    </w:p>
    <w:p>
      <w:pPr>
        <w:spacing w:after="0" w:line="173" w:lineRule="exact"/>
        <w:rPr>
          <w:sz w:val="20"/>
          <w:szCs w:val="20"/>
          <w:color w:val="auto"/>
        </w:rPr>
      </w:pPr>
    </w:p>
    <w:p>
      <w:pPr>
        <w:sectPr>
          <w:pgSz w:w="11900" w:h="16838" w:orient="portrait"/>
          <w:cols w:equalWidth="0" w:num="2">
            <w:col w:w="2220" w:space="720"/>
            <w:col w:w="72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F46 -</w:t>
      </w:r>
    </w:p>
    <w:p>
      <w:pPr>
        <w:sectPr>
          <w:pgSz w:w="11900" w:h="16838" w:orient="portrait"/>
          <w:cols w:equalWidth="0" w:num="1">
            <w:col w:w="10239"/>
          </w:cols>
          <w:pgMar w:left="220" w:top="616" w:right="1440" w:bottom="1440" w:gutter="0" w:footer="0" w:header="0"/>
          <w:type w:val="continuous"/>
        </w:sectPr>
      </w:pPr>
    </w:p>
    <w:bookmarkStart w:id="107" w:name="page108"/>
    <w:bookmarkEnd w:id="107"/>
    <w:p>
      <w:pPr>
        <w:ind w:left="2860"/>
        <w:spacing w:after="0"/>
        <w:rPr>
          <w:sz w:val="20"/>
          <w:szCs w:val="20"/>
          <w:color w:val="auto"/>
        </w:rPr>
      </w:pPr>
      <w:r>
        <w:rPr>
          <w:rFonts w:ascii="Courier New" w:cs="Courier New" w:eastAsia="Courier New" w:hAnsi="Courier New"/>
          <w:sz w:val="14"/>
          <w:szCs w:val="14"/>
          <w:color w:val="auto"/>
        </w:rPr>
        <w:t>CERTIFICATIONS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Larry E. Finger, certify that:</w:t>
      </w:r>
    </w:p>
    <w:p>
      <w:pPr>
        <w:spacing w:after="0" w:line="173" w:lineRule="exact"/>
        <w:rPr>
          <w:sz w:val="20"/>
          <w:szCs w:val="20"/>
          <w:color w:val="auto"/>
        </w:rPr>
      </w:pPr>
    </w:p>
    <w:p>
      <w:pPr>
        <w:ind w:left="860" w:right="3779" w:hanging="421"/>
        <w:spacing w:after="0" w:line="255" w:lineRule="auto"/>
        <w:tabs>
          <w:tab w:leader="none" w:pos="8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Federal Realty Investment Trust;</w:t>
      </w:r>
    </w:p>
    <w:p>
      <w:pPr>
        <w:spacing w:after="0" w:line="159"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quarterly report; and</w:t>
      </w:r>
    </w:p>
    <w:p>
      <w:pPr>
        <w:spacing w:after="0" w:line="164"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quarterly report.</w:t>
      </w:r>
    </w:p>
    <w:p>
      <w:pPr>
        <w:spacing w:after="0" w:line="164" w:lineRule="exact"/>
        <w:rPr>
          <w:rFonts w:ascii="Courier New" w:cs="Courier New" w:eastAsia="Courier New" w:hAnsi="Courier New"/>
          <w:sz w:val="14"/>
          <w:szCs w:val="14"/>
          <w:color w:val="auto"/>
        </w:rPr>
      </w:pPr>
    </w:p>
    <w:p>
      <w:pPr>
        <w:jc w:val="both"/>
        <w:ind w:left="860" w:right="3599" w:hanging="421"/>
        <w:spacing w:after="0" w:line="252" w:lineRule="auto"/>
        <w:tabs>
          <w:tab w:leader="none" w:pos="8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13a-14 and 15d-14) for the registrant and have:</w:t>
      </w:r>
    </w:p>
    <w:p>
      <w:pPr>
        <w:spacing w:after="0" w:line="162" w:lineRule="exact"/>
        <w:rPr>
          <w:rFonts w:ascii="Courier New" w:cs="Courier New" w:eastAsia="Courier New" w:hAnsi="Courier New"/>
          <w:sz w:val="14"/>
          <w:szCs w:val="14"/>
          <w:color w:val="auto"/>
        </w:rPr>
      </w:pPr>
    </w:p>
    <w:p>
      <w:pPr>
        <w:ind w:left="1300" w:right="3519" w:hanging="43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64" w:lineRule="exact"/>
        <w:rPr>
          <w:rFonts w:ascii="Courier New" w:cs="Courier New" w:eastAsia="Courier New" w:hAnsi="Courier New"/>
          <w:sz w:val="14"/>
          <w:szCs w:val="14"/>
          <w:color w:val="auto"/>
        </w:rPr>
      </w:pPr>
    </w:p>
    <w:p>
      <w:pPr>
        <w:ind w:left="1300" w:right="3419" w:hanging="43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evaluated the effectiveness of the registrant's disclosure controls and procedures as of a date within 90 days prior to the filing date of this annual report (the "Evaluation Date"); and</w:t>
      </w:r>
    </w:p>
    <w:p>
      <w:pPr>
        <w:spacing w:after="0" w:line="162" w:lineRule="exact"/>
        <w:rPr>
          <w:rFonts w:ascii="Courier New" w:cs="Courier New" w:eastAsia="Courier New" w:hAnsi="Courier New"/>
          <w:sz w:val="14"/>
          <w:szCs w:val="14"/>
          <w:color w:val="auto"/>
        </w:rPr>
      </w:pPr>
    </w:p>
    <w:p>
      <w:pPr>
        <w:ind w:left="1300" w:right="3419" w:hanging="43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presented in this annual report our conclusions about the effectiveness of the disclosure controls and procedures based on our evaluation as of the Evaluation Date;</w:t>
      </w:r>
    </w:p>
    <w:p>
      <w:pPr>
        <w:spacing w:after="0" w:line="162"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to the registrant's auditors and the audit committee of registrant's board of trustees (or persons performing the equivalent functions):</w:t>
      </w:r>
    </w:p>
    <w:p>
      <w:pPr>
        <w:spacing w:after="0" w:line="162" w:lineRule="exact"/>
        <w:rPr>
          <w:rFonts w:ascii="Courier New" w:cs="Courier New" w:eastAsia="Courier New" w:hAnsi="Courier New"/>
          <w:sz w:val="14"/>
          <w:szCs w:val="14"/>
          <w:color w:val="auto"/>
        </w:rPr>
      </w:pPr>
    </w:p>
    <w:p>
      <w:pPr>
        <w:ind w:left="1300" w:right="3519" w:hanging="43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4" w:lineRule="exact"/>
        <w:rPr>
          <w:rFonts w:ascii="Courier New" w:cs="Courier New" w:eastAsia="Courier New" w:hAnsi="Courier New"/>
          <w:sz w:val="14"/>
          <w:szCs w:val="14"/>
          <w:color w:val="auto"/>
        </w:rPr>
      </w:pPr>
    </w:p>
    <w:p>
      <w:pPr>
        <w:ind w:left="1300" w:right="3519" w:hanging="43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any fraud, whether or not material, that involves management or other employees who have a significant role in the registrant's internal controls; and</w:t>
      </w:r>
    </w:p>
    <w:p>
      <w:pPr>
        <w:spacing w:after="0" w:line="162"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indicated in this annual report whether there were significant changes in internal controls or in other factors that</w:t>
      </w:r>
    </w:p>
    <w:p>
      <w:pPr>
        <w:spacing w:after="0" w:line="162"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F47 -</w:t>
      </w:r>
    </w:p>
    <w:p>
      <w:pPr>
        <w:sectPr>
          <w:pgSz w:w="11900" w:h="16838" w:orient="portrait"/>
          <w:cols w:equalWidth="0" w:num="1">
            <w:col w:w="10239"/>
          </w:cols>
          <w:pgMar w:left="220" w:top="616" w:right="1440" w:bottom="1440" w:gutter="0" w:footer="0" w:header="0"/>
        </w:sectPr>
      </w:pPr>
    </w:p>
    <w:bookmarkStart w:id="108" w:name="page109"/>
    <w:bookmarkEnd w:id="108"/>
    <w:p>
      <w:pPr>
        <w:ind w:left="860" w:right="3339"/>
        <w:spacing w:after="0" w:line="252" w:lineRule="auto"/>
        <w:rPr>
          <w:sz w:val="20"/>
          <w:szCs w:val="20"/>
          <w:color w:val="auto"/>
        </w:rPr>
      </w:pPr>
      <w:r>
        <w:rPr>
          <w:rFonts w:ascii="Courier New" w:cs="Courier New" w:eastAsia="Courier New" w:hAnsi="Courier New"/>
          <w:sz w:val="14"/>
          <w:szCs w:val="14"/>
          <w:color w:val="auto"/>
        </w:rPr>
        <w:t>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26, 2003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Senior Vice President - Chief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and Treasurer</w:t>
      </w:r>
    </w:p>
    <w:p>
      <w:pPr>
        <w:spacing w:after="0" w:line="173" w:lineRule="exact"/>
        <w:rPr>
          <w:sz w:val="20"/>
          <w:szCs w:val="20"/>
          <w:color w:val="auto"/>
        </w:rPr>
      </w:pPr>
    </w:p>
    <w:p>
      <w:pPr>
        <w:sectPr>
          <w:pgSz w:w="11900" w:h="16838" w:orient="portrait"/>
          <w:cols w:equalWidth="0" w:num="2">
            <w:col w:w="2220" w:space="720"/>
            <w:col w:w="729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F48 -</w:t>
      </w:r>
    </w:p>
    <w:p>
      <w:pPr>
        <w:sectPr>
          <w:pgSz w:w="11900" w:h="16838" w:orient="portrait"/>
          <w:cols w:equalWidth="0" w:num="1">
            <w:col w:w="10239"/>
          </w:cols>
          <w:pgMar w:left="220" w:top="616" w:right="1440" w:bottom="1440" w:gutter="0" w:footer="0" w:header="0"/>
          <w:type w:val="continuous"/>
        </w:sectPr>
      </w:pPr>
    </w:p>
    <w:bookmarkStart w:id="109" w:name="page110"/>
    <w:bookmarkEnd w:id="109"/>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[LOGO] 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Bylaws</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Amended and Restated Bylaws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(February 12, 2003)</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OFFICES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Section 1. PRINCIPAL OFFICE. The principal office of the Trust shall be located at such place or places as the Board of Trustees may designate.</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Section 2. ADDITIONAL OFFICES. The Trust may have additional offices at such places as the Board of Trustees may from time to time determine or the business of the Trust may require.</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MEETINGS OF SHAREHOLDERS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1. PLACE. All meetings of shareholders shall be held at the principal executive office of the Trust or at such other place within the United States as shall be stated in the notice of the meeting.</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3. SPECIAL MEETINGS. The Chairman of the Board, the Chief Executive Officer,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472" w:right="1440" w:bottom="1440" w:gutter="0" w:footer="0" w:header="0"/>
        </w:sectPr>
      </w:pPr>
    </w:p>
    <w:bookmarkStart w:id="110" w:name="page111"/>
    <w:bookmarkEnd w:id="110"/>
    <w:p>
      <w:pPr>
        <w:ind w:right="3419"/>
        <w:spacing w:after="0" w:line="251" w:lineRule="auto"/>
        <w:rPr>
          <w:sz w:val="20"/>
          <w:szCs w:val="20"/>
          <w:color w:val="auto"/>
        </w:rPr>
      </w:pPr>
      <w:r>
        <w:rPr>
          <w:rFonts w:ascii="Courier New" w:cs="Courier New" w:eastAsia="Courier New" w:hAnsi="Courier New"/>
          <w:sz w:val="14"/>
          <w:szCs w:val="14"/>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6. ORGANIZATION. The Chairman of the Board shall preside over every meeting of the shareholders. If there is no Chairman or the Chairman is not present at any meeting of the shareholders, the Chief Executive Officer shall preside. In the case of a vacancy in office or an absence of both the Chairman and the Chief Executive Officer, one of the following officers present shall conduct the meeting in the order stated: the President, the Vice Presidents (as defined in Article V, Section 8) in their order of rank and seniority, or a Chairman chosen by the shareholders entitled to cast a majority of the votes which all shareholders present in person or by proxy are entitled to cast, shall act as Chairman. The Secretary, or, in his absence, an Assistant Secretary, or in the absence of both the Secretary and Assistant Secretaries, a person appointed by the Chief Executive Officer, shall act as Secretary of the meeting.</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8. VOTING.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9. PROXIES. A shareholder may cast the votes entitled to be cast by the shares owned of record by him either in person or by proxy executed by the shareholder or by his duly</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616" w:right="1440" w:bottom="1440" w:gutter="0" w:footer="0" w:header="0"/>
        </w:sectPr>
      </w:pPr>
    </w:p>
    <w:bookmarkStart w:id="111" w:name="page112"/>
    <w:bookmarkEnd w:id="111"/>
    <w:p>
      <w:pPr>
        <w:ind w:right="3419"/>
        <w:spacing w:after="0" w:line="252" w:lineRule="auto"/>
        <w:rPr>
          <w:sz w:val="20"/>
          <w:szCs w:val="20"/>
          <w:color w:val="auto"/>
        </w:rPr>
      </w:pPr>
      <w:r>
        <w:rPr>
          <w:rFonts w:ascii="Courier New" w:cs="Courier New" w:eastAsia="Courier New" w:hAnsi="Courier New"/>
          <w:sz w:val="14"/>
          <w:szCs w:val="14"/>
          <w:color w:val="auto"/>
        </w:rPr>
        <w:t>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10. VOTING OF SHARES BY CERTAIN HOLDERS. Shares of the Trust registered in the name of a corporation, partnership, limited liability company, trust or other entity, if entitled to be voted, may be voted by the president or a vice president, a general partner, a manager, a managing member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or agreement of the members of the limited liability company presents a certified copy of such bylaw, resolution or agreement, in which case such person may vote such shares. Any trustee or other fiduciary may vote shares registered in his name as such fiduciary, either in person or by proxy.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Each report of an inspector shall be in writing and signed by him or by a majority of them if there is more than one inspector acting at such meeting. If there is more than one inspector, the</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39"/>
          </w:cols>
          <w:pgMar w:left="220" w:top="616" w:right="1440" w:bottom="1440" w:gutter="0" w:footer="0" w:header="0"/>
        </w:sectPr>
      </w:pPr>
    </w:p>
    <w:bookmarkStart w:id="112" w:name="page113"/>
    <w:bookmarkEnd w:id="112"/>
    <w:p>
      <w:pPr>
        <w:ind w:right="3519"/>
        <w:spacing w:after="0" w:line="252" w:lineRule="auto"/>
        <w:rPr>
          <w:sz w:val="20"/>
          <w:szCs w:val="20"/>
          <w:color w:val="auto"/>
        </w:rPr>
      </w:pPr>
      <w:r>
        <w:rPr>
          <w:rFonts w:ascii="Courier New" w:cs="Courier New" w:eastAsia="Courier New" w:hAnsi="Courier New"/>
          <w:sz w:val="14"/>
          <w:szCs w:val="14"/>
          <w:color w:val="auto"/>
        </w:rPr>
        <w:t>report of a majority shall be the report of the inspectors. The report of the inspector or inspectors on the number of shares represented at the meeting and the results of the voting shall be prima facie evidence thereof.</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12. REPORTS TO SHAREHOLDERS. 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13.</w:t>
      </w:r>
      <w:r>
        <w:rPr>
          <w:sz w:val="20"/>
          <w:szCs w:val="20"/>
          <w:color w:val="auto"/>
        </w:rPr>
        <w:tab/>
      </w:r>
      <w:r>
        <w:rPr>
          <w:rFonts w:ascii="Courier New" w:cs="Courier New" w:eastAsia="Courier New" w:hAnsi="Courier New"/>
          <w:sz w:val="14"/>
          <w:szCs w:val="14"/>
          <w:color w:val="auto"/>
        </w:rPr>
        <w:t>NOMINATIONS AND PROPOSALS BY SHAREHOLDERS.</w:t>
      </w:r>
    </w:p>
    <w:p>
      <w:pPr>
        <w:spacing w:after="0" w:line="173" w:lineRule="exact"/>
        <w:rPr>
          <w:sz w:val="20"/>
          <w:szCs w:val="20"/>
          <w:color w:val="auto"/>
        </w:rPr>
      </w:pPr>
    </w:p>
    <w:p>
      <w:pPr>
        <w:ind w:left="780" w:hanging="772"/>
        <w:spacing w:after="0"/>
        <w:tabs>
          <w:tab w:leader="none" w:pos="7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Meetings of Shareholders.</w:t>
      </w:r>
    </w:p>
    <w:p>
      <w:pPr>
        <w:spacing w:after="0" w:line="172" w:lineRule="exact"/>
        <w:rPr>
          <w:rFonts w:ascii="Courier New" w:cs="Courier New" w:eastAsia="Courier New" w:hAnsi="Courier New"/>
          <w:sz w:val="14"/>
          <w:szCs w:val="14"/>
          <w:color w:val="auto"/>
        </w:rPr>
      </w:pPr>
    </w:p>
    <w:p>
      <w:pPr>
        <w:ind w:left="780" w:right="3339" w:firstLine="4"/>
        <w:spacing w:after="0" w:line="251" w:lineRule="auto"/>
        <w:tabs>
          <w:tab w:leader="none" w:pos="1211"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Nominations of persons for election to the Board of Trustees and the proposal of business to be considered by the shareholders may be made at an annual meeting of shareholders: (A) pursuant to the Trust's notice of meeting; (B) by or at the direction of the Trustees; or (C) by any shareholder of the Trust who was a shareholder of record both at the time of giving of notice provided for in this Section 13(a) and at the time of the annual meeting, who is entitled to vote at the meeting and who complied with the notice procedures set forth in this Section 13(a).</w:t>
      </w:r>
    </w:p>
    <w:p>
      <w:pPr>
        <w:spacing w:after="0" w:line="329" w:lineRule="exact"/>
        <w:rPr>
          <w:rFonts w:ascii="Courier New" w:cs="Courier New" w:eastAsia="Courier New" w:hAnsi="Courier New"/>
          <w:sz w:val="14"/>
          <w:szCs w:val="14"/>
          <w:color w:val="auto"/>
        </w:rPr>
      </w:pPr>
    </w:p>
    <w:p>
      <w:pPr>
        <w:ind w:left="780" w:right="3339" w:firstLine="4"/>
        <w:spacing w:after="0" w:line="250" w:lineRule="auto"/>
        <w:tabs>
          <w:tab w:leader="none" w:pos="1211"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nominations or other business to be properly brought before an annual meeting by a shareholder pursuant to clause (C) of paragraph (a)(1) 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120th calendar day before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(A) 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 written consent to being named in the proxy statement as a nominee and to serving as a Trustee if elected); (B) as to any other business that the shareholder proposes to bring</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239"/>
          </w:cols>
          <w:pgMar w:left="220" w:top="616" w:right="1440" w:bottom="1440" w:gutter="0" w:footer="0" w:header="0"/>
        </w:sectPr>
      </w:pPr>
    </w:p>
    <w:bookmarkStart w:id="113" w:name="page114"/>
    <w:bookmarkEnd w:id="113"/>
    <w:p>
      <w:pPr>
        <w:ind w:left="772" w:right="3339"/>
        <w:spacing w:after="0" w:line="251" w:lineRule="auto"/>
        <w:rPr>
          <w:sz w:val="20"/>
          <w:szCs w:val="20"/>
          <w:color w:val="auto"/>
        </w:rPr>
      </w:pPr>
      <w:r>
        <w:rPr>
          <w:rFonts w:ascii="Courier New" w:cs="Courier New" w:eastAsia="Courier New" w:hAnsi="Courier New"/>
          <w:sz w:val="14"/>
          <w:szCs w:val="14"/>
          <w:color w:val="auto"/>
        </w:rPr>
        <w:t>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 (C) as to the shareholder giving the notice and the beneficial owner, if any, on whose behalf the nomination or proposal is made: (i) the name and address of such shareholder, as they appear on the Trust's books, and of such beneficial owner; and (ii) the number of each class of shares of the Trust which are owned beneficially and of record by such shareholder and such beneficial owner.</w:t>
      </w:r>
    </w:p>
    <w:p>
      <w:pPr>
        <w:spacing w:after="0" w:line="329" w:lineRule="exact"/>
        <w:rPr>
          <w:sz w:val="20"/>
          <w:szCs w:val="20"/>
          <w:color w:val="auto"/>
        </w:rPr>
      </w:pPr>
    </w:p>
    <w:p>
      <w:pPr>
        <w:ind w:left="772" w:right="3339" w:firstLine="4"/>
        <w:spacing w:after="0" w:line="251" w:lineRule="auto"/>
        <w:tabs>
          <w:tab w:leader="none" w:pos="1116"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the second sentence of paragraph (a)(2) of this Section 13 to the contrary, 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162" w:lineRule="exact"/>
        <w:rPr>
          <w:rFonts w:ascii="Courier New" w:cs="Courier New" w:eastAsia="Courier New" w:hAnsi="Courier New"/>
          <w:sz w:val="14"/>
          <w:szCs w:val="14"/>
          <w:color w:val="auto"/>
        </w:rPr>
      </w:pPr>
    </w:p>
    <w:p>
      <w:pPr>
        <w:ind w:left="-8" w:right="3339" w:firstLine="8"/>
        <w:spacing w:after="0" w:line="250" w:lineRule="auto"/>
        <w:tabs>
          <w:tab w:leader="none" w:pos="767"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 (ii) by or at the direction of the Board of Trustees; or</w:t>
      </w:r>
    </w:p>
    <w:p>
      <w:pPr>
        <w:spacing w:after="0" w:line="2" w:lineRule="exact"/>
        <w:rPr>
          <w:rFonts w:ascii="Courier New" w:cs="Courier New" w:eastAsia="Courier New" w:hAnsi="Courier New"/>
          <w:sz w:val="14"/>
          <w:szCs w:val="14"/>
          <w:color w:val="auto"/>
        </w:rPr>
      </w:pPr>
    </w:p>
    <w:p>
      <w:pPr>
        <w:ind w:left="-8" w:right="3339" w:firstLine="8"/>
        <w:spacing w:after="0" w:line="250" w:lineRule="auto"/>
        <w:tabs>
          <w:tab w:leader="none" w:pos="508"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(a)(2) of this Section 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173"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2" w:lineRule="exact"/>
        <w:rPr>
          <w:rFonts w:ascii="Courier New" w:cs="Courier New" w:eastAsia="Courier New" w:hAnsi="Courier New"/>
          <w:sz w:val="14"/>
          <w:szCs w:val="14"/>
          <w:color w:val="auto"/>
        </w:rPr>
      </w:pPr>
    </w:p>
    <w:p>
      <w:pPr>
        <w:ind w:left="772" w:right="3519" w:firstLine="4"/>
        <w:spacing w:after="0" w:line="251" w:lineRule="auto"/>
        <w:tabs>
          <w:tab w:leader="none" w:pos="1116"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such persons who are nominated in accordance with the procedures set forth in this Section 13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w:t>
      </w:r>
    </w:p>
    <w:p>
      <w:pPr>
        <w:spacing w:after="0" w:line="164"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Page 5</w:t>
      </w:r>
    </w:p>
    <w:p>
      <w:pPr>
        <w:sectPr>
          <w:pgSz w:w="11900" w:h="16838" w:orient="portrait"/>
          <w:cols w:equalWidth="0" w:num="1">
            <w:col w:w="10231"/>
          </w:cols>
          <w:pgMar w:left="228" w:top="616" w:right="1440" w:bottom="1440" w:gutter="0" w:footer="0" w:header="0"/>
        </w:sectPr>
      </w:pPr>
    </w:p>
    <w:bookmarkStart w:id="114" w:name="page115"/>
    <w:bookmarkEnd w:id="114"/>
    <w:p>
      <w:pPr>
        <w:ind w:left="520" w:right="3519"/>
        <w:spacing w:after="0" w:line="251" w:lineRule="auto"/>
        <w:rPr>
          <w:sz w:val="20"/>
          <w:szCs w:val="20"/>
          <w:color w:val="auto"/>
        </w:rPr>
      </w:pPr>
      <w:r>
        <w:rPr>
          <w:rFonts w:ascii="Courier New" w:cs="Courier New" w:eastAsia="Courier New" w:hAnsi="Courier New"/>
          <w:sz w:val="14"/>
          <w:szCs w:val="14"/>
          <w:color w:val="auto"/>
        </w:rPr>
        <w:t>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165" w:lineRule="exact"/>
        <w:rPr>
          <w:sz w:val="20"/>
          <w:szCs w:val="20"/>
          <w:color w:val="auto"/>
        </w:rPr>
      </w:pPr>
    </w:p>
    <w:p>
      <w:pPr>
        <w:ind w:left="520" w:right="3339" w:firstLine="5"/>
        <w:spacing w:after="0" w:line="251" w:lineRule="auto"/>
        <w:tabs>
          <w:tab w:leader="none" w:pos="1123"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164" w:lineRule="exact"/>
        <w:rPr>
          <w:rFonts w:ascii="Courier New" w:cs="Courier New" w:eastAsia="Courier New" w:hAnsi="Courier New"/>
          <w:sz w:val="14"/>
          <w:szCs w:val="14"/>
          <w:color w:val="auto"/>
        </w:rPr>
      </w:pPr>
    </w:p>
    <w:p>
      <w:pPr>
        <w:ind w:left="520" w:right="3339" w:firstLine="5"/>
        <w:spacing w:after="0" w:line="251" w:lineRule="auto"/>
        <w:tabs>
          <w:tab w:leader="none" w:pos="1123"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14.</w:t>
        <w:tab/>
        <w:t>INFORMAL ACTION BY SHAREHOLDERS.</w:t>
      </w:r>
    </w:p>
    <w:p>
      <w:pPr>
        <w:spacing w:after="0" w:line="173" w:lineRule="exact"/>
        <w:rPr>
          <w:sz w:val="20"/>
          <w:szCs w:val="20"/>
          <w:color w:val="auto"/>
        </w:rPr>
      </w:pPr>
    </w:p>
    <w:p>
      <w:pPr>
        <w:ind w:right="3339" w:firstLine="8"/>
        <w:spacing w:after="0" w:line="252" w:lineRule="auto"/>
        <w:tabs>
          <w:tab w:leader="none" w:pos="51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162" w:lineRule="exact"/>
        <w:rPr>
          <w:rFonts w:ascii="Courier New" w:cs="Courier New" w:eastAsia="Courier New" w:hAnsi="Courier New"/>
          <w:sz w:val="14"/>
          <w:szCs w:val="14"/>
          <w:color w:val="auto"/>
        </w:rPr>
      </w:pPr>
    </w:p>
    <w:p>
      <w:pPr>
        <w:ind w:right="3339" w:firstLine="8"/>
        <w:spacing w:after="0" w:line="250" w:lineRule="auto"/>
        <w:tabs>
          <w:tab w:leader="none" w:pos="51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 (10) 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6</w:t>
      </w:r>
    </w:p>
    <w:p>
      <w:pPr>
        <w:sectPr>
          <w:pgSz w:w="11900" w:h="16838" w:orient="portrait"/>
          <w:cols w:equalWidth="0" w:num="1">
            <w:col w:w="10239"/>
          </w:cols>
          <w:pgMar w:left="220" w:top="616" w:right="1440" w:bottom="1440" w:gutter="0" w:footer="0" w:header="0"/>
        </w:sectPr>
      </w:pPr>
    </w:p>
    <w:bookmarkStart w:id="115" w:name="page116"/>
    <w:bookmarkEnd w:id="115"/>
    <w:p>
      <w:pPr>
        <w:ind w:right="3419"/>
        <w:spacing w:after="0" w:line="252" w:lineRule="auto"/>
        <w:rPr>
          <w:sz w:val="20"/>
          <w:szCs w:val="20"/>
          <w:color w:val="auto"/>
        </w:rPr>
      </w:pPr>
      <w:r>
        <w:rPr>
          <w:rFonts w:ascii="Courier New" w:cs="Courier New" w:eastAsia="Courier New" w:hAnsi="Courier New"/>
          <w:sz w:val="14"/>
          <w:szCs w:val="14"/>
          <w:color w:val="auto"/>
        </w:rPr>
        <w:t>Section 15. VOTING BY BALLOT. Voting on any question or in any election may be viva voce unless the presiding officer shall order or any shareholder shall demand that voting be by ballot.</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TRUSTEES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2. NUMBER. At any regular meeting or at any special meeting called for that purpose, a majority of the entire Board of Trustees may establish, increase or decrease the number of Trustees; provided, however, that the total number of Trustees shall not be less than three (3) or more than fifteen (15).</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4. SPECIAL MEETINGS. Special meetings of the Trustees may be called by or at the request of the Chairman of the Board, the Chief Executive Officer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the Trustee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Section 6. QUORUM. A majority of the Trustees shall constitute a quorum for transaction of business at any meeting of the Trustees, provided that, if less than a majority of such Trustees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7</w:t>
      </w:r>
    </w:p>
    <w:p>
      <w:pPr>
        <w:sectPr>
          <w:pgSz w:w="11900" w:h="16838" w:orient="portrait"/>
          <w:cols w:equalWidth="0" w:num="1">
            <w:col w:w="10239"/>
          </w:cols>
          <w:pgMar w:left="220" w:top="616" w:right="1440" w:bottom="1440" w:gutter="0" w:footer="0" w:header="0"/>
        </w:sectPr>
      </w:pPr>
    </w:p>
    <w:bookmarkStart w:id="116" w:name="page117"/>
    <w:bookmarkEnd w:id="116"/>
    <w:p>
      <w:pPr>
        <w:ind w:right="3419"/>
        <w:spacing w:after="0" w:line="251" w:lineRule="auto"/>
        <w:rPr>
          <w:sz w:val="20"/>
          <w:szCs w:val="20"/>
          <w:color w:val="auto"/>
        </w:rPr>
      </w:pPr>
      <w:r>
        <w:rPr>
          <w:rFonts w:ascii="Courier New" w:cs="Courier New" w:eastAsia="Courier New" w:hAnsi="Courier New"/>
          <w:sz w:val="14"/>
          <w:szCs w:val="14"/>
          <w:color w:val="auto"/>
        </w:rPr>
        <w:t>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Trustees present at a meeting which has been duly called and convened may continue to transact business until adjournment, notwithstanding the withdrawal of enough Trustees to leave less than a quorum.</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pacing w:after="0" w:line="32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11.</w:t>
        <w:tab/>
        <w:t>COMPENSATION; FINANCIAL ASSISTANCE.</w:t>
      </w:r>
    </w:p>
    <w:p>
      <w:pPr>
        <w:spacing w:after="0" w:line="173" w:lineRule="exact"/>
        <w:rPr>
          <w:sz w:val="20"/>
          <w:szCs w:val="20"/>
          <w:color w:val="auto"/>
        </w:rPr>
      </w:pPr>
    </w:p>
    <w:p>
      <w:pPr>
        <w:ind w:right="3339" w:firstLine="8"/>
        <w:spacing w:after="0" w:line="251" w:lineRule="auto"/>
        <w:tabs>
          <w:tab w:leader="none" w:pos="51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329" w:lineRule="exact"/>
        <w:rPr>
          <w:rFonts w:ascii="Courier New" w:cs="Courier New" w:eastAsia="Courier New" w:hAnsi="Courier New"/>
          <w:sz w:val="14"/>
          <w:szCs w:val="14"/>
          <w:color w:val="auto"/>
        </w:rPr>
      </w:pPr>
    </w:p>
    <w:p>
      <w:pPr>
        <w:ind w:right="3519" w:firstLine="8"/>
        <w:spacing w:after="0" w:line="252" w:lineRule="auto"/>
        <w:tabs>
          <w:tab w:leader="none" w:pos="51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Assistance to Trustees. To the extent permitted by law, the Trust may lend money to, guarantee an obligation of or otherwise assist a Trustee or a trustee of its direct or indirect subsidiary. The loan, guarantee or other assistance may be with or without interest,</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8</w:t>
      </w:r>
    </w:p>
    <w:p>
      <w:pPr>
        <w:sectPr>
          <w:pgSz w:w="11900" w:h="16838" w:orient="portrait"/>
          <w:cols w:equalWidth="0" w:num="1">
            <w:col w:w="10239"/>
          </w:cols>
          <w:pgMar w:left="220" w:top="616" w:right="1440" w:bottom="1440" w:gutter="0" w:footer="0" w:header="0"/>
        </w:sectPr>
      </w:pPr>
    </w:p>
    <w:bookmarkStart w:id="117" w:name="page118"/>
    <w:bookmarkEnd w:id="117"/>
    <w:p>
      <w:pPr>
        <w:ind w:right="4019"/>
        <w:spacing w:after="0" w:line="255" w:lineRule="auto"/>
        <w:rPr>
          <w:sz w:val="20"/>
          <w:szCs w:val="20"/>
          <w:color w:val="auto"/>
        </w:rPr>
      </w:pPr>
      <w:r>
        <w:rPr>
          <w:rFonts w:ascii="Courier New" w:cs="Courier New" w:eastAsia="Courier New" w:hAnsi="Courier New"/>
          <w:sz w:val="14"/>
          <w:szCs w:val="14"/>
          <w:color w:val="auto"/>
        </w:rPr>
        <w:t>unsecured, or secured in any manner that the Board of Trustees approves, including a pledge of Shares.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Section 12. REMOVAL OF TRUSTEES. The shareholders may, at any time, remove any Trustee in the manner provided in the Declaration of Trust.</w:t>
      </w:r>
    </w:p>
    <w:p>
      <w:pPr>
        <w:spacing w:after="0" w:line="160"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32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14. SURETY BONDS. Unless required by law, no Trustee shall be obligated to give any bond or surety or other security for the performance of any of his duties.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 subject to any limitations imposed by applicable law or any policies adopted by the Board of Trustees.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18. CHAIRMAN OF THE BOARD OF TRUSTEES. The Board of Trustees may elect from among the Trustees a Chairman of the Board of Trustees by the affirmative vote of a majority of the full Board of Trustees taken at any regular or special meeting of the Trustees. The Chairman shall preside over the meetings of shareholders and the meetings of the Trustees at which he shall be present. The Chairman may be removed at any time by the affirmative vote of a majority of the full Board of Trustees taken at any regular or special meeting of the Trustees. The Chairman may resign from the position of Chairman at any time by written notice to the Board of Trustees effective upon execution and delivery to the Trust of such written notice or upon any future date specified in such notice, provided that such notice shall not constitute written notice to resign as a Trustee unless so designated.</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9</w:t>
      </w:r>
    </w:p>
    <w:p>
      <w:pPr>
        <w:sectPr>
          <w:pgSz w:w="11900" w:h="16838" w:orient="portrait"/>
          <w:cols w:equalWidth="0" w:num="1">
            <w:col w:w="10239"/>
          </w:cols>
          <w:pgMar w:left="220" w:top="616" w:right="1440" w:bottom="1440" w:gutter="0" w:footer="0" w:header="0"/>
        </w:sectPr>
      </w:pPr>
    </w:p>
    <w:bookmarkStart w:id="118" w:name="page119"/>
    <w:bookmarkEnd w:id="118"/>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COMMITTEES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 NUMBER, TENURE AND QUALIFICATIONS. The Trustees shall appoint from among its members an Audit Committee, a Compensation Committee, and a Nominating and Corporate Governance Committee. The Trustees may appoint from among its members an Executive Committee and such other committees as they may deem necessary or appropriate. All committees so appointed shall be composed of two or more Trustees to serve at the pleasure of the Trustees.</w:t>
      </w:r>
    </w:p>
    <w:p>
      <w:pPr>
        <w:spacing w:after="0" w:line="16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Section 2. POWERS. The Trustees may delegate to committees appointed under Section 1 of this Article any of the powers of the Trustees, except as prohibited by law.</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 unless such committee is required to be maintained pursuant to any applicable law, rule or regulation.</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10</w:t>
      </w:r>
    </w:p>
    <w:p>
      <w:pPr>
        <w:sectPr>
          <w:pgSz w:w="11900" w:h="16838" w:orient="portrait"/>
          <w:cols w:equalWidth="0" w:num="1">
            <w:col w:w="10239"/>
          </w:cols>
          <w:pgMar w:left="220" w:top="616" w:right="1440" w:bottom="1440" w:gutter="0" w:footer="0" w:header="0"/>
        </w:sectPr>
      </w:pPr>
    </w:p>
    <w:bookmarkStart w:id="119" w:name="page120"/>
    <w:bookmarkEnd w:id="119"/>
    <w:p>
      <w:pPr>
        <w:ind w:left="3100"/>
        <w:spacing w:after="0"/>
        <w:rPr>
          <w:sz w:val="20"/>
          <w:szCs w:val="20"/>
          <w:color w:val="auto"/>
        </w:rPr>
      </w:pPr>
      <w:r>
        <w:rPr>
          <w:rFonts w:ascii="Courier New" w:cs="Courier New" w:eastAsia="Courier New" w:hAnsi="Courier New"/>
          <w:sz w:val="14"/>
          <w:szCs w:val="14"/>
          <w:color w:val="auto"/>
        </w:rPr>
        <w:t>ARTICLE V</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the Trustees may from time to time appoint such other officers with such powers and duties as they shall deem necessary or desirable. The officers of the Trust shall be elected at such intervals as the Trustees may determine. Each officer shall hold office until his successor is elected and qualifies or until his death, resignation or removal in the manner hereinafter provided. Any two or more offices except President and Vice President may be held by the same person. In their discretion, the Trustees may leave unfilled any office except that of President, Secretary and Treasurer. Election of an officer or agent shall not of itself create contract rights between the Trust and such officer or agent.</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Section 3. VACANCIES. A vacancy in any office may be filled by the Trustees for the balance of the term.</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Section 4. CHIEF EXECUTIVE OFFICER. The Trustees may designate a Chief Executive Officer from among the elected officers. The Chief Executive Officer shall have responsibility for implementation of the policies of the Trust, as determined by the Trustees, and for the administration of the business affairs of the Trust. In the absence of the Chairman of the Board or if there is no Chairman of the Board, the Chief Executive Officer shall preside over the meetings of the shareholders and the meetings of the Trustees at which he shall be present.</w:t>
      </w:r>
    </w:p>
    <w:p>
      <w:pPr>
        <w:spacing w:after="0" w:line="33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Section 5. CHIEF OPERATING OFFICER. The Trustees may designate a Chief Operating Officer from among the elected officers. The Chief Operating Officer shall have the responsibilities and duties as set forth by the Trustees or the Chief Executive Officer.</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Section 6. CHIEF FINANCIAL OFFICER. The Trustees may designate a Chief Financial Officer from among the elected officers. The Chief Financial Officer shall have the responsibilities and duties as set forth by the Trustees or the Chief Executive Officer.</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7. PRESIDENT. In the absence of the Chairman of the Board (or if there is no Chairman of the Board) and the absence of the Chief Executive Officer, the President shall</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11</w:t>
      </w:r>
    </w:p>
    <w:p>
      <w:pPr>
        <w:sectPr>
          <w:pgSz w:w="11900" w:h="16838" w:orient="portrait"/>
          <w:cols w:equalWidth="0" w:num="1">
            <w:col w:w="10239"/>
          </w:cols>
          <w:pgMar w:left="220" w:top="616" w:right="1440" w:bottom="1440" w:gutter="0" w:footer="0" w:header="0"/>
        </w:sectPr>
      </w:pPr>
    </w:p>
    <w:bookmarkStart w:id="120" w:name="page121"/>
    <w:bookmarkEnd w:id="120"/>
    <w:p>
      <w:pPr>
        <w:ind w:right="3339"/>
        <w:spacing w:after="0" w:line="251" w:lineRule="auto"/>
        <w:rPr>
          <w:sz w:val="20"/>
          <w:szCs w:val="20"/>
          <w:color w:val="auto"/>
        </w:rPr>
      </w:pPr>
      <w:r>
        <w:rPr>
          <w:rFonts w:ascii="Courier New" w:cs="Courier New" w:eastAsia="Courier New" w:hAnsi="Courier New"/>
          <w:sz w:val="14"/>
          <w:szCs w:val="14"/>
          <w:color w:val="auto"/>
        </w:rPr>
        <w:t>preside over the meetings of the shareholders and meetings of the Trustees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8.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Vice Presidents as Executive Vice Presidents, Senior Vice Presidents or Vice Presidents for particular areas of responsibility.</w:t>
      </w:r>
    </w:p>
    <w:p>
      <w:pPr>
        <w:spacing w:after="0" w:line="16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Section 9.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w:t>
      </w:r>
    </w:p>
    <w:p>
      <w:pPr>
        <w:spacing w:after="0" w:line="2" w:lineRule="exact"/>
        <w:rPr>
          <w:sz w:val="20"/>
          <w:szCs w:val="20"/>
          <w:color w:val="auto"/>
        </w:rPr>
      </w:pPr>
    </w:p>
    <w:p>
      <w:pPr>
        <w:ind w:right="3339" w:firstLine="8"/>
        <w:spacing w:after="0" w:line="251" w:lineRule="auto"/>
        <w:tabs>
          <w:tab w:leader="none" w:pos="344"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custodian of the Trust records and of the seal of the Trust; (d) keep a register of the post office address of each shareholder which shall be furnished to the Secretary by such shareholder; (e) have general charge of the share transfer books of the Trust; and (f) in general perform such other duties as from time to time may be assigned to him by the Chief Executive Officer, the President or the Trustees.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Section 10.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He shall disburse the funds of the Trust in accordance with the authority granted by the Chief Executive Officer, the President or the Trustees, taking proper vouchers for such disbursements, and shall render to the President and Trustees, whenever they may require it, an account of all his transactions as Treasurer and of the financial condition of the Trust.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11. ASSISTANT SECRETARIES AND ASSISTANT TREASURERS. The Assistant Secretaries and Assistant Treasurers, in general, shall perform such duties as shall be assigned to them by the Secretary or Treasurer, respectively, or by the Chief Executive Officer, the President or the Trustees. The Assistant Treasurers shall, if required by the Trustees, give</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12</w:t>
      </w:r>
    </w:p>
    <w:p>
      <w:pPr>
        <w:sectPr>
          <w:pgSz w:w="11900" w:h="16838" w:orient="portrait"/>
          <w:cols w:equalWidth="0" w:num="1">
            <w:col w:w="10239"/>
          </w:cols>
          <w:pgMar w:left="220" w:top="616" w:right="1440" w:bottom="1440" w:gutter="0" w:footer="0" w:header="0"/>
        </w:sectPr>
      </w:pPr>
    </w:p>
    <w:bookmarkStart w:id="121" w:name="page122"/>
    <w:bookmarkEnd w:id="121"/>
    <w:p>
      <w:pPr>
        <w:ind w:right="3599"/>
        <w:spacing w:after="0" w:line="255" w:lineRule="auto"/>
        <w:rPr>
          <w:sz w:val="20"/>
          <w:szCs w:val="20"/>
          <w:color w:val="auto"/>
        </w:rPr>
      </w:pPr>
      <w:r>
        <w:rPr>
          <w:rFonts w:ascii="Courier New" w:cs="Courier New" w:eastAsia="Courier New" w:hAnsi="Courier New"/>
          <w:sz w:val="14"/>
          <w:szCs w:val="14"/>
          <w:color w:val="auto"/>
        </w:rPr>
        <w:t>bonds for the faithful performance of their duties in such sums and with such surety or sureties as shall be satisfactory to the Trustees.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Section 12. SALARIES. The salaries and other compensation of the officers shall be fixed from time to time by or with the approval of the Trustees and no officer shall be prevented from receiving such salary or other compensation by reason of the fact that he is also a Trustee.</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CONTRACTS, LOANS, CHECKS AND DEPOSITS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(or if there is no Chief Executive Officer, the President) may do so.</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VII</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SHARES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17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Section 2. TRANSFERS. Certificates shall be treated as negotiable and title thereto and to the shares they represent shall be transferred by delivery thereof to the same extent as those of a</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13</w:t>
      </w:r>
    </w:p>
    <w:p>
      <w:pPr>
        <w:sectPr>
          <w:pgSz w:w="11900" w:h="16838" w:orient="portrait"/>
          <w:cols w:equalWidth="0" w:num="1">
            <w:col w:w="10239"/>
          </w:cols>
          <w:pgMar w:left="220" w:top="616" w:right="1440" w:bottom="1440" w:gutter="0" w:footer="0" w:header="0"/>
        </w:sectPr>
      </w:pPr>
    </w:p>
    <w:bookmarkStart w:id="122" w:name="page123"/>
    <w:bookmarkEnd w:id="122"/>
    <w:p>
      <w:pPr>
        <w:ind w:right="3339"/>
        <w:spacing w:after="0" w:line="251" w:lineRule="auto"/>
        <w:rPr>
          <w:sz w:val="20"/>
          <w:szCs w:val="20"/>
          <w:color w:val="auto"/>
        </w:rPr>
      </w:pPr>
      <w:r>
        <w:rPr>
          <w:rFonts w:ascii="Courier New" w:cs="Courier New" w:eastAsia="Courier New" w:hAnsi="Courier New"/>
          <w:sz w:val="14"/>
          <w:szCs w:val="14"/>
          <w:color w:val="auto"/>
        </w:rPr>
        <w:t>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Notwithstanding the foregoing, transfers of shares of beneficial interest of the Trust will be subject in all respects to the Declaration of Trust and all of the terms and conditions contained therein.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 the owner's legal representative to advertise the same in such manner as the officer shall require and/or to give bond, with sufficient surety, to the Trust to indemnify it against any loss or claim which may arise as a result of the issuance of a new certificate.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14</w:t>
      </w:r>
    </w:p>
    <w:p>
      <w:pPr>
        <w:sectPr>
          <w:pgSz w:w="11900" w:h="16838" w:orient="portrait"/>
          <w:cols w:equalWidth="0" w:num="1">
            <w:col w:w="10239"/>
          </w:cols>
          <w:pgMar w:left="220" w:top="616" w:right="1440" w:bottom="1440" w:gutter="0" w:footer="0" w:header="0"/>
        </w:sectPr>
      </w:pPr>
    </w:p>
    <w:bookmarkStart w:id="123" w:name="page124"/>
    <w:bookmarkEnd w:id="123"/>
    <w:p>
      <w:pPr>
        <w:ind w:right="3339"/>
        <w:spacing w:after="0" w:line="251" w:lineRule="auto"/>
        <w:rPr>
          <w:sz w:val="20"/>
          <w:szCs w:val="20"/>
          <w:color w:val="auto"/>
        </w:rPr>
      </w:pPr>
      <w:r>
        <w:rPr>
          <w:rFonts w:ascii="Courier New" w:cs="Courier New" w:eastAsia="Courier New" w:hAnsi="Courier New"/>
          <w:sz w:val="14"/>
          <w:szCs w:val="14"/>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ACCOUNTING YEAR</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Trustees shall have the power, from time to time, to fix the fiscal year of the Trust by a duly adopted resolution.</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IX</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DISTRIBUTIONS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15</w:t>
      </w:r>
    </w:p>
    <w:p>
      <w:pPr>
        <w:sectPr>
          <w:pgSz w:w="11900" w:h="16838" w:orient="portrait"/>
          <w:cols w:equalWidth="0" w:num="1">
            <w:col w:w="10239"/>
          </w:cols>
          <w:pgMar w:left="220" w:top="616" w:right="1440" w:bottom="1440" w:gutter="0" w:footer="0" w:header="0"/>
        </w:sectPr>
      </w:pPr>
    </w:p>
    <w:bookmarkStart w:id="124" w:name="page125"/>
    <w:bookmarkEnd w:id="124"/>
    <w:p>
      <w:pPr>
        <w:jc w:val="center"/>
        <w:ind w:right="3239"/>
        <w:spacing w:after="0"/>
        <w:rPr>
          <w:sz w:val="20"/>
          <w:szCs w:val="20"/>
          <w:color w:val="auto"/>
        </w:rPr>
      </w:pPr>
      <w:r>
        <w:rPr>
          <w:rFonts w:ascii="Courier New" w:cs="Courier New" w:eastAsia="Courier New" w:hAnsi="Courier New"/>
          <w:sz w:val="14"/>
          <w:szCs w:val="14"/>
          <w:color w:val="auto"/>
        </w:rPr>
        <w:t>ARTICLE X</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INVESTMENT POLICY</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XI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162"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16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XII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INDEMNIFICATION AND ADVANCE OF EXPENSES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or she was made a party by reason of service in such capacity, against reasonable expenses incurred by him or her in connection with the proceeding;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deliberate dishonesty; (ii) he or she actually received an improper personal benefit in money, property or services; or (iii) in the case of a criminal proceeding, he or she had reasonable cause to believe that his or her act or omission was unlawful; and (c) each shareholder or former shareholder against any claim or liability to which he or she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(1) a written affirmation by the Trustee or officer of his or her good faith belief that he or she has met the applicable standard of conduct necessary for indemnification by the Trust as authorized by these Bylaws; and</w:t>
      </w:r>
    </w:p>
    <w:p>
      <w:pPr>
        <w:spacing w:after="0" w:line="13" w:lineRule="exact"/>
        <w:rPr>
          <w:sz w:val="20"/>
          <w:szCs w:val="20"/>
          <w:color w:val="auto"/>
        </w:rPr>
      </w:pPr>
    </w:p>
    <w:p>
      <w:pPr>
        <w:ind w:left="360" w:hanging="352"/>
        <w:spacing w:after="0"/>
        <w:tabs>
          <w:tab w:leader="none" w:pos="3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undertaking by or on his or her behalf to repay the amount paid</w:t>
      </w:r>
    </w:p>
    <w:p>
      <w:pPr>
        <w:spacing w:after="0" w:line="172"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16</w:t>
      </w:r>
    </w:p>
    <w:p>
      <w:pPr>
        <w:sectPr>
          <w:pgSz w:w="11900" w:h="16838" w:orient="portrait"/>
          <w:cols w:equalWidth="0" w:num="1">
            <w:col w:w="10239"/>
          </w:cols>
          <w:pgMar w:left="220" w:top="616" w:right="1440" w:bottom="1440" w:gutter="0" w:footer="0" w:header="0"/>
        </w:sectPr>
      </w:pPr>
    </w:p>
    <w:bookmarkStart w:id="125" w:name="page126"/>
    <w:bookmarkEnd w:id="125"/>
    <w:p>
      <w:pPr>
        <w:ind w:right="3339"/>
        <w:spacing w:after="0" w:line="251" w:lineRule="auto"/>
        <w:rPr>
          <w:sz w:val="20"/>
          <w:szCs w:val="20"/>
          <w:color w:val="auto"/>
        </w:rPr>
      </w:pPr>
      <w:r>
        <w:rPr>
          <w:rFonts w:ascii="Courier New" w:cs="Courier New" w:eastAsia="Courier New" w:hAnsi="Courier New"/>
          <w:sz w:val="14"/>
          <w:szCs w:val="14"/>
          <w:color w:val="auto"/>
        </w:rPr>
        <w:t>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XIII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WAIVER OF NOTICE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XIV</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AMENDMENT OF BYLAWS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Section 1. AMENDMENT BY SHAREHOLDERS. Any provision of these Bylaws may be adopted, altered or repealed by the shareholders at any meeting of shareholders called for that purpose, by the affirmative vote of holders of not less than a majority of the shares then outstanding and entitled to vote.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2. AMENDMENT BY TRUSTEES. Except as otherwise provided in any Bylaw adopted pursuant to Section 1 of this Article XIV, any provision of these Bylaws may be adopted, altered or repealed by the Trustees, provided that the Trustees may not repeal Section 1 of this Article XIV or increase the shareholder vote required thereunder.</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XV</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 references to the Declaration of Trust shall include any amendments thereto.</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Page 17</w:t>
      </w:r>
    </w:p>
    <w:p>
      <w:pPr>
        <w:sectPr>
          <w:pgSz w:w="11900" w:h="16838" w:orient="portrait"/>
          <w:cols w:equalWidth="0" w:num="1">
            <w:col w:w="10239"/>
          </w:cols>
          <w:pgMar w:left="220" w:top="616" w:right="1440" w:bottom="1440" w:gutter="0" w:footer="0" w:header="0"/>
        </w:sectPr>
      </w:pPr>
    </w:p>
    <w:bookmarkStart w:id="126" w:name="page127"/>
    <w:bookmarkEnd w:id="126"/>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CONSENT OF INDEPENDENT CERTIFIED ACCOUNTANTS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have issued our report dated February 6, 2003 accompanying the consolidated financial statements and schedules included in the Annual Report of Federal Realty Investment Trust on Form 10-K for the year ended December 31, 2002. We hereby consent to the incorporation by reference of said reports in the Registration Statements of Federal Realty Investment Trust on Forms S-3 (File No. 333-100819, 333-84210, 333-97945, 333-63619, File No. 33-63687, File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33-63955, File No. 33-15264 and File No. 33-55111).</w:t>
      </w:r>
    </w:p>
    <w:p>
      <w:pPr>
        <w:spacing w:after="0" w:line="173" w:lineRule="exact"/>
        <w:rPr>
          <w:sz w:val="20"/>
          <w:szCs w:val="20"/>
          <w:color w:val="auto"/>
        </w:rPr>
      </w:pPr>
    </w:p>
    <w:p>
      <w:pPr>
        <w:jc w:val="center"/>
        <w:ind w:right="-720"/>
        <w:spacing w:after="0"/>
        <w:tabs>
          <w:tab w:leader="none" w:pos="24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GRANT THORNTON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2003</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F44 -</w:t>
      </w:r>
    </w:p>
    <w:p>
      <w:pPr>
        <w:sectPr>
          <w:pgSz w:w="11900" w:h="16838" w:orient="portrait"/>
          <w:cols w:equalWidth="0" w:num="1">
            <w:col w:w="10239"/>
          </w:cols>
          <w:pgMar w:left="220" w:top="472" w:right="1440" w:bottom="1440" w:gutter="0" w:footer="0" w:header="0"/>
        </w:sectPr>
      </w:pPr>
    </w:p>
    <w:bookmarkStart w:id="127" w:name="page128"/>
    <w:bookmarkEnd w:id="127"/>
    <w:p>
      <w:pPr>
        <w:jc w:val="right"/>
        <w:ind w:right="3339"/>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CERTIFICATIONS</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18 U.S.C. SECTION 1350 AS ADOPTED PURSUANT TO</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906 OF THE SARBANES-OXLEY ACT OF 2002</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year ending December 31, 2002, (the "Report"). The undersigned hereby certifies that:</w:t>
      </w:r>
    </w:p>
    <w:p>
      <w:pPr>
        <w:spacing w:after="0" w:line="165" w:lineRule="exact"/>
        <w:rPr>
          <w:sz w:val="20"/>
          <w:szCs w:val="20"/>
          <w:color w:val="auto"/>
        </w:rPr>
      </w:pPr>
    </w:p>
    <w:p>
      <w:pPr>
        <w:ind w:left="860" w:right="3599" w:hanging="421"/>
        <w:spacing w:after="0" w:line="255" w:lineRule="auto"/>
        <w:tabs>
          <w:tab w:leader="none" w:pos="8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 15(d) of the Securities Exchange Act of 1934; and</w:t>
      </w:r>
    </w:p>
    <w:p>
      <w:pPr>
        <w:spacing w:after="0" w:line="159" w:lineRule="exact"/>
        <w:rPr>
          <w:rFonts w:ascii="Courier New" w:cs="Courier New" w:eastAsia="Courier New" w:hAnsi="Courier New"/>
          <w:sz w:val="14"/>
          <w:szCs w:val="14"/>
          <w:color w:val="auto"/>
        </w:rPr>
      </w:pPr>
    </w:p>
    <w:p>
      <w:pPr>
        <w:ind w:left="860" w:right="3519" w:hanging="421"/>
        <w:spacing w:after="0" w:line="252" w:lineRule="auto"/>
        <w:tabs>
          <w:tab w:leader="none" w:pos="8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Federal Realty Investment Trust and will be retained by Federal Realty Investment Trust and furnished to the Securities and Exchange Commission or its staff upon request.</w:t>
      </w:r>
    </w:p>
    <w:p>
      <w:pPr>
        <w:sectPr>
          <w:pgSz w:w="11900" w:h="16838" w:orient="portrait"/>
          <w:cols w:equalWidth="0" w:num="1">
            <w:col w:w="10239"/>
          </w:cols>
          <w:pgMar w:left="220" w:top="473"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26, 2003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Donald C. Wood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Donald C. Wood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President and Chief Executive Officer</w:t>
      </w:r>
    </w:p>
    <w:p>
      <w:pPr>
        <w:spacing w:after="0" w:line="173" w:lineRule="exact"/>
        <w:rPr>
          <w:sz w:val="20"/>
          <w:szCs w:val="20"/>
          <w:color w:val="auto"/>
        </w:rPr>
      </w:pPr>
    </w:p>
    <w:p>
      <w:pPr>
        <w:sectPr>
          <w:pgSz w:w="11900" w:h="16838" w:orient="portrait"/>
          <w:cols w:equalWidth="0" w:num="2">
            <w:col w:w="2220" w:space="720"/>
            <w:col w:w="7299"/>
          </w:cols>
          <w:pgMar w:left="220" w:top="473"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F49 -</w:t>
      </w:r>
    </w:p>
    <w:p>
      <w:pPr>
        <w:sectPr>
          <w:pgSz w:w="11900" w:h="16838" w:orient="portrait"/>
          <w:cols w:equalWidth="0" w:num="1">
            <w:col w:w="10239"/>
          </w:cols>
          <w:pgMar w:left="220" w:top="473" w:right="1440" w:bottom="1440" w:gutter="0" w:footer="0" w:header="0"/>
          <w:type w:val="continuous"/>
        </w:sectPr>
      </w:pPr>
    </w:p>
    <w:bookmarkStart w:id="128" w:name="page129"/>
    <w:bookmarkEnd w:id="128"/>
    <w:p>
      <w:pPr>
        <w:jc w:val="right"/>
        <w:ind w:right="3339"/>
        <w:spacing w:after="0"/>
        <w:rPr>
          <w:sz w:val="20"/>
          <w:szCs w:val="20"/>
          <w:color w:val="auto"/>
        </w:rPr>
      </w:pPr>
      <w:r>
        <w:rPr>
          <w:rFonts w:ascii="Courier New" w:cs="Courier New" w:eastAsia="Courier New" w:hAnsi="Courier New"/>
          <w:sz w:val="14"/>
          <w:szCs w:val="14"/>
          <w:color w:val="auto"/>
        </w:rPr>
        <w:t>Exhibit 99.2</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CERTIFICATIONS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18 U.S.C. SECTION 1350 AS ADOPTED PURSUANT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906 OF THE SARBANES-OXLEY ACT OF 2002</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undersigned, Larry E. Finger, the Senior Vice President - Chief Financial Officer and Treasurer of Federal Realty Investment Trust (the "Company"), has executed this certification in connection with the filing with the Securities and Exchange Commission of the Company's Annual Report on Form 10-K for the year ending December 31, 2002 (the "Report"). The undersigned hereby certifies that:</w:t>
      </w:r>
    </w:p>
    <w:p>
      <w:pPr>
        <w:spacing w:after="0" w:line="164" w:lineRule="exact"/>
        <w:rPr>
          <w:sz w:val="20"/>
          <w:szCs w:val="20"/>
          <w:color w:val="auto"/>
        </w:rPr>
      </w:pPr>
    </w:p>
    <w:p>
      <w:pPr>
        <w:ind w:left="860" w:right="3599" w:hanging="421"/>
        <w:spacing w:after="0" w:line="255" w:lineRule="auto"/>
        <w:tabs>
          <w:tab w:leader="none" w:pos="86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 15(d) of the Securities Exchange Act of 1934; and</w:t>
      </w:r>
    </w:p>
    <w:p>
      <w:pPr>
        <w:spacing w:after="0" w:line="159" w:lineRule="exact"/>
        <w:rPr>
          <w:rFonts w:ascii="Courier New" w:cs="Courier New" w:eastAsia="Courier New" w:hAnsi="Courier New"/>
          <w:sz w:val="14"/>
          <w:szCs w:val="14"/>
          <w:color w:val="auto"/>
        </w:rPr>
      </w:pPr>
    </w:p>
    <w:p>
      <w:pPr>
        <w:ind w:left="860" w:right="3599" w:hanging="421"/>
        <w:spacing w:after="0" w:line="255" w:lineRule="auto"/>
        <w:tabs>
          <w:tab w:leader="none" w:pos="86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w:t>
      </w:r>
    </w:p>
    <w:p>
      <w:pPr>
        <w:spacing w:after="0" w:line="160"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Federal Realty Investment Trust and will be retained by Federal Realty Investment Trust and furnished to the Securities and Exchange Commission or its staff upon request.</w:t>
      </w:r>
    </w:p>
    <w:p>
      <w:pPr>
        <w:sectPr>
          <w:pgSz w:w="11900" w:h="16838" w:orient="portrait"/>
          <w:cols w:equalWidth="0" w:num="1">
            <w:col w:w="10239"/>
          </w:cols>
          <w:pgMar w:left="220" w:top="472"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26, 2003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Senior Vice President - Chief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and Treasurer</w:t>
      </w:r>
    </w:p>
    <w:p>
      <w:pPr>
        <w:spacing w:after="0" w:line="173" w:lineRule="exact"/>
        <w:rPr>
          <w:sz w:val="20"/>
          <w:szCs w:val="20"/>
          <w:color w:val="auto"/>
        </w:rPr>
      </w:pPr>
    </w:p>
    <w:p>
      <w:pPr>
        <w:sectPr>
          <w:pgSz w:w="11900" w:h="16838" w:orient="portrait"/>
          <w:cols w:equalWidth="0" w:num="2">
            <w:col w:w="2220" w:space="720"/>
            <w:col w:w="7299"/>
          </w:cols>
          <w:pgMar w:left="220" w:top="472"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 F50 -</w:t>
      </w:r>
    </w:p>
    <w:sectPr>
      <w:pgSz w:w="11900" w:h="16838" w:orient="portrait"/>
      <w:cols w:equalWidth="0" w:num="1">
        <w:col w:w="10239"/>
      </w:cols>
      <w:pgMar w:left="220" w:top="47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upperLetter"/>
      <w:start w:val="24"/>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lvl w:ilvl="1">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
      <w:numFmt w:val="bullet"/>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1)"/>
      <w:numFmt w:val="decimal"/>
      <w:start w:val="1"/>
    </w:lvl>
  </w:abstractNum>
  <w:abstractNum w:abstractNumId="35">
    <w:nsid w:val="7D5E18F8"/>
    <w:multiLevelType w:val="hybridMultilevel"/>
    <w:lvl w:ilvl="0">
      <w:lvlJc w:val="left"/>
      <w:lvlText w:val="%1)"/>
      <w:numFmt w:val="decimal"/>
      <w:start w:val="1"/>
    </w:lvl>
    <w:lvl w:ilvl="1">
      <w:lvlJc w:val="left"/>
      <w:lvlText w:val="-"/>
      <w:numFmt w:val="bullet"/>
      <w:start w:val="1"/>
    </w:lvl>
  </w:abstractNum>
  <w:abstractNum w:abstractNumId="36">
    <w:nsid w:val="5F3534A4"/>
    <w:multiLevelType w:val="hybridMultilevel"/>
    <w:lvl w:ilvl="0">
      <w:lvlJc w:val="left"/>
      <w:lvlText w:val="%1)"/>
      <w:numFmt w:val="decimal"/>
      <w:start w:val="3"/>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
      <w:numFmt w:val="bullet"/>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lvl w:ilvl="1">
      <w:lvlJc w:val="left"/>
      <w:lvlText w:val="-"/>
      <w:numFmt w:val="bullet"/>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
      <w:numFmt w:val="bullet"/>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
      <w:numFmt w:val="bullet"/>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
      <w:numFmt w:val="bullet"/>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1)"/>
      <w:numFmt w:val="decimal"/>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lvl w:ilvl="1">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
      <w:numFmt w:val="bullet"/>
      <w:start w:val="1"/>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
      <w:numFmt w:val="bullet"/>
      <w:start w:val="1"/>
    </w:lvl>
    <w:lvl w:ilvl="1">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
      <w:numFmt w:val="bullet"/>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
      <w:numFmt w:val="bullet"/>
      <w:start w:val="1"/>
    </w:lvl>
  </w:abstractNum>
  <w:abstractNum w:abstractNumId="87">
    <w:nsid w:val="2C6E4AFD"/>
    <w:multiLevelType w:val="hybridMultilevel"/>
    <w:lvl w:ilvl="0">
      <w:lvlJc w:val="left"/>
      <w:lvlText w:val="."/>
      <w:numFmt w:val="bullet"/>
      <w:start w:val="1"/>
    </w:lvl>
    <w:lvl w:ilvl="1">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
      <w:numFmt w:val="bullet"/>
      <w:start w:val="1"/>
    </w:lvl>
  </w:abstractNum>
  <w:abstractNum w:abstractNumId="92">
    <w:nsid w:val="2A082C70"/>
    <w:multiLevelType w:val="hybridMultilevel"/>
    <w:lvl w:ilvl="0">
      <w:lvlJc w:val="left"/>
      <w:lvlText w:val="."/>
      <w:numFmt w:val="bullet"/>
      <w:start w:val="1"/>
    </w:lvl>
  </w:abstractNum>
  <w:abstractNum w:abstractNumId="93">
    <w:nsid w:val="5EC6AFD4"/>
    <w:multiLevelType w:val="hybridMultilevel"/>
    <w:lvl w:ilvl="0">
      <w:lvlJc w:val="left"/>
      <w:lvlText w:val="."/>
      <w:numFmt w:val="bullet"/>
      <w:start w:val="1"/>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
      <w:numFmt w:val="bullet"/>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
      <w:numFmt w:val="bullet"/>
      <w:start w:val="1"/>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
      <w:numFmt w:val="bullet"/>
      <w:start w:val="1"/>
    </w:lvl>
  </w:abstractNum>
  <w:abstractNum w:abstractNumId="106">
    <w:nsid w:val="2E48F044"/>
    <w:multiLevelType w:val="hybridMultilevel"/>
    <w:lvl w:ilvl="0">
      <w:lvlJc w:val="left"/>
      <w:lvlText w:val="."/>
      <w:numFmt w:val="bullet"/>
      <w:start w:val="1"/>
    </w:lvl>
  </w:abstractNum>
  <w:abstractNum w:abstractNumId="107">
    <w:nsid w:val="49D0FEAC"/>
    <w:multiLevelType w:val="hybridMultilevel"/>
    <w:lvl w:ilvl="0">
      <w:lvlJc w:val="left"/>
      <w:lvlText w:val="."/>
      <w:numFmt w:val="bullet"/>
      <w:start w:val="1"/>
    </w:lvl>
  </w:abstractNum>
  <w:abstractNum w:abstractNumId="108">
    <w:nsid w:val="4BEE5A5B"/>
    <w:multiLevelType w:val="hybridMultilevel"/>
    <w:lvl w:ilvl="0">
      <w:lvlJc w:val="left"/>
      <w:lvlText w:val="."/>
      <w:numFmt w:val="bullet"/>
      <w:start w:val="1"/>
    </w:lvl>
    <w:lvl w:ilvl="1">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
      <w:numFmt w:val="bullet"/>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
      <w:numFmt w:val="bullet"/>
      <w:start w:val="1"/>
    </w:lvl>
    <w:lvl w:ilvl="1">
      <w:lvlJc w:val="left"/>
      <w:lvlText w:val="-"/>
      <w:numFmt w:val="bullet"/>
      <w:start w:val="1"/>
    </w:lvl>
  </w:abstractNum>
  <w:abstractNum w:abstractNumId="118">
    <w:nsid w:val="2A6DE806"/>
    <w:multiLevelType w:val="hybridMultilevel"/>
    <w:lvl w:ilvl="0">
      <w:lvlJc w:val="left"/>
      <w:lvlText w:val="(%1)"/>
      <w:numFmt w:val="decimal"/>
      <w:start w:val="1"/>
    </w:lvl>
    <w:lvl w:ilvl="1">
      <w:lvlJc w:val="left"/>
      <w:lvlText w:val="-"/>
      <w:numFmt w:val="bullet"/>
      <w:start w:val="1"/>
    </w:lvl>
  </w:abstractNum>
  <w:abstractNum w:abstractNumId="119">
    <w:nsid w:val="1816F8C4"/>
    <w:multiLevelType w:val="hybridMultilevel"/>
    <w:lvl w:ilvl="0">
      <w:lvlJc w:val="left"/>
      <w:lvlText w:val="(%1)"/>
      <w:numFmt w:val="decimal"/>
      <w:start w:val="3"/>
    </w:lvl>
    <w:lvl w:ilvl="1">
      <w:lvlJc w:val="left"/>
      <w:lvlText w:val="-"/>
      <w:numFmt w:val="bullet"/>
      <w:start w:val="1"/>
    </w:lvl>
  </w:abstractNum>
  <w:abstractNum w:abstractNumId="120">
    <w:nsid w:val="37DF2233"/>
    <w:multiLevelType w:val="hybridMultilevel"/>
    <w:lvl w:ilvl="0">
      <w:lvlJc w:val="left"/>
      <w:lvlText w:val="(%1)"/>
      <w:numFmt w:val="decimal"/>
      <w:start w:val="19"/>
    </w:lvl>
  </w:abstractNum>
  <w:abstractNum w:abstractNumId="121">
    <w:nsid w:val="7AB49DAF"/>
    <w:multiLevelType w:val="hybridMultilevel"/>
    <w:lvl w:ilvl="0">
      <w:lvlJc w:val="left"/>
      <w:lvlText w:val="."/>
      <w:numFmt w:val="bullet"/>
      <w:start w:val="1"/>
    </w:lvl>
  </w:abstractNum>
  <w:abstractNum w:abstractNumId="122">
    <w:nsid w:val="759F82CD"/>
    <w:multiLevelType w:val="hybridMultilevel"/>
    <w:lvl w:ilvl="0">
      <w:lvlJc w:val="left"/>
      <w:lvlText w:val="."/>
      <w:numFmt w:val="bullet"/>
      <w:start w:val="1"/>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
      <w:numFmt w:val="bullet"/>
      <w:start w:val="1"/>
    </w:lvl>
  </w:abstractNum>
  <w:abstractNum w:abstractNumId="125">
    <w:nsid w:val="F819E7F"/>
    <w:multiLevelType w:val="hybridMultilevel"/>
    <w:lvl w:ilvl="0">
      <w:lvlJc w:val="left"/>
      <w:lvlText w:val="."/>
      <w:numFmt w:val="bullet"/>
      <w:start w:val="1"/>
    </w:lvl>
  </w:abstractNum>
  <w:abstractNum w:abstractNumId="126">
    <w:nsid w:val="57C7D42D"/>
    <w:multiLevelType w:val="hybridMultilevel"/>
    <w:lvl w:ilvl="0">
      <w:lvlJc w:val="left"/>
      <w:lvlText w:val="."/>
      <w:numFmt w:val="bullet"/>
      <w:start w:val="1"/>
    </w:lvl>
  </w:abstractNum>
  <w:abstractNum w:abstractNumId="127">
    <w:nsid w:val="312167AD"/>
    <w:multiLevelType w:val="hybridMultilevel"/>
    <w:lvl w:ilvl="0">
      <w:lvlJc w:val="left"/>
      <w:lvlText w:val="."/>
      <w:numFmt w:val="bullet"/>
      <w:start w:val="1"/>
    </w:lvl>
  </w:abstractNum>
  <w:abstractNum w:abstractNumId="128">
    <w:nsid w:val="631B64D4"/>
    <w:multiLevelType w:val="hybridMultilevel"/>
    <w:lvl w:ilvl="0">
      <w:lvlJc w:val="left"/>
      <w:lvlText w:val="."/>
      <w:numFmt w:val="bullet"/>
      <w:start w:val="1"/>
    </w:lvl>
    <w:lvl w:ilvl="1">
      <w:lvlJc w:val="left"/>
      <w:lvlText w:val="-"/>
      <w:numFmt w:val="bullet"/>
      <w:start w:val="1"/>
    </w:lvl>
  </w:abstractNum>
  <w:abstractNum w:abstractNumId="129">
    <w:nsid w:val="78B5E776"/>
    <w:multiLevelType w:val="hybridMultilevel"/>
    <w:lvl w:ilvl="0">
      <w:lvlJc w:val="left"/>
      <w:lvlText w:val="(%1)"/>
      <w:numFmt w:val="decimal"/>
      <w:start w:val="1"/>
    </w:lvl>
    <w:lvl w:ilvl="1">
      <w:lvlJc w:val="left"/>
      <w:lvlText w:val="-"/>
      <w:numFmt w:val="bullet"/>
      <w:start w:val="1"/>
    </w:lvl>
  </w:abstractNum>
  <w:abstractNum w:abstractNumId="130">
    <w:nsid w:val="75486E47"/>
    <w:multiLevelType w:val="hybridMultilevel"/>
    <w:lvl w:ilvl="0">
      <w:lvlJc w:val="left"/>
      <w:lvlText w:val="(%1)"/>
      <w:numFmt w:val="decimal"/>
      <w:start w:val="2"/>
    </w:lvl>
    <w:lvl w:ilvl="1">
      <w:lvlJc w:val="left"/>
      <w:lvlText w:val="-"/>
      <w:numFmt w:val="bullet"/>
      <w:start w:val="1"/>
    </w:lvl>
  </w:abstractNum>
  <w:abstractNum w:abstractNumId="131">
    <w:nsid w:val="6E534CDE"/>
    <w:multiLevelType w:val="hybridMultilevel"/>
    <w:lvl w:ilvl="0">
      <w:lvlJc w:val="left"/>
      <w:lvlText w:val="."/>
      <w:numFmt w:val="bullet"/>
      <w:start w:val="1"/>
    </w:lvl>
  </w:abstractNum>
  <w:abstractNum w:abstractNumId="132">
    <w:nsid w:val="1A0DDE32"/>
    <w:multiLevelType w:val="hybridMultilevel"/>
    <w:lvl w:ilvl="0">
      <w:lvlJc w:val="left"/>
      <w:lvlText w:val="."/>
      <w:numFmt w:val="bullet"/>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
      <w:numFmt w:val="bullet"/>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1)"/>
      <w:numFmt w:val="decimal"/>
      <w:start w:val="1"/>
    </w:lvl>
  </w:abstractNum>
  <w:abstractNum w:abstractNumId="137">
    <w:nsid w:val="746F2E30"/>
    <w:multiLevelType w:val="hybridMultilevel"/>
    <w:lvl w:ilvl="0">
      <w:lvlJc w:val="left"/>
      <w:lvlText w:val="(%1)"/>
      <w:numFmt w:val="decimal"/>
      <w:start w:val="2"/>
    </w:lvl>
    <w:lvl w:ilvl="1">
      <w:lvlJc w:val="left"/>
      <w:lvlText w:val="-"/>
      <w:numFmt w:val="bullet"/>
      <w:start w:val="1"/>
    </w:lvl>
  </w:abstractNum>
  <w:abstractNum w:abstractNumId="138">
    <w:nsid w:val="6FDE8AF6"/>
    <w:multiLevelType w:val="hybridMultilevel"/>
    <w:lvl w:ilvl="0">
      <w:lvlJc w:val="left"/>
      <w:lvlText w:val="(%1)"/>
      <w:numFmt w:val="upperLetter"/>
      <w:start w:val="1"/>
    </w:lvl>
  </w:abstractNum>
  <w:abstractNum w:abstractNumId="139">
    <w:nsid w:val="3FC32E20"/>
    <w:multiLevelType w:val="hybridMultilevel"/>
    <w:lvl w:ilvl="0">
      <w:lvlJc w:val="left"/>
      <w:lvlText w:val="%1)"/>
      <w:numFmt w:val="decimal"/>
      <w:start w:val="1"/>
    </w:lvl>
  </w:abstractNum>
  <w:abstractNum w:abstractNumId="140">
    <w:nsid w:val="49C0E823"/>
    <w:multiLevelType w:val="hybridMultilevel"/>
    <w:lvl w:ilvl="0">
      <w:lvlJc w:val="left"/>
      <w:lvlText w:val="(%1)"/>
      <w:numFmt w:val="decimal"/>
      <w:start w:val="2"/>
    </w:lvl>
  </w:abstractNum>
  <w:abstractNum w:abstractNumId="141">
    <w:nsid w:val="14D53685"/>
    <w:multiLevelType w:val="hybridMultilevel"/>
    <w:lvl w:ilvl="0">
      <w:lvlJc w:val="left"/>
      <w:lvlText w:val="(%1)"/>
      <w:numFmt w:val="decimal"/>
      <w:start w:val="3"/>
    </w:lvl>
  </w:abstractNum>
  <w:abstractNum w:abstractNumId="142">
    <w:nsid w:val="230F856C"/>
    <w:multiLevelType w:val="hybridMultilevel"/>
    <w:lvl w:ilvl="0">
      <w:lvlJc w:val="left"/>
      <w:lvlText w:val="(%1)"/>
      <w:numFmt w:val="lowerLetter"/>
      <w:start w:val="2"/>
    </w:lvl>
  </w:abstractNum>
  <w:abstractNum w:abstractNumId="143">
    <w:nsid w:val="6EAA85FB"/>
    <w:multiLevelType w:val="hybridMultilevel"/>
    <w:lvl w:ilvl="0">
      <w:lvlJc w:val="left"/>
      <w:lvlText w:val="(%1)"/>
      <w:numFmt w:val="lowerLetter"/>
      <w:start w:val="3"/>
    </w:lvl>
  </w:abstractNum>
  <w:abstractNum w:abstractNumId="144">
    <w:nsid w:val="3F06ECB2"/>
    <w:multiLevelType w:val="hybridMultilevel"/>
    <w:lvl w:ilvl="0">
      <w:lvlJc w:val="left"/>
      <w:lvlText w:val="*"/>
      <w:numFmt w:val="bullet"/>
      <w:start w:val="1"/>
    </w:lvl>
    <w:lvl w:ilvl="1">
      <w:lvlJc w:val="left"/>
      <w:lvlText w:val="-"/>
      <w:numFmt w:val="bullet"/>
      <w:start w:val="1"/>
    </w:lvl>
  </w:abstractNum>
  <w:abstractNum w:abstractNumId="145">
    <w:nsid w:val="3B594807"/>
    <w:multiLevelType w:val="hybridMultilevel"/>
    <w:lvl w:ilvl="0">
      <w:lvlJc w:val="left"/>
      <w:lvlText w:val="-"/>
      <w:numFmt w:val="bullet"/>
      <w:start w:val="1"/>
    </w:lvl>
  </w:abstractNum>
  <w:abstractNum w:abstractNumId="146">
    <w:nsid w:val="6CAA2304"/>
    <w:multiLevelType w:val="hybridMultilevel"/>
    <w:lvl w:ilvl="0">
      <w:lvlJc w:val="left"/>
      <w:lvlText w:val="-"/>
      <w:numFmt w:val="bullet"/>
      <w:start w:val="1"/>
    </w:lvl>
  </w:abstractNum>
  <w:abstractNum w:abstractNumId="147">
    <w:nsid w:val="3F7C2FF4"/>
    <w:multiLevelType w:val="hybridMultilevel"/>
    <w:lvl w:ilvl="0">
      <w:lvlJc w:val="left"/>
      <w:lvlText w:val="-"/>
      <w:numFmt w:val="bullet"/>
      <w:start w:val="1"/>
    </w:lvl>
  </w:abstractNum>
  <w:abstractNum w:abstractNumId="148">
    <w:nsid w:val="25413BEC"/>
    <w:multiLevelType w:val="hybridMultilevel"/>
    <w:lvl w:ilvl="0">
      <w:lvlJc w:val="left"/>
      <w:lvlText w:val="-"/>
      <w:numFmt w:val="bullet"/>
      <w:start w:val="1"/>
    </w:lvl>
  </w:abstractNum>
  <w:abstractNum w:abstractNumId="149">
    <w:nsid w:val="17180B0B"/>
    <w:multiLevelType w:val="hybridMultilevel"/>
    <w:lvl w:ilvl="0">
      <w:lvlJc w:val="left"/>
      <w:lvlText w:val="-"/>
      <w:numFmt w:val="bullet"/>
      <w:start w:val="1"/>
    </w:lvl>
  </w:abstractNum>
  <w:abstractNum w:abstractNumId="150">
    <w:nsid w:val="579328B9"/>
    <w:multiLevelType w:val="hybridMultilevel"/>
    <w:lvl w:ilvl="0">
      <w:lvlJc w:val="left"/>
      <w:lvlText w:val="-"/>
      <w:numFmt w:val="bullet"/>
      <w:start w:val="1"/>
    </w:lvl>
  </w:abstractNum>
  <w:abstractNum w:abstractNumId="151">
    <w:nsid w:val="5D205E20"/>
    <w:multiLevelType w:val="hybridMultilevel"/>
    <w:lvl w:ilvl="0">
      <w:lvlJc w:val="left"/>
      <w:lvlText w:val="%1."/>
      <w:numFmt w:val="decimal"/>
      <w:start w:val="1"/>
    </w:lvl>
    <w:lvl w:ilvl="1">
      <w:lvlJc w:val="left"/>
      <w:lvlText w:val="-"/>
      <w:numFmt w:val="bullet"/>
      <w:start w:val="1"/>
    </w:lvl>
  </w:abstractNum>
  <w:abstractNum w:abstractNumId="152">
    <w:nsid w:val="11CCA8BA"/>
    <w:multiLevelType w:val="hybridMultilevel"/>
    <w:lvl w:ilvl="0">
      <w:lvlJc w:val="left"/>
      <w:lvlText w:val="%1."/>
      <w:numFmt w:val="decimal"/>
      <w:start w:val="1"/>
    </w:lvl>
    <w:lvl w:ilvl="1">
      <w:lvlJc w:val="left"/>
      <w:lvlText w:val="-"/>
      <w:numFmt w:val="bullet"/>
      <w:start w:val="1"/>
    </w:lvl>
  </w:abstractNum>
  <w:abstractNum w:abstractNumId="153">
    <w:nsid w:val="4D32AB86"/>
    <w:multiLevelType w:val="hybridMultilevel"/>
    <w:lvl w:ilvl="0">
      <w:lvlJc w:val="left"/>
      <w:lvlText w:val="(%1)"/>
      <w:numFmt w:val="lowerLetter"/>
      <w:start w:val="1"/>
    </w:lvl>
    <w:lvl w:ilvl="1">
      <w:lvlJc w:val="left"/>
      <w:lvlText w:val="(%2)"/>
      <w:numFmt w:val="decimal"/>
      <w:start w:val="1"/>
    </w:lvl>
  </w:abstractNum>
  <w:abstractNum w:abstractNumId="154">
    <w:nsid w:val="3F07ACC3"/>
    <w:multiLevelType w:val="hybridMultilevel"/>
    <w:lvl w:ilvl="0">
      <w:lvlJc w:val="left"/>
      <w:lvlText w:val="%1"/>
      <w:numFmt w:val="lowerLetter"/>
      <w:start w:val="1"/>
    </w:lvl>
    <w:lvl w:ilvl="1">
      <w:lvlJc w:val="left"/>
      <w:lvlText w:val="(%2)"/>
      <w:numFmt w:val="decimal"/>
      <w:start w:val="3"/>
    </w:lvl>
  </w:abstractNum>
  <w:abstractNum w:abstractNumId="155">
    <w:nsid w:val="6B47F63E"/>
    <w:multiLevelType w:val="hybridMultilevel"/>
    <w:lvl w:ilvl="0">
      <w:lvlJc w:val="left"/>
      <w:lvlText w:val="(%1)"/>
      <w:numFmt w:val="lowerLetter"/>
      <w:start w:val="2"/>
    </w:lvl>
    <w:lvl w:ilvl="1">
      <w:lvlJc w:val="left"/>
      <w:lvlText w:val="%2"/>
      <w:numFmt w:val="decimal"/>
      <w:start w:val="1"/>
    </w:lvl>
  </w:abstractNum>
  <w:abstractNum w:abstractNumId="156">
    <w:nsid w:val="5CB44A05"/>
    <w:multiLevelType w:val="hybridMultilevel"/>
    <w:lvl w:ilvl="0">
      <w:lvlJc w:val="left"/>
      <w:lvlText w:val="(%1)"/>
      <w:numFmt w:val="lowerLetter"/>
      <w:start w:val="61"/>
    </w:lvl>
    <w:lvl w:ilvl="1">
      <w:lvlJc w:val="left"/>
      <w:lvlText w:val="%2"/>
      <w:numFmt w:val="decimal"/>
      <w:start w:val="1"/>
    </w:lvl>
  </w:abstractNum>
  <w:abstractNum w:abstractNumId="157">
    <w:nsid w:val="16CF80F1"/>
    <w:multiLevelType w:val="hybridMultilevel"/>
    <w:lvl w:ilvl="0">
      <w:lvlJc w:val="left"/>
      <w:lvlText w:val="(%1)"/>
      <w:numFmt w:val="lowerLetter"/>
      <w:start w:val="3"/>
    </w:lvl>
    <w:lvl w:ilvl="1">
      <w:lvlJc w:val="left"/>
      <w:lvlText w:val="(%2)"/>
      <w:numFmt w:val="decimal"/>
      <w:start w:val="1"/>
    </w:lvl>
  </w:abstractNum>
  <w:abstractNum w:abstractNumId="158">
    <w:nsid w:val="1C695DEC"/>
    <w:multiLevelType w:val="hybridMultilevel"/>
    <w:lvl w:ilvl="0">
      <w:lvlJc w:val="left"/>
      <w:lvlText w:val="(%1)"/>
      <w:numFmt w:val="decimal"/>
      <w:start w:val="2"/>
    </w:lvl>
  </w:abstractNum>
  <w:abstractNum w:abstractNumId="159">
    <w:nsid w:val="3FCFAED9"/>
    <w:multiLevelType w:val="hybridMultilevel"/>
    <w:lvl w:ilvl="0">
      <w:lvlJc w:val="left"/>
      <w:lvlText w:val="(%1)"/>
      <w:numFmt w:val="lowerLetter"/>
      <w:start w:val="1"/>
    </w:lvl>
  </w:abstractNum>
  <w:abstractNum w:abstractNumId="160">
    <w:nsid w:val="F856867"/>
    <w:multiLevelType w:val="hybridMultilevel"/>
    <w:lvl w:ilvl="0">
      <w:lvlJc w:val="left"/>
      <w:lvlText w:val="(%1)"/>
      <w:numFmt w:val="lowerLetter"/>
      <w:start w:val="1"/>
    </w:lvl>
  </w:abstractNum>
  <w:abstractNum w:abstractNumId="161">
    <w:nsid w:val="11B1CC33"/>
    <w:multiLevelType w:val="hybridMultilevel"/>
    <w:lvl w:ilvl="0">
      <w:lvlJc w:val="left"/>
      <w:lvlText w:val="(%1)"/>
      <w:numFmt w:val="lowerLetter"/>
      <w:start w:val="3"/>
    </w:lvl>
  </w:abstractNum>
  <w:abstractNum w:abstractNumId="162">
    <w:nsid w:val="2E22FBB7"/>
    <w:multiLevelType w:val="hybridMultilevel"/>
    <w:lvl w:ilvl="0">
      <w:lvlJc w:val="left"/>
      <w:lvlText w:val="(%1)"/>
      <w:numFmt w:val="decimal"/>
      <w:start w:val="2"/>
    </w:lvl>
  </w:abstractNum>
  <w:abstractNum w:abstractNumId="163">
    <w:nsid w:val="29934699"/>
    <w:multiLevelType w:val="hybridMultilevel"/>
    <w:lvl w:ilvl="0">
      <w:lvlJc w:val="left"/>
      <w:lvlText w:val="(%1)"/>
      <w:numFmt w:val="decimal"/>
      <w:start w:val="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2019-12-12T09:26:14Z</dcterms:created>
  <dcterms:modified xsi:type="dcterms:W3CDTF">2019-12-12T09:26:14Z</dcterms:modified>
</cp:coreProperties>
</file>