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333-277767</w:t>
      </w:r>
    </w:p>
    <w:p>
      <w:pPr>
        <w:spacing w:after="0" w:line="9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MARCH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160020</wp:posOffset>
            </wp:positionV>
            <wp:extent cx="2237105" cy="694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4,739,566 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Federal Realty OP LP (the “Partnership”), the operating partnership through which Federal Realty Investment Trust (the “Company”) conducts substantially all of its operations and owns substantially all of its assets, issued $485,000,000 aggregate principal amount of its 3.25% Exchangeable Senior Notes due 2029 (the “notes”) in a private placement in January 2024. Under certain circumstances, the Company may issue its common shares of beneficial interest, par value $.01 per share (“common shares”), upon exchange of the notes. The recipients of such common shares (the “selling shareholders”) may use this prospectus supplement to resell some or all of such common shares from time to time. We may supplement the information set forth in this prospectus supplement in future prospectus supplements, amendments to this prospectus supplement or in filings we make with the Securities and Exchange Commission (the “SEC”) under the Securities Exchange Act of 1934, as amended (the “Exchange Act”), that are incorporated by reference in this prospectus supplement or the accompanying prospectus.</w:t>
      </w:r>
    </w:p>
    <w:p>
      <w:pPr>
        <w:spacing w:after="0" w:line="192" w:lineRule="exact"/>
        <w:rPr>
          <w:sz w:val="24"/>
          <w:szCs w:val="24"/>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notes are exchangeable only in the circumstances described in the applicable indenture. Upon any exchange, the Partnership will pay cash up to the aggregate principal amount of the notes to be exchanged and pay or deliver, as the case may be, cash, common shares or a combination of cash and common shares, at our election, in respect of the remainder, if any, of the Partnership’s exchange obligation in excess of the aggregate principal amount of the notes being exchanged. The registration of common shares covered by this prospectus supplement does not necessarily mean that any of the selling shareholders will elect to exchange their notes, or whether upon any such exchange we will elect, in our sole and absolute discretion, to satisfy our exchange obligation with cash, common shares, or a combination thereof, or that any common shares received upon exchange of the notes will be sold by the selling shareholders.</w:t>
      </w:r>
    </w:p>
    <w:p>
      <w:pPr>
        <w:spacing w:after="0" w:line="189" w:lineRule="exact"/>
        <w:rPr>
          <w:sz w:val="24"/>
          <w:szCs w:val="24"/>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registering the common shares being offered under this prospectus supplement pursuant to contractual obligations under the registration rights agreement we entered into in connection with the issuance and sale of the notes (the “registration rights agreement”). We will not receive any proceeds from any issuances of our common shares to the selling shareholders upon exchange of the notes or from any sale of common shares by the selling shareholders. We will pay all expenses in connection with the registration of the offered common shares as provided in the registration rights agreement, other than underwriting fees, discounts or commissions attributable to the sale of the offered shares, or any fees and expenses of any broker-dealer or other financial intermediary engaged by any selling shareholder. The selling shareholders from time to time may offer and sell our common shares held by them directly or through agents or broker-dealers on terms to be determined at the time of sale, as described in more detail in this prospectus supplement, the accompanying prospectus, any future prospectus supplement or amendments to this prospectus supplement.</w:t>
      </w:r>
    </w:p>
    <w:p>
      <w:pPr>
        <w:spacing w:after="0" w:line="192" w:lineRule="exact"/>
        <w:rPr>
          <w:sz w:val="24"/>
          <w:szCs w:val="24"/>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common shares are listed on the New York Stock Exchange, or the NYSE, under the symbol “FRT.” On March 7, 2024, the last reported sale price of our common shares on the NYSE was $101.99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18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common shares involves risks. See the information under the caption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 our most recent Annual Report on Form 10-K filed with the Securities and Exchange Commission, or the SEC, and subsequent filings that we make with the SEC that are incorporated by reference herein, as well as page S-3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3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March 8, 2024.</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77"/>
        </w:trPr>
        <w:tc>
          <w:tcPr>
            <w:tcW w:w="24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1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46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Shareholders</w:t>
            </w:r>
          </w:p>
        </w:tc>
        <w:tc>
          <w:tcPr>
            <w:tcW w:w="91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2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669"/>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00" w:type="dxa"/>
            <w:vAlign w:val="bottom"/>
          </w:tcPr>
          <w:p>
            <w:pPr>
              <w:spacing w:after="0"/>
              <w:rPr>
                <w:sz w:val="24"/>
                <w:szCs w:val="24"/>
                <w:color w:val="auto"/>
              </w:rPr>
            </w:pP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9"/>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5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1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that may be Offered by Federal Realty Investment Trust or a Selling Security Holder</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1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2800" w:type="dxa"/>
            <w:vAlign w:val="bottom"/>
            <w:tcBorders>
              <w:top w:val="single" w:sz="8" w:color="0000EE"/>
            </w:tcBorders>
          </w:tcPr>
          <w:p>
            <w:pPr>
              <w:spacing w:after="0"/>
              <w:rPr>
                <w:sz w:val="17"/>
                <w:szCs w:val="17"/>
                <w:color w:val="auto"/>
              </w:rPr>
            </w:pPr>
          </w:p>
        </w:tc>
        <w:tc>
          <w:tcPr>
            <w:tcW w:w="2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7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9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2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0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78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prior information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9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It is important for you to read and consider all of the information contained in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References to “we,” “us,” “our” or “ours” refer to Federal Realty Investment Trust and its directly and indirectly owned subsidiaries, unless the context otherwise requires. The term “you” refers to a prospective investor. References to the “Company” refer to Federal Realty Investment Trust and not its subsidiaries, unless the context otherwise requires.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and any related free writing prospectus required to be filed with the SEC. We have not authorized any other person to provide you with additional or different information. If anyone provides you with additional or different information, you should not rely on it.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“seeks,” “could,” “should,” “plans,” “intends,” “expects,” “believes,” “estimates,” “anticipates,” “continues,” and other similar words. These statements constitute forward-looking statements within the meaning of Section 27A of the Securities Act of 1933, as amended (the “Securities Act”), Section 21E of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in our most recent Annual Report on Form 10-K filed with the Securities and Exchange Commission, or the SEC, and in subsequent filings that we make with the SEC that are incorporated by reference herein,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00" w:lineRule="exact"/>
        <w:rPr>
          <w:sz w:val="20"/>
          <w:szCs w:val="20"/>
          <w:color w:val="auto"/>
        </w:rPr>
      </w:pPr>
    </w:p>
    <w:p>
      <w:pPr>
        <w:ind w:left="1080" w:right="4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common shares involves risks. Before you decide to purchase our common shares, you should carefully consider the risk factors in our most recent Annual Report on Form 10-K filed with the SEC and in subsequent filings that we make with the SEC that are incorporated by reference in the accompanying prospectus. The risks and uncertainties we have described are those we believe to be the principal risks that could affect us, our business or our industry, and which could result in a material adverse impact on our financial condition, results of operation, prospects or the market price of our common shares. However, additional risks and uncertainties not currently known to us or that we currently deem immaterial may affect our business operations and the market price of our common shares.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supplement, the Company owns all of the outstanding limited partnership interests in the Partnership.</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principal executive offices are located at 909 Rose Ave., Suite 200, North Bethesda, MD 20852. Our telephone number is</w:t>
      </w:r>
    </w:p>
    <w:p>
      <w:pPr>
        <w:spacing w:after="0" w:line="27" w:lineRule="exact"/>
        <w:rPr>
          <w:sz w:val="20"/>
          <w:szCs w:val="20"/>
          <w:color w:val="auto"/>
        </w:rPr>
      </w:pPr>
    </w:p>
    <w:p>
      <w:pPr>
        <w:ind w:left="120" w:right="80" w:hanging="4"/>
        <w:spacing w:after="0" w:line="260" w:lineRule="auto"/>
        <w:tabs>
          <w:tab w:leader="none" w:pos="5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supplement or the accompanying prospectus and is not incorporated herein or therein by reference.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of the common shares by the selling shareholders. We will pay all expenses in connection with the registration of the offered common shares as provided in the registration rights agreement, other than underwriting fees, discounts or commissions attributable to the sale of the offered shares, or any fees and expenses of any broker-dealer or other financial intermediary engaged by any selling shareholder.</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selling shareholders will be set forth in a prospectus supplement, an amendment to this prospectus supplement or in filings we make with the SEC under the Exchange Act that are incorporated by reference in this prospectus supplement or the accompanying prospectus.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Selling shareholders may be deemed to be underwriters in connection with the common shares they resell and any profits on the resale may be deemed to be underwriting discounts and commissions under the Securities Act. The selling shareholders will receive all the proceeds from the resale of our common shares. We will not receive any proceeds from resales by selling shareholders.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34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2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840" w:type="dxa"/>
            <w:vAlign w:val="bottom"/>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2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w:t>
            </w:r>
          </w:p>
        </w:tc>
        <w:tc>
          <w:tcPr>
            <w:tcW w:w="15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(1)</w:t>
            </w:r>
          </w:p>
        </w:tc>
        <w:tc>
          <w:tcPr>
            <w:tcW w:w="46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 Hereby</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 (2)</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not exchangeable by their terms as of the date hereof.</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selling shareholders sell all of any common shares that may be issued upon the exchange of notes.</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3.25% Exchangeable Senior Notes due 2029 were originally issued by the Partnership and sold by the initial purchasers of the notes in transactions exempt from the registration requirements of the Securities Act to persons reasonably believed by the initial purchasers to be qualified institutional buyers as defined by Rule 144A under the Securities Act. Under certain circumstances, we may issue our common shares upon the exchange of the notes. This prospectus supplement relates to the offer and sale from time to time by the selling shareholders named in this prospectus supplement of up to 4,739,566 common shares.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notes are exchangeable only in the circumstances described in the applicable indenture. Upon any exchange, the Partnership will pay cash up to the aggregate principal amount of the notes to be exchanged and pay or deliver, as the case may be, cash, common shares or a combination of cash and common shares, at our election, in respect of the remainder, if any, of the Partnership’s exchange obligation in excess of the aggregate principal amount of the notes being exchanged. The registration of common shares covered by this prospectus supplement does not necessarily mean that any of the selling shareholders will elect to exchange their notes, or whether upon any such exchange we will elect, in our sole and absolute discretion, to satisfy our exchange obligation with cash, common shares, or a combination thereof, or that any common shares received upon exchange of the notes will be sold by the selling shareholders.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registering the common shares being offered under this prospectus supplement pursuant to contractual obligations under the registration rights agreement we entered into in connection with the issuance and sale of the notes. We will not receive any proceeds from any issuances of our common shares to the selling shareholders upon exchange of the notes or from any sale of common shares by the selling shareholders. We will pay all expenses in connection with the registration of the offered common shares as provided in the registration rights agreement, other than underwriting fees, discounts or commissions attributable to the sale of the offered shares, or any fees and expenses of any broker-dealer or other financial intermediary engaged by any selling shareholder. The selling shareholders from time to time may offer and sell our common shares held by them directly or through agents or broker-dealers on terms to be determined at the time of sale, as described in more detail in this prospectus supplement, the accompanying prospectus, any future prospectus supplement or amendments to this prospectus supplement.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the accompanying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common shares offered by this prospectus supplement will be passed upon for us by Pillsbury Winthrop Shaw Pittman LLP, Washington, DC.</w:t>
      </w:r>
    </w:p>
    <w:p>
      <w:pPr>
        <w:spacing w:after="0" w:line="200" w:lineRule="exact"/>
        <w:rPr>
          <w:sz w:val="20"/>
          <w:szCs w:val="20"/>
          <w:color w:val="auto"/>
        </w:rPr>
      </w:pPr>
    </w:p>
    <w:p>
      <w:pPr>
        <w:spacing w:after="0" w:line="2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20"/>
          </w:cols>
          <w:pgMar w:left="320" w:top="455"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728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4599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Common Shares, Preferred Shares, Depositary Shares, Share Purchase</w:t>
      </w:r>
    </w:p>
    <w:p>
      <w:pPr>
        <w:spacing w:after="0" w:line="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Contracts, Warrants, Guarantees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2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or any selling security holder, may from time to time offer, in one or more classes or series, separately or together:</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of beneficial interest, par value $.01 per share, which we refer to as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beneficial interest, par value $.01 per share, which we refer to as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representing interests in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contracts to purchase or sell common shares or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shares or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debt securities issued by Federal Realty OP LP,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two or more securities described in this prospectus.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Realty OP LP, which we refer to as the Partnership, may from time to time offer debt securities in one or more classes or series.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if applicable, will offer our securities in amounts, at prices and on terms to be determined at the time such securities are offered. We will prepare a prospectus supplement describing the offering and the terms of the class or series of securities being offered. Such terms may include limitations on direct or beneficial ownership and restrictions on transfer that we believe are appropriate to preserve the Company’s status as a real estate investment trust for federal income tax purposes.</w:t>
      </w:r>
    </w:p>
    <w:p>
      <w:pPr>
        <w:spacing w:after="0" w:line="180"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also contain information, where applicable, about certain United States federal income tax considerations relating to the securities covered by such prospectus supplement.</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or any selling security holder may offer our securities directly, through agents or to or through underwriters or dealers, on a continuous or delayed basis.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Company’s common shares and depositary shares representing interests in the Company’s Series C preferred shares are listed on the New York Stock Exchange under the symbols “FRT” and “FRT-C,”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4 of this prospectus.</w:t>
      </w:r>
    </w:p>
    <w:p>
      <w:pPr>
        <w:spacing w:after="0" w:line="21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80"/>
          </w:cols>
          <w:pgMar w:left="320" w:top="455" w:right="599" w:bottom="1043"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The date of this prospectus is March 8, 2024.</w:t>
      </w:r>
    </w:p>
    <w:p>
      <w:pPr>
        <w:sectPr>
          <w:pgSz w:w="11900" w:h="16838" w:orient="portrait"/>
          <w:cols w:equalWidth="0" w:num="1">
            <w:col w:w="10980"/>
          </w:cols>
          <w:pgMar w:left="320" w:top="455" w:right="599" w:bottom="1043"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4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3"/>
        </w:trPr>
        <w:tc>
          <w:tcPr>
            <w:tcW w:w="1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1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56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91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that may be Offered by Federal Realty Investment Trust or a Selling Security Holder</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1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 that may be Offered by Federal Realty OP LP</w:t>
            </w:r>
          </w:p>
        </w:tc>
        <w:tc>
          <w:tcPr>
            <w:tcW w:w="2800" w:type="dxa"/>
            <w:vAlign w:val="bottom"/>
            <w:tcBorders>
              <w:top w:val="single" w:sz="8" w:color="0000EE"/>
            </w:tcBorders>
          </w:tcPr>
          <w:p>
            <w:pPr>
              <w:spacing w:after="0"/>
              <w:rPr>
                <w:sz w:val="17"/>
                <w:szCs w:val="17"/>
                <w:color w:val="auto"/>
              </w:rPr>
            </w:pPr>
          </w:p>
        </w:tc>
        <w:tc>
          <w:tcPr>
            <w:tcW w:w="27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Federal Income Tax Considerations</w:t>
            </w:r>
          </w:p>
        </w:tc>
        <w:tc>
          <w:tcPr>
            <w:tcW w:w="74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Selling Security Holders</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89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2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66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78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process, we or any selling security holder may sell any combination of the securities described in this prospectus either separately or in units, in one or more offerings. Our prospectus provides you with a general description of these securities. Each time we sell, or any selling security holder sells, securities, we or they will provide a prospectus supplement that will contain specific information about all of the terms of that offering. The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noted, references herein to “we,” “us,” “our” or “ours” refer to Federal Realty Investment Trust and its directly or indirectly owned subsidiaries, including Federal Realty OP LP, unless the context otherwise requires. The term “you” refers to a prospective investor. The term “Company” refers to Federal Realty Investment Trust. The term “Partnership” refers to Federal Realty OP LP.</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not based on historical facts,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statements or information with words such as “may,” “will,” “seeks,” “could,” “should,” “plans,” “intends,” “expects,” “believes,”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“estimates,” “anticipates,” “continues” and other similar words. These statements constitute forward-looking statements within the meaning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27A of the Securities Act of 1933, as amended, or the “Securities Act,” Section 21E of the Securities Exchange Act of 1934, as amended, 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Act,” and the Private Securities Litigation Reform Act of 1995. In particular, the risk factors included in or incorporated by reference into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describe forward-looking information. The risk factors, including those in our Annual Report on Form 10-K for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filed with the SEC on February 12, 2024, describe risks that may affect these statements but are not exhaustive, particularly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to possible future events. Many things can happen that can cause actual results to be different from those we describe. These factors include, but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not limited to:</w:t>
      </w:r>
    </w:p>
    <w:p>
      <w:pPr>
        <w:spacing w:after="0" w:line="112" w:lineRule="exact"/>
        <w:rPr>
          <w:sz w:val="20"/>
          <w:szCs w:val="20"/>
          <w:color w:val="auto"/>
        </w:rPr>
      </w:pPr>
    </w:p>
    <w:p>
      <w:pPr>
        <w:ind w:left="1080" w:right="4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 or to fill existing vacancies;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 or if the costs of capital we obtain are significantly higher than historical levels;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inflation and local economic conditions in our geographic markets;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202"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1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6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Federal Realty Investment Trust and Federal Realty OP LP</w:t>
      </w:r>
    </w:p>
    <w:p>
      <w:pPr>
        <w:spacing w:after="0" w:line="229"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Federal Realty Investment Trust, which we refer to as the Company, is an equity real estate investment trust, or REIT, specializing in the ownership, management, and redevelopment of high quality retail and mixed-use properties located primarily in communities where we believe retail demand exceeds supply, in strategically selected metropolitan markets in the Northeast and Mid-Atlantic regions of the United States, California, and South Florida. The Company conducts substantially all of its operations and owns substantially all of its assets through Federal Realty OP LP, which we refer to as the Partnership. The Company owns 100% of the limited liability company interests of, is the sole member of and exercises exclusive control over Federal Realty GP LLC, which is the sole general partner of the Partnership. The Company does not have substantial assets or liabilities other than through its investment in the Partnership. As of the date of this prospectus, the Company owns all of the outstanding limited partnership interests in the Partnership.</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As of December 31, 2023, we owned or had a majority interest in community and neighborhood shopping centers and mixed-use properties which are operated as 102 predominantly retail real estate projects comprising approximately 26.0 million commercial square feet. In total, the real estate projects were 94.2% leased and 92.2% occupied at December 31, 2023. Our revenue is primarily generated from lease agreements with tenants. We have paid quarterly dividends to our shareholders continuously since our founding in 1962 and have increased our dividends per common share for 56 consecutive years.</w:t>
      </w:r>
    </w:p>
    <w:p>
      <w:pPr>
        <w:spacing w:after="0" w:line="183"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909 Rose Ave., Suite 200, North Bethesda, MD 20852. Our telephone number is</w:t>
      </w:r>
    </w:p>
    <w:p>
      <w:pPr>
        <w:spacing w:after="0" w:line="27" w:lineRule="exact"/>
        <w:rPr>
          <w:sz w:val="20"/>
          <w:szCs w:val="20"/>
          <w:color w:val="auto"/>
        </w:rPr>
      </w:pPr>
    </w:p>
    <w:p>
      <w:pPr>
        <w:ind w:left="300" w:hanging="2"/>
        <w:spacing w:after="0" w:line="260" w:lineRule="auto"/>
        <w:tabs>
          <w:tab w:leader="none" w:pos="7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998-8100. Our website address is </w:t>
      </w:r>
      <w:r>
        <w:rPr>
          <w:rFonts w:ascii="Times New Roman" w:cs="Times New Roman" w:eastAsia="Times New Roman" w:hAnsi="Times New Roman"/>
          <w:sz w:val="18"/>
          <w:szCs w:val="18"/>
          <w:i w:val="1"/>
          <w:iCs w:val="1"/>
          <w:color w:val="auto"/>
        </w:rPr>
        <w:t>www.federalrealty.com</w:t>
      </w:r>
      <w:r>
        <w:rPr>
          <w:rFonts w:ascii="Times New Roman" w:cs="Times New Roman" w:eastAsia="Times New Roman" w:hAnsi="Times New Roman"/>
          <w:sz w:val="18"/>
          <w:szCs w:val="18"/>
          <w:color w:val="auto"/>
        </w:rPr>
        <w:t>. The information contained on our website is not a part of this prospectus and is not incorporated herein by reference.</w:t>
      </w: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Before making an investment decision, please consider the risks described under the caption “Risk Factors” in our Annual Report on Form 10-K for the fiscal year ended December 31, 2023,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use the net proceeds from the sale of securities pursuant to this prospectus for one or more of the following:</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additional properties;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our development and redevelopment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preferred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and general corporate purposes.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the sale of securities by selling security holders.</w:t>
      </w:r>
    </w:p>
    <w:p>
      <w:pPr>
        <w:spacing w:after="0" w:line="200" w:lineRule="exact"/>
        <w:rPr>
          <w:sz w:val="20"/>
          <w:szCs w:val="20"/>
          <w:color w:val="auto"/>
        </w:rPr>
      </w:pPr>
    </w:p>
    <w:p>
      <w:pPr>
        <w:spacing w:after="0" w:line="237" w:lineRule="exact"/>
        <w:rPr>
          <w:sz w:val="20"/>
          <w:szCs w:val="20"/>
          <w:color w:val="auto"/>
        </w:rPr>
      </w:pPr>
    </w:p>
    <w:p>
      <w:pPr>
        <w:jc w:val="center"/>
        <w:ind w:left="440" w:right="460"/>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THAT MAY BE OFFERED BY FEDERAL REALTY INVESTMENT TRUST OR A SELLING SECURITY HOLDER</w:t>
      </w:r>
    </w:p>
    <w:p>
      <w:pPr>
        <w:spacing w:after="0" w:line="15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the following section, references to “we,” “us,” “our” and “ours” refer only to Federal Realty Investment Trust and not to the Partnership or its subsidiaries unless the context requires otherwise.</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of Beneficial Interest of Federal Realty Investment Trust</w:t>
      </w:r>
    </w:p>
    <w:p>
      <w:pPr>
        <w:spacing w:after="0" w:line="22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are a Maryland real estate investment trust. Your rights as a shareholder are governed by the Code of Maryland, including Title 8 of the Corporations and Associations Article, or “Maryland REIT Law,” our declaration of trust, which sets forth the terms of our shares of beneficial interest, and our bylaws. The following summary of the material terms, rights and preferences of the shares of beneficial interest is not complete and is subject to and qualified in its entirety by reference to the laws of the State of Maryland, including the Maryland REIT Law, our declaration of trust and our bylaws.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declaration of trust allows us to issue up to 200,000,000 common shares of beneficial interest, par value $.01 per share, and 15,000,000 preferred shares of beneficial interest, par value $.01 per share. As of December 31, 2023, we had issued and outstanding 82,775,286 common shares, 392,878 preferred shares designated as 5.417% Series 1 Cumulative Convertible Preferred Shares, which we refer to as the “Series 1 preferred shares,” and 6,000 preferred shares designated as 5.000% Series C Cumulative Redeemable Preferred Shares, which we refer to as the “Series C preferred shares.”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Authority of the Board of Trustees Relating to Authorization and Classification of Shares. </w:t>
      </w:r>
      <w:r>
        <w:rPr>
          <w:rFonts w:ascii="Times New Roman" w:cs="Times New Roman" w:eastAsia="Times New Roman" w:hAnsi="Times New Roman"/>
          <w:sz w:val="18"/>
          <w:szCs w:val="18"/>
          <w:color w:val="auto"/>
        </w:rPr>
        <w:t>Our declaration of trust allows our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take the following actions without approval by any shareholder:</w:t>
      </w:r>
    </w:p>
    <w:p>
      <w:pPr>
        <w:spacing w:after="0" w:line="64" w:lineRule="exact"/>
        <w:rPr>
          <w:sz w:val="20"/>
          <w:szCs w:val="20"/>
          <w:color w:val="auto"/>
        </w:rPr>
      </w:pPr>
    </w:p>
    <w:p>
      <w:pPr>
        <w:ind w:left="1080" w:right="6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 or reclassify any authorized but unissued common shares or preferred shares into one or more classes or series of shares of beneficial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total number of shares of beneficial interest authorized;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there are any laws or stock exchange rules which require us to obtain shareholder approval in order for us to take these actions, however, we will contact our shareholders to solicit that approval.</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 of the Company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8"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Each outstanding common share owned by a shareholder entitles that holder to one vote on all matters submitted to a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of Company Shares,” below. There is no cumulative voting in the election of trustees, which means that, under Maryland law and our bylaws, the holders of a majority of all of the votes cast at a meeting of shareholders duly called and at which a quorum is present can elect a trustee. The holders of the remaining shares will not be able to elect any trustees.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holder of common shares, you will not have any right to:</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your shares into any other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funds set aside for future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repurchase your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1" w:lineRule="exact"/>
        <w:rPr>
          <w:sz w:val="20"/>
          <w:szCs w:val="20"/>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trustees in any election in which the number of nominees exceeds the number of trustees to be elected (which requires a plurality of all the votes cast at a meeting of our shareholders at which a quorum is present);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85"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under Maryland law, 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85"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as a real estate investment trust under Maryland REIT Law or the Code;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7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Preemptive Rights. </w:t>
      </w:r>
      <w:r>
        <w:rPr>
          <w:rFonts w:ascii="Times New Roman" w:cs="Times New Roman" w:eastAsia="Times New Roman" w:hAnsi="Times New Roman"/>
          <w:sz w:val="18"/>
          <w:szCs w:val="18"/>
          <w:color w:val="auto"/>
        </w:rPr>
        <w:t>Under our declaration of trust, no holder of shares of beneficial interest has any preemptive rights to subscribe to any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common shares are traded on the New York Stock Exchange under the trading symbol “FRT.”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common shares is Equiniti Trust Company, LLC, New York, New York.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1 Preferred Shares of the Company</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1 preferred shares, which is subject to and qualified in its entirety by reference to our declaration of trust, which sets forth the terms of the Series 1 preferred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1 preferred shares rank pari passu with the Series C preferred shares and senior to the common shares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85"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1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5.417% of the liquidation price of $25, which is equivalent to $1.35425 per annum.</w:t>
      </w:r>
    </w:p>
    <w:p>
      <w:pPr>
        <w:spacing w:after="0" w:line="171"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1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 per share, plus all accrued and unpaid dividends, before any distribution shall be made with respect to the common shares.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1 preferred shares shall have no voting rights.</w:t>
      </w:r>
    </w:p>
    <w:p>
      <w:pPr>
        <w:spacing w:after="0" w:line="225" w:lineRule="exact"/>
        <w:rPr>
          <w:sz w:val="20"/>
          <w:szCs w:val="20"/>
          <w:color w:val="auto"/>
        </w:rPr>
      </w:pPr>
    </w:p>
    <w:p>
      <w:pPr>
        <w:ind w:left="120" w:right="6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Rights. </w:t>
      </w:r>
      <w:r>
        <w:rPr>
          <w:rFonts w:ascii="Times New Roman" w:cs="Times New Roman" w:eastAsia="Times New Roman" w:hAnsi="Times New Roman"/>
          <w:sz w:val="17"/>
          <w:szCs w:val="17"/>
          <w:color w:val="auto"/>
        </w:rPr>
        <w:t>Subject to other applicable provisions within our declaration of trust pertaining to the Series 1 preferred shares, the Series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preferred shares shall be convertible, at the option of each holder, into a number of fully paid and nonassessable common shares determined by dividing</w:t>
      </w:r>
    </w:p>
    <w:p>
      <w:pPr>
        <w:spacing w:after="0" w:line="1" w:lineRule="exact"/>
        <w:rPr>
          <w:sz w:val="20"/>
          <w:szCs w:val="20"/>
          <w:color w:val="auto"/>
        </w:rPr>
      </w:pPr>
    </w:p>
    <w:p>
      <w:pPr>
        <w:ind w:left="120" w:right="780" w:hanging="4"/>
        <w:spacing w:after="0" w:line="260" w:lineRule="auto"/>
        <w:tabs>
          <w:tab w:leader="none" w:pos="4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the Series 1 preferred shares is Equiniti Trust Company, LLC, New York, New</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Preferred Shares of the Company</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Below is a brief description of the terms of the Series C preferred shares, which is subject to and qualified in its entirety by reference to our declaration of trust, which sets forth the terms of the Series C preferred shares.</w:t>
      </w:r>
    </w:p>
    <w:p>
      <w:pPr>
        <w:spacing w:after="0" w:line="15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The Series C preferred shares rank pari passu with the Series 1 preferred shares and senior to the common shares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of dividends and the distribution of assets upon our liquidation, dissolution or winding up. Our declaration of trust provides that, unless full cumulative dividends on all outstanding Series C preferred shares and any Parity Shares shall have been declared and paid or declared and set apart for payment for all past dividend periods, then no dividends, other than dividends paid solely in common shares, or options, warrants or rights to subscribe for or purchase common shares, or any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Junior Shares).</w:t>
      </w:r>
    </w:p>
    <w:p>
      <w:pPr>
        <w:spacing w:after="0" w:line="18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Each Series C preferred share is entitled to receive, when, as and if authorized by our Board of Trustees out of funds legally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that purpose, cumulative preferential dividends payable in cash at a rate of 5.000% of the liquidation price of $25,000, which is equivalent to $1,250 per annum.</w:t>
      </w:r>
    </w:p>
    <w:p>
      <w:pPr>
        <w:spacing w:after="0" w:line="171"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the holders of Series C preferred shares shall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$25,000 per share, plus all accrued and unpaid dividends, before any distribution shall be made with respect to the common shares.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The Series C preferred shares generally have no voting rights. However, if and whenever dividends payable on the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Series C preferred shares have no conversion rights.</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by the Company. </w:t>
      </w:r>
      <w:r>
        <w:rPr>
          <w:rFonts w:ascii="Times New Roman" w:cs="Times New Roman" w:eastAsia="Times New Roman" w:hAnsi="Times New Roman"/>
          <w:sz w:val="18"/>
          <w:szCs w:val="18"/>
          <w:color w:val="auto"/>
        </w:rPr>
        <w:t>The Series C preferred shares may be redeemed for cash, in whole or from time to time in part, on any date 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September 29, 2022 at the option of the Company at a price per share equal to $25,000.00 plus accrued and unpaid dividends thereon, if any, to, but excluding, the redemption date.</w:t>
      </w:r>
    </w:p>
    <w:p>
      <w:pPr>
        <w:spacing w:after="0" w:line="17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Depositary Shares. </w:t>
      </w:r>
      <w:r>
        <w:rPr>
          <w:rFonts w:ascii="Times New Roman" w:cs="Times New Roman" w:eastAsia="Times New Roman" w:hAnsi="Times New Roman"/>
          <w:sz w:val="18"/>
          <w:szCs w:val="18"/>
          <w:color w:val="auto"/>
        </w:rPr>
        <w:t>Interests in the Series C preferred shares are represented by depositary shares, which we refer to as the “Series C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Each Series C depositary share represents a 1/1000th fractional interest in a Series C preferred share. The Series C preferred shares have been deposited with Equiniti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Exchange Listing. </w:t>
      </w:r>
      <w:r>
        <w:rPr>
          <w:rFonts w:ascii="Times New Roman" w:cs="Times New Roman" w:eastAsia="Times New Roman" w:hAnsi="Times New Roman"/>
          <w:sz w:val="18"/>
          <w:szCs w:val="18"/>
          <w:color w:val="auto"/>
        </w:rPr>
        <w:t>The Series C depositary shares are traded on the New York Stock Exchange under the trading symbol “FRT-C.”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the Series C preferred shares is Equiniti Trust Company, LLC, New York, New</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York.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 of the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Preferred shares may be offered and sold from time to time, in one or more series, as authorized by the Board of Trustees.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8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You should refer to the prospectus supplement relating to the offering of any preferred shares for specific terms, including the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w:t>
      </w:r>
    </w:p>
    <w:p>
      <w:pPr>
        <w:spacing w:after="0" w:line="6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and the offering price of those preferred shares;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amounts and/or payment date(s) or method(s) of calculation of any of those terms that apply to those preferred shares;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from which dividends on those preferred shares will accumulate,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 sinking fund, if any, for the purchase or redemption of those preferred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including conditions, time(s) and the redemption price(s), if applicable,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those preferred shares on any securities exchange;</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 of those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additional federal income tax consequences applicable to those preferred shares;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direct or beneficial ownership and restrictions on transfer in addition to those described in “— Restrictions on Ownership and Transfer of Company Shares,” in each case as may be appropriate to preserve our status as a REIT.</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The terms of any preferred shares we issue through this prospectus will be set forth in articles supplementary to our declaration of trust or in an amendment to our declaration of trust. We will file the articles supplementary or any such amendment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or amendment to our declaration of trust for a complete description of all of the terms.</w:t>
      </w:r>
    </w:p>
    <w:p>
      <w:pPr>
        <w:spacing w:after="0" w:line="179"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 </w:t>
      </w:r>
      <w:r>
        <w:rPr>
          <w:rFonts w:ascii="Times New Roman" w:cs="Times New Roman" w:eastAsia="Times New Roman" w:hAnsi="Times New Roman"/>
          <w:sz w:val="18"/>
          <w:szCs w:val="18"/>
          <w:color w:val="auto"/>
        </w:rPr>
        <w:t>Unless we say otherwise in a prospectus supplement, the preferred shares offered through that supplement will,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and rights upon our liquidation, dissolution or winding up, rank:</w:t>
      </w:r>
    </w:p>
    <w:p>
      <w:pPr>
        <w:spacing w:after="0" w:line="64"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shares, and to all other equity securities ranking junior to those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ranking on a parity with the preferred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our preferred shares, the term “equity securities” does not include convertible debt securities that we may offer from time to time.</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Subject to any preferential rights of any outstanding shares or series of shares and to the provisions of our declaration of trust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of shares in excess of the ownership limitation described below under “— Restrictions on Ownership and Transfer of Company Shares,” our preferred shareholders are entitled to receive dividends, when and as authorized by our Board of Trustees, out of legally available funds.</w:t>
      </w:r>
    </w:p>
    <w:p>
      <w:pPr>
        <w:spacing w:after="0" w:line="171"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If we provide for a redemption right in a prospectus supplement, the preferred shares offered through that supplement will be subject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mandatory redemption or redemption at our option, in whole or in part, in each case upon the terms, at the times and at the redemption prices set forth in that supplement.</w:t>
      </w:r>
    </w:p>
    <w:p>
      <w:pPr>
        <w:spacing w:after="0" w:line="17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As to any liquidation preference applicable to preferred shares offered through this prospectus, the applicable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76"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Unless otherwise indicated in the applicable supplement, holders of preferred shares we issue in the future will not have any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except as may be required by applicable law or any applicable rules and regulations of the New York Stock Exchange.</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Rights. </w:t>
      </w:r>
      <w:r>
        <w:rPr>
          <w:rFonts w:ascii="Times New Roman" w:cs="Times New Roman" w:eastAsia="Times New Roman" w:hAnsi="Times New Roman"/>
          <w:sz w:val="18"/>
          <w:szCs w:val="18"/>
          <w:color w:val="auto"/>
        </w:rPr>
        <w:t>The terms and conditions, if any, upon which any series of preferred shares is convertible into common shares will be 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supplement relating to the offering of those preferred shares. These terms typically will include:</w:t>
      </w:r>
    </w:p>
    <w:p>
      <w:pPr>
        <w:spacing w:after="0" w:line="6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into which the preferred shares are convertible;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or rate (or manner of calculation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period;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whether conversion will be at the option of the holders of the preferred shares or at our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requiring an adjustment of the conversion price;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affecting conversion in the event of the redemption of that series of preferred shares.</w:t>
      </w:r>
    </w:p>
    <w:p>
      <w:pPr>
        <w:spacing w:after="0" w:line="221"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Agent and Registrar. </w:t>
      </w:r>
      <w:r>
        <w:rPr>
          <w:rFonts w:ascii="Times New Roman" w:cs="Times New Roman" w:eastAsia="Times New Roman" w:hAnsi="Times New Roman"/>
          <w:sz w:val="18"/>
          <w:szCs w:val="18"/>
          <w:color w:val="auto"/>
        </w:rPr>
        <w:t>We will identify the transfer agent and registrar for any additional series of preferred shares issued through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in a prospectus supplement.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 of Company Shares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67" w:lineRule="exact"/>
        <w:rPr>
          <w:sz w:val="20"/>
          <w:szCs w:val="20"/>
          <w:color w:val="auto"/>
        </w:rPr>
      </w:pPr>
    </w:p>
    <w:p>
      <w:pPr>
        <w:ind w:left="108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85"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REIT’s shares or beneficial interests must be owned by 100 or more persons during at least 335 days of a taxable year of 12 months or during a proportionate part of a shorter taxable year.</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shares (which includes any common shares and our preferred shares). In this prospectus, the term “ownership limitation” is used to describe this provision of our declaration of trust.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any person owning, directly or indirectly, shares in excess of the ownership limitation;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us to own, directly or constructively, 10% or more of the ownership interests in a tenant of our real property (within the meaning of Section 856(d)(2)(B) of the Code);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results in our failure to qualify as a REIT.</w:t>
      </w:r>
    </w:p>
    <w:p>
      <w:pPr>
        <w:spacing w:after="0" w:line="221" w:lineRule="exact"/>
        <w:rPr>
          <w:sz w:val="20"/>
          <w:szCs w:val="20"/>
          <w:color w:val="auto"/>
        </w:rPr>
      </w:pPr>
    </w:p>
    <w:p>
      <w:pPr>
        <w:ind w:left="120" w:right="4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Automatic Transfer of Shares to Trust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certain exceptions described below, if any purported transfer of shares would violate 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described in the immediately preceding paragraph, then the transfer will be null and void, and those shares will be</w:t>
      </w:r>
    </w:p>
    <w:p>
      <w:pPr>
        <w:spacing w:after="0" w:line="1"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8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8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if any, paid by the record holder for the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amount was paid for such shares (e.g., if such shares were received through a gift or devise),</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equal to the market price (which is calculated as defined in our declaration of trust) on the date the shares were received,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If a shareholder owns more than 5% of the outstanding common shares or preferred shares, then the shareholder must notify us of its share ownership by January 30 of each year.</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Depositary Shares of the Company</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We may issue depositary shares, each of which will represent a fractional interest of a share of a particular series of preferred shares.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December 31, 2023, we had 6,000,000 depositary shares issued and outstanding, each representing a 1/1000th fractional interest in a Series C preferred share. See “—Series C Preferred Shares of the Company.”</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7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Provisions. </w:t>
      </w:r>
      <w:r>
        <w:rPr>
          <w:rFonts w:ascii="Times New Roman" w:cs="Times New Roman" w:eastAsia="Times New Roman" w:hAnsi="Times New Roman"/>
          <w:sz w:val="18"/>
          <w:szCs w:val="18"/>
          <w:color w:val="auto"/>
        </w:rPr>
        <w:t>If you are a “record holder” (as defined below) of depositary receipts and we pay a cash dividend or other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58"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Withdrawal of Preferred Shares. </w:t>
      </w:r>
      <w:r>
        <w:rPr>
          <w:rFonts w:ascii="Times New Roman" w:cs="Times New Roman" w:eastAsia="Times New Roman" w:hAnsi="Times New Roman"/>
          <w:sz w:val="18"/>
          <w:szCs w:val="18"/>
          <w:color w:val="auto"/>
        </w:rPr>
        <w:t>If you surrender your depositary receipts, the depositary will be required to deliver certificates to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Depositary Shares. </w:t>
      </w:r>
      <w:r>
        <w:rPr>
          <w:rFonts w:ascii="Times New Roman" w:cs="Times New Roman" w:eastAsia="Times New Roman" w:hAnsi="Times New Roman"/>
          <w:sz w:val="18"/>
          <w:szCs w:val="18"/>
          <w:color w:val="auto"/>
        </w:rPr>
        <w:t>If we redeem a series of preferred shares represented by depositary receipts, the depositary will redeem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3" w:lineRule="exact"/>
        <w:rPr>
          <w:sz w:val="20"/>
          <w:szCs w:val="20"/>
          <w:color w:val="auto"/>
        </w:rPr>
      </w:pPr>
    </w:p>
    <w:p>
      <w:pPr>
        <w:ind w:left="120"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the Preferred Shares. </w:t>
      </w:r>
      <w:r>
        <w:rPr>
          <w:rFonts w:ascii="Times New Roman" w:cs="Times New Roman" w:eastAsia="Times New Roman" w:hAnsi="Times New Roman"/>
          <w:sz w:val="18"/>
          <w:szCs w:val="18"/>
          <w:color w:val="auto"/>
        </w:rPr>
        <w:t>When the depositary receives notice of any meeting at which the holders of preferred shares are entitled to vote,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will mail information contained in the notice to you as a record holder of the depositary shares relating to the preferred shares. As a record holder of the depositary shares on the</w:t>
      </w: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5" w:lineRule="exact"/>
        <w:rPr>
          <w:sz w:val="20"/>
          <w:szCs w:val="20"/>
          <w:color w:val="auto"/>
        </w:rPr>
      </w:pPr>
    </w:p>
    <w:p>
      <w:pPr>
        <w:ind w:left="120" w:right="3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our liquidation, dissolution or winding up, whether voluntary or involuntary, you will be entitled,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holder of depositary shares, to the fraction of the liquidation preference accorded each applicable preferred share, as has been set forth in a prospectus supplement.</w:t>
      </w:r>
    </w:p>
    <w:p>
      <w:pPr>
        <w:spacing w:after="0" w:line="17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w:t>
      </w:r>
      <w:r>
        <w:rPr>
          <w:rFonts w:ascii="Times New Roman" w:cs="Times New Roman" w:eastAsia="Times New Roman" w:hAnsi="Times New Roman"/>
          <w:sz w:val="18"/>
          <w:szCs w:val="18"/>
          <w:color w:val="auto"/>
        </w:rPr>
        <w:t>Our depositary shares, as such, are not convertible into common shares or any of our other securities or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85" w:lineRule="exact"/>
        <w:rPr>
          <w:sz w:val="20"/>
          <w:szCs w:val="20"/>
          <w:color w:val="auto"/>
        </w:rPr>
      </w:pPr>
    </w:p>
    <w:p>
      <w:pPr>
        <w:jc w:val="both"/>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and Termination of the Deposit Agreement. </w:t>
      </w:r>
      <w:r>
        <w:rPr>
          <w:rFonts w:ascii="Times New Roman" w:cs="Times New Roman" w:eastAsia="Times New Roman" w:hAnsi="Times New Roman"/>
          <w:sz w:val="18"/>
          <w:szCs w:val="18"/>
          <w:color w:val="auto"/>
        </w:rPr>
        <w:t>We and the depositary may amend the form of depositary receipt and any provision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redeem all outstanding depositary shares;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preferred share to which the depositary shares and agreement relate shall have been converted into shares of beneficial interest not represented by depositary shares.</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Resignation and Removal of Depositary. </w:t>
      </w:r>
      <w:r>
        <w:rPr>
          <w:rFonts w:ascii="Times New Roman" w:cs="Times New Roman" w:eastAsia="Times New Roman" w:hAnsi="Times New Roman"/>
          <w:sz w:val="17"/>
          <w:szCs w:val="17"/>
          <w:color w:val="auto"/>
        </w:rPr>
        <w:t>The depositary may resign at any time by delivering a notice to us of its election to do so. Additionally,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6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of Depositary. </w:t>
      </w:r>
      <w:r>
        <w:rPr>
          <w:rFonts w:ascii="Times New Roman" w:cs="Times New Roman" w:eastAsia="Times New Roman" w:hAnsi="Times New Roman"/>
          <w:sz w:val="18"/>
          <w:szCs w:val="18"/>
          <w:color w:val="auto"/>
        </w:rPr>
        <w:t>We will pay all transfer and other taxes and governmental charges arising solely from the existence of the depositary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6"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Miscellaneous. </w:t>
      </w:r>
      <w:r>
        <w:rPr>
          <w:rFonts w:ascii="Times New Roman" w:cs="Times New Roman" w:eastAsia="Times New Roman" w:hAnsi="Times New Roman"/>
          <w:sz w:val="18"/>
          <w:szCs w:val="18"/>
          <w:color w:val="auto"/>
        </w:rPr>
        <w:t>The depositary will forward to you all reports and communications from us that we are required, or otherwise determine,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7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 that may be offered by Federal Realty Investment Trust</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Share Purchase Contracts</w:t>
      </w:r>
      <w:r>
        <w:rPr>
          <w:rFonts w:ascii="Times New Roman" w:cs="Times New Roman" w:eastAsia="Times New Roman" w:hAnsi="Times New Roman"/>
          <w:sz w:val="18"/>
          <w:szCs w:val="18"/>
          <w:color w:val="auto"/>
        </w:rPr>
        <w:t>. We may issue share purchase contracts, which are contracts obligating holders to purchase from or sell to us,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obligating us to purchase from or sell to the holders, a specified number of our common shares of beneficial interest or preferred shares of beneficial interest at a future date or dates. If we offer share purchase contracts, we will describe the terms in a prospectus supplement. Share purchase contracts may be offered independently, together with other securities offered by any prospectus supplement, or through a dividend or other distribution to shareholders and may be attached to or separate from other securities. The price per common share of beneficial interest or preferred share of beneficial interest may be fixed at the time the share purchase contracts are issued or may be determined by reference to a specific formula contained in the share purchase contracts. We may issue share purchase contracts in such amounts and in as many distinct series as we wish.</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share purchase contract terms that could be described in a prospectus supplement:</w:t>
      </w:r>
    </w:p>
    <w:p>
      <w:pPr>
        <w:spacing w:after="0" w:line="131" w:lineRule="exact"/>
        <w:rPr>
          <w:sz w:val="20"/>
          <w:szCs w:val="20"/>
          <w:color w:val="auto"/>
        </w:rPr>
      </w:pPr>
    </w:p>
    <w:p>
      <w:pPr>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obligate the holder to purchase or sell, or both purchase and sell, common shares of beneficial interest or preferred shares of beneficial interest and the nature and amount of common shares of beneficial interest or preferred shares of beneficial interest, or the method of determining that amount;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are to be settled by delivery, or by reference or linkage to the value, performance or level of our common shares of beneficial interest or preferred shares of beneficial interest;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share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share purchase contracts;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 purchase contracts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 that may be offered by Federal Realty Investment Trust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may issue warrants for the purchase of common shares, preferred shares or depositary shares representing interests in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If we offer warrants, we will describe the terms in a prospectus 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 will be issued;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preferred shares or depositary shares representing interests in preferred shares that may be purchased on exercise of the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each security purchasable on exercise of the warrant may be purchased;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purchase the securities purchasable on exercise of the warrant will begin and end;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number of securities that may be purchased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warrant terms, including terms relating to transferability, exchange or exercise of the warrant.</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Guarantees that may be offered by Federal Realty Investment Trust</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guarantee (either fully or unconditionally or in a limited manner) the due and punctual payment of the principal of, and any premium and interest on, one or more classes or series of debt securities of the Partnership, whether at maturity, by acceleration, redemption, repayment or otherwise, in accordance with the terms of such guarantee and the applicable indenture. In case of the failure of the Partnership punctually to pay any principal, premium or interest on any guaranteed debt security, we will cause any such payment to be made as it becomes due and payable, whether at maturity, upon acceleration, redemption, repayment or otherwise, and as if such payment were made by the Partnership. The particular terms of the guarantee, if any, will be set forth in a prospectus supplement relating to the guaranteed debt securities.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 that may be offered by Federal Realty Investment Trust</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issue units from time to time in such amounts and in as many distinct series as we determine. We will issue each series of units under a unit agreement to be entered into between us and a unit agent to be identified in the applicable prospectus supplement. When we refer to a series of units, we mean all units issued as part of the same series under the applicable unit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two or more securities described in this prospectus. Each unit will be issued so that the holder of the unit is also the holder of each security included in the unit. Thus, the holder of a unit will have the rights and obligations of a holder of each included security. These units may be issuable as, and for a specified period of time may be transferable as, a single security only, rather than as the separate constituent securities comprising such units.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some of the unit terms that could be described in a prospectus supplement:</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any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and the price at which we will issue, the units and any provisions for the issuance, payment, settlement, transfer or exchange of the units or of the securities comprising the units;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to be entered into between us and a bank or trust company, as unit agent, governing the units;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U.S. federal income tax considerations applicable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listed on any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our Declaration of Trust and Bylaws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summary of certain provisions of the Maryland General Corporation Law and our declaration of trust and bylaws is not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read the Maryland General Corporation Law and our declaration of trust and bylaws for more complete information.</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of Company Shares” and the supermajority voting rights described under “— Common Shares of the Company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Maryland law, as set forth in the Maryland General Corporation Law, limits our ability to enter into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6" w:lineRule="exact"/>
        <w:rPr>
          <w:sz w:val="20"/>
          <w:szCs w:val="20"/>
          <w:color w:val="auto"/>
        </w:rPr>
      </w:pPr>
    </w:p>
    <w:p>
      <w:pPr>
        <w:ind w:left="5540" w:right="2500" w:hanging="4884"/>
        <w:spacing w:after="0" w:line="454" w:lineRule="auto"/>
        <w:tabs>
          <w:tab w:leader="none" w:pos="10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 or more of the voting power of our outstanding voting shares; or 16</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6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may engage in business combinations with an interested shareholder if at least five years have passed since the person became an interested shareholder, but only if the transaction is:</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our Board of Trustees;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at least,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our outstanding shares entitled to vote;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58"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Control Share Acquisitions. </w:t>
      </w:r>
      <w:r>
        <w:rPr>
          <w:rFonts w:ascii="Times New Roman" w:cs="Times New Roman" w:eastAsia="Times New Roman" w:hAnsi="Times New Roman"/>
          <w:sz w:val="18"/>
          <w:szCs w:val="18"/>
          <w:color w:val="auto"/>
        </w:rPr>
        <w:t>Our bylaws exempt acquisitions of our shares of beneficial interest by any person from “control share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2"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Duties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Maryland law, there is a presumption that the act of a trustee satisfies the required standard of care. An act of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Trustees. </w:t>
      </w:r>
      <w:r>
        <w:rPr>
          <w:rFonts w:ascii="Times New Roman" w:cs="Times New Roman" w:eastAsia="Times New Roman" w:hAnsi="Times New Roman"/>
          <w:sz w:val="18"/>
          <w:szCs w:val="18"/>
          <w:color w:val="auto"/>
        </w:rPr>
        <w:t>The number of trustees may be increased or decreased pursuant to the bylaws, provided that the total number of trustees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less than five or more than 10. Under Maryland law and our declaration of trust, trustees are elected for one-year terms.</w:t>
      </w:r>
    </w:p>
    <w:p>
      <w:pPr>
        <w:spacing w:after="0" w:line="155" w:lineRule="exact"/>
        <w:rPr>
          <w:sz w:val="20"/>
          <w:szCs w:val="20"/>
          <w:color w:val="auto"/>
        </w:rPr>
      </w:pPr>
    </w:p>
    <w:p>
      <w:pPr>
        <w:jc w:val="both"/>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Removal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declaration of trust, and subject to the rights of any holders of preferred shares, our trustees may remove a trustee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0" w:lineRule="exact"/>
        <w:rPr>
          <w:sz w:val="20"/>
          <w:szCs w:val="20"/>
          <w:color w:val="auto"/>
        </w:rPr>
      </w:pPr>
    </w:p>
    <w:p>
      <w:pPr>
        <w:ind w:left="1080" w:right="2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Vacancies on the Board of Trustees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bylaws provide that, subject to the rights of any holders of preferred shares, any vacancy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76" w:lineRule="exact"/>
        <w:rPr>
          <w:sz w:val="20"/>
          <w:szCs w:val="20"/>
          <w:color w:val="auto"/>
        </w:rPr>
      </w:pPr>
    </w:p>
    <w:p>
      <w:pPr>
        <w:ind w:left="120" w:right="2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Meetings of Shareholders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provide for an annual meeting of shareholders, to be held in May after delivery of the annual report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2" w:lineRule="exact"/>
        <w:rPr>
          <w:sz w:val="20"/>
          <w:szCs w:val="20"/>
          <w:color w:val="auto"/>
        </w:rPr>
      </w:pPr>
    </w:p>
    <w:p>
      <w:pPr>
        <w:ind w:left="120" w:firstLine="4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Advance Notice for Shareholder Nominations and Shareholder New Business Proposals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bylaws require advance written notice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earlier than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203" w:lineRule="exact"/>
        <w:rPr>
          <w:sz w:val="20"/>
          <w:szCs w:val="20"/>
          <w:color w:val="auto"/>
        </w:rPr>
      </w:pPr>
    </w:p>
    <w:p>
      <w:pPr>
        <w:ind w:left="120" w:right="80" w:firstLine="440"/>
        <w:spacing w:after="0" w:line="232" w:lineRule="auto"/>
        <w:rPr>
          <w:sz w:val="20"/>
          <w:szCs w:val="20"/>
          <w:color w:val="auto"/>
        </w:rPr>
      </w:pPr>
      <w:r>
        <w:rPr>
          <w:rFonts w:ascii="Times New Roman" w:cs="Times New Roman" w:eastAsia="Times New Roman" w:hAnsi="Times New Roman"/>
          <w:sz w:val="17"/>
          <w:szCs w:val="17"/>
          <w:color w:val="auto"/>
        </w:rPr>
        <w:t>For a special meeting, to nominate a trustee, a shareholder must deliver notice to our Secretary not earlier that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special meeting or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20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that we will include in our proxy statement for any annual meeting individuals nominated to stand for election to our Board of Trustees by any shareholder or group of up to 20 shareholders who have owned at least three percent of our outstanding common shares of beneficial interest for at least three years. The number of potential nominees shareholders can submit for any annual meeting is limited to the greater of two nominees or 20% of the total number of trustees on the board. Proxy access is subject to procedural and other conditions and requirements as described more fully in our bylaws.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Liability and Indemnification. </w:t>
      </w:r>
      <w:r>
        <w:rPr>
          <w:rFonts w:ascii="Times New Roman" w:cs="Times New Roman" w:eastAsia="Times New Roman" w:hAnsi="Times New Roman"/>
          <w:sz w:val="18"/>
          <w:szCs w:val="18"/>
          <w:color w:val="auto"/>
        </w:rPr>
        <w:t>Under Maryland law, you will not be personally liable for any obligation of ours solely because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76"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Limitation of Liability of Trustees and Officers. Our declaration of trust, to the maximum extent permitted under Maryland law in effect from 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86"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proved that the trustee or officer actually received an improper benefit or profit in money, property or services;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72" w:lineRule="exact"/>
        <w:rPr>
          <w:sz w:val="20"/>
          <w:szCs w:val="20"/>
          <w:color w:val="auto"/>
        </w:rPr>
      </w:pPr>
    </w:p>
    <w:p>
      <w:pPr>
        <w:jc w:val="both"/>
        <w:ind w:left="120" w:right="3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Officers. </w:t>
      </w:r>
      <w:r>
        <w:rPr>
          <w:rFonts w:ascii="Times New Roman" w:cs="Times New Roman" w:eastAsia="Times New Roman" w:hAnsi="Times New Roman"/>
          <w:sz w:val="18"/>
          <w:szCs w:val="18"/>
          <w:color w:val="auto"/>
        </w:rPr>
        <w:t>Our declaration of trust permits us to indemnify and advance expenses to, to the maximum extent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 THAT MAY BE OFFERED BY FEDERAL REALTY OP LP</w:t>
      </w:r>
    </w:p>
    <w:p>
      <w:pPr>
        <w:spacing w:after="0" w:line="227" w:lineRule="exact"/>
        <w:rPr>
          <w:sz w:val="20"/>
          <w:szCs w:val="20"/>
          <w:color w:val="auto"/>
        </w:rPr>
      </w:pPr>
    </w:p>
    <w:p>
      <w:pPr>
        <w:ind w:left="120"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section to “we,” “us,” “our” and “ours” refer only to Federal Realty OP LP and not to the Company unless the context requires otherwise.</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general, direct and unsecured obligations;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may incur additional debt, subject to limitations in the agreements governing our credit and other debt facilities and other notes we may have issued.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we say otherwise in a prospectus supplement:</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we offer through this prospectus will not limit the amount of other debt that we may incur;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list the debt securities on any securities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Indentures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debt securities we offer through this prospectus will be issued under one or more indentures, including the senior indenture between us and U.S. Bank Trust Company,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does not or will not include all the terms of debt securities we may issue through this prospectus. If we issue debt securities through this prospectus, the Board of Trustees of the Company, or any committee thereof, will establish the additional terms for each class or series of debt securities. The additional terms will be either established pursuant to, and set forth in, a supplemental indenture, or established pursuant to a resolution of the Board of Trustees of the Company,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Terms of Debt Securities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described above, the terms of a particular class or series of debt securities we offer through this prospectus will be established by the Board of Trustees of the Company, or any committee thereof, when we issue the class or series. We will describe the terms of the class or series in a prospectus supplement. Unless we say otherwise in a prospectus supplement, each indenture provides or will provide that the terms that may be established include the following:</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Title. </w:t>
      </w:r>
      <w:r>
        <w:rPr>
          <w:rFonts w:ascii="Times New Roman" w:cs="Times New Roman" w:eastAsia="Times New Roman" w:hAnsi="Times New Roman"/>
          <w:sz w:val="18"/>
          <w:szCs w:val="18"/>
          <w:color w:val="auto"/>
        </w:rPr>
        <w:t>The title of the debt securities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Amount. </w:t>
      </w:r>
      <w:r>
        <w:rPr>
          <w:rFonts w:ascii="Times New Roman" w:cs="Times New Roman" w:eastAsia="Times New Roman" w:hAnsi="Times New Roman"/>
          <w:sz w:val="18"/>
          <w:szCs w:val="18"/>
          <w:color w:val="auto"/>
        </w:rPr>
        <w:t>Any limit upon the total principal amount of the class or series of debt securities offered.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Maturity. </w:t>
      </w:r>
      <w:r>
        <w:rPr>
          <w:rFonts w:ascii="Times New Roman" w:cs="Times New Roman" w:eastAsia="Times New Roman" w:hAnsi="Times New Roman"/>
          <w:sz w:val="18"/>
          <w:szCs w:val="18"/>
          <w:color w:val="auto"/>
        </w:rPr>
        <w:t>The date or dates on which the principal of and premium, if any, on the offered debt securities will mature or the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such date or dates.</w:t>
      </w:r>
    </w:p>
    <w:p>
      <w:pPr>
        <w:spacing w:after="0" w:line="60" w:lineRule="exact"/>
        <w:rPr>
          <w:rFonts w:ascii="Times New Roman" w:cs="Times New Roman" w:eastAsia="Times New Roman" w:hAnsi="Times New Roman"/>
          <w:sz w:val="18"/>
          <w:szCs w:val="18"/>
          <w:color w:val="auto"/>
        </w:rPr>
      </w:pPr>
    </w:p>
    <w:p>
      <w:pPr>
        <w:ind w:left="108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Rate. </w:t>
      </w:r>
      <w:r>
        <w:rPr>
          <w:rFonts w:ascii="Times New Roman" w:cs="Times New Roman" w:eastAsia="Times New Roman" w:hAnsi="Times New Roman"/>
          <w:sz w:val="18"/>
          <w:szCs w:val="18"/>
          <w:color w:val="auto"/>
        </w:rPr>
        <w:t>The rate or rates (which may be fixed or variable) at which the offered debt securities will bear interest, if any, or the method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calculating such rate or rates.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Accrual. </w:t>
      </w:r>
      <w:r>
        <w:rPr>
          <w:rFonts w:ascii="Times New Roman" w:cs="Times New Roman" w:eastAsia="Times New Roman" w:hAnsi="Times New Roman"/>
          <w:sz w:val="18"/>
          <w:szCs w:val="18"/>
          <w:color w:val="auto"/>
        </w:rPr>
        <w:t>The date or dates from which interest will accrue or the method by which such date or dates will be determined.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Interest Payment Dates. </w:t>
      </w:r>
      <w:r>
        <w:rPr>
          <w:rFonts w:ascii="Times New Roman" w:cs="Times New Roman" w:eastAsia="Times New Roman" w:hAnsi="Times New Roman"/>
          <w:sz w:val="18"/>
          <w:szCs w:val="18"/>
          <w:color w:val="auto"/>
        </w:rPr>
        <w:t>The date or dates on which interest will be payable and the record date or dates to determine the persons who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payment, and the basis upon which interest shall be calculated if other than that of a 360-day year of twelve 30-day months.</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Place of Payment. </w:t>
      </w:r>
      <w:r>
        <w:rPr>
          <w:rFonts w:ascii="Times New Roman" w:cs="Times New Roman" w:eastAsia="Times New Roman" w:hAnsi="Times New Roman"/>
          <w:sz w:val="18"/>
          <w:szCs w:val="18"/>
          <w:color w:val="auto"/>
        </w:rPr>
        <w:t>The place or places where principal of, premium, if any, and interest, on the offered debt securities will be payable 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offered debt securities may be surrendered for registration of transfer or exchange.</w:t>
      </w:r>
    </w:p>
    <w:p>
      <w:pPr>
        <w:spacing w:after="0" w:line="60" w:lineRule="exact"/>
        <w:rPr>
          <w:rFonts w:ascii="Times New Roman" w:cs="Times New Roman" w:eastAsia="Times New Roman" w:hAnsi="Times New Roman"/>
          <w:sz w:val="18"/>
          <w:szCs w:val="18"/>
          <w:color w:val="auto"/>
        </w:rPr>
      </w:pPr>
    </w:p>
    <w:p>
      <w:pPr>
        <w:ind w:left="1080" w:right="280" w:hanging="424"/>
        <w:spacing w:after="0" w:line="26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Optional Redemption. </w:t>
      </w:r>
      <w:r>
        <w:rPr>
          <w:rFonts w:ascii="Times New Roman" w:cs="Times New Roman" w:eastAsia="Times New Roman" w:hAnsi="Times New Roman"/>
          <w:sz w:val="18"/>
          <w:szCs w:val="18"/>
          <w:color w:val="auto"/>
        </w:rPr>
        <w:t>The period or periods within which, the price or prices at which, the currency or currencies (if other than in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76" w:lineRule="exact"/>
        <w:rPr>
          <w:rFonts w:ascii="Times New Roman" w:cs="Times New Roman" w:eastAsia="Times New Roman" w:hAnsi="Times New Roman"/>
          <w:sz w:val="18"/>
          <w:szCs w:val="18"/>
          <w:color w:val="auto"/>
        </w:rPr>
      </w:pPr>
    </w:p>
    <w:p>
      <w:pPr>
        <w:ind w:left="1080" w:right="140" w:hanging="424"/>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Mandatory Redemption. </w:t>
      </w:r>
      <w:r>
        <w:rPr>
          <w:rFonts w:ascii="Times New Roman" w:cs="Times New Roman" w:eastAsia="Times New Roman" w:hAnsi="Times New Roman"/>
          <w:sz w:val="18"/>
          <w:szCs w:val="18"/>
          <w:color w:val="auto"/>
        </w:rPr>
        <w:t>The obligation, if any, we have to redeem or repurchase the offered debt securities pursuant to any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The denominations in which the offered debt securities are authorized to be issued.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Currency. </w:t>
      </w:r>
      <w:r>
        <w:rPr>
          <w:rFonts w:ascii="Times New Roman" w:cs="Times New Roman" w:eastAsia="Times New Roman" w:hAnsi="Times New Roman"/>
          <w:sz w:val="18"/>
          <w:szCs w:val="18"/>
          <w:color w:val="auto"/>
        </w:rPr>
        <w:t>The currency or currency unit in which the offered debt securities may be denominated and/or the currency or currencies,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Indexed Principal. </w:t>
      </w:r>
      <w:r>
        <w:rPr>
          <w:rFonts w:ascii="Times New Roman" w:cs="Times New Roman" w:eastAsia="Times New Roman" w:hAnsi="Times New Roman"/>
          <w:sz w:val="18"/>
          <w:szCs w:val="18"/>
          <w:color w:val="auto"/>
        </w:rPr>
        <w:t>If the amount of principal of, or premium, if any, or interest on, the offered debt securities may be determined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reference to an index or pursuant to a formula or other method, the manner in which such amounts will be determined.</w:t>
      </w:r>
    </w:p>
    <w:p>
      <w:pPr>
        <w:spacing w:after="0" w:line="6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 on Acceleration. </w:t>
      </w:r>
      <w:r>
        <w:rPr>
          <w:rFonts w:ascii="Times New Roman" w:cs="Times New Roman" w:eastAsia="Times New Roman" w:hAnsi="Times New Roman"/>
          <w:sz w:val="18"/>
          <w:szCs w:val="18"/>
          <w:color w:val="auto"/>
        </w:rPr>
        <w:t>If other than the principal amount, the amount which will be payable upon declaration of the acceleration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maturity or the method by which such portion shall be determined.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Rights. </w:t>
      </w:r>
      <w:r>
        <w:rPr>
          <w:rFonts w:ascii="Times New Roman" w:cs="Times New Roman" w:eastAsia="Times New Roman" w:hAnsi="Times New Roman"/>
          <w:sz w:val="18"/>
          <w:szCs w:val="18"/>
          <w:color w:val="auto"/>
        </w:rPr>
        <w:t>Provisions, if any, granting special rights to the holders of the offered debt securities if certain specified events occur.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Modifications to Indentures. </w:t>
      </w:r>
      <w:r>
        <w:rPr>
          <w:rFonts w:ascii="Times New Roman" w:cs="Times New Roman" w:eastAsia="Times New Roman" w:hAnsi="Times New Roman"/>
          <w:sz w:val="18"/>
          <w:szCs w:val="18"/>
          <w:color w:val="auto"/>
        </w:rPr>
        <w:t>Any addition to, or modification or deletion of, any event of default or any of the covenants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indenture with respect to the offered debt securities.</w:t>
      </w:r>
    </w:p>
    <w:p>
      <w:pPr>
        <w:spacing w:after="0" w:line="60" w:lineRule="exact"/>
        <w:rPr>
          <w:rFonts w:ascii="Times New Roman" w:cs="Times New Roman" w:eastAsia="Times New Roman" w:hAnsi="Times New Roman"/>
          <w:sz w:val="18"/>
          <w:szCs w:val="18"/>
          <w:color w:val="auto"/>
        </w:rPr>
      </w:pPr>
    </w:p>
    <w:p>
      <w:pPr>
        <w:ind w:left="1080" w:right="146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Tax “Gross-Up.” </w:t>
      </w:r>
      <w:r>
        <w:rPr>
          <w:rFonts w:ascii="Times New Roman" w:cs="Times New Roman" w:eastAsia="Times New Roman" w:hAnsi="Times New Roman"/>
          <w:sz w:val="18"/>
          <w:szCs w:val="18"/>
          <w:color w:val="auto"/>
        </w:rPr>
        <w:t>The circumstances, if any, under which we will pay additional amounts on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by non-U.S. persons for taxes, assessments or similar charges.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Whether the offered debt securities will be issued in registered or bearer form or both.</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Dates of Certificates. </w:t>
      </w:r>
      <w:r>
        <w:rPr>
          <w:rFonts w:ascii="Times New Roman" w:cs="Times New Roman" w:eastAsia="Times New Roman" w:hAnsi="Times New Roman"/>
          <w:sz w:val="18"/>
          <w:szCs w:val="18"/>
          <w:color w:val="auto"/>
        </w:rPr>
        <w:t>The date as of which any offered debt securities in bearer form and any temporary global security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securities are dated, if other than the original issuance date of the offered debt securities.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Forms. </w:t>
      </w:r>
      <w:r>
        <w:rPr>
          <w:rFonts w:ascii="Times New Roman" w:cs="Times New Roman" w:eastAsia="Times New Roman" w:hAnsi="Times New Roman"/>
          <w:sz w:val="18"/>
          <w:szCs w:val="18"/>
          <w:color w:val="auto"/>
        </w:rPr>
        <w:t>The forms of the securities and interest coupons, if any, of the class or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Registrar and Paying Agent. </w:t>
      </w:r>
      <w:r>
        <w:rPr>
          <w:rFonts w:ascii="Times New Roman" w:cs="Times New Roman" w:eastAsia="Times New Roman" w:hAnsi="Times New Roman"/>
          <w:sz w:val="18"/>
          <w:szCs w:val="18"/>
          <w:color w:val="auto"/>
        </w:rPr>
        <w:t>If other than the trustee under the applicable indenture, the identity of the registrar and any paying agent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debt securities.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Any means of defeasance or covenant defeasance that may be specified for the offered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Securities. </w:t>
      </w:r>
      <w:r>
        <w:rPr>
          <w:rFonts w:ascii="Times New Roman" w:cs="Times New Roman" w:eastAsia="Times New Roman" w:hAnsi="Times New Roman"/>
          <w:sz w:val="18"/>
          <w:szCs w:val="18"/>
          <w:color w:val="auto"/>
        </w:rPr>
        <w:t>Whether the offered debt securities are to be issued in whole or in part in the form of one or more temporary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81"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Documentation. </w:t>
      </w:r>
      <w:r>
        <w:rPr>
          <w:rFonts w:ascii="Times New Roman" w:cs="Times New Roman" w:eastAsia="Times New Roman" w:hAnsi="Times New Roman"/>
          <w:sz w:val="18"/>
          <w:szCs w:val="18"/>
          <w:color w:val="auto"/>
        </w:rPr>
        <w:t>If the offered debt securities may be issued or delivered, or any installment of principal or interest may be paid, only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76"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Payees. </w:t>
      </w:r>
      <w:r>
        <w:rPr>
          <w:rFonts w:ascii="Times New Roman" w:cs="Times New Roman" w:eastAsia="Times New Roman" w:hAnsi="Times New Roman"/>
          <w:sz w:val="18"/>
          <w:szCs w:val="18"/>
          <w:color w:val="auto"/>
        </w:rPr>
        <w:t>If other than as provided in the applicable indenture, the person to whom any interest on any registered security of the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will be payable and the manner in which, or the person to whom, any interest on any bearer securities of the class or series will be payable.</w:t>
      </w:r>
    </w:p>
    <w:p>
      <w:pPr>
        <w:spacing w:after="0" w:line="76" w:lineRule="exact"/>
        <w:rPr>
          <w:rFonts w:ascii="Times New Roman" w:cs="Times New Roman" w:eastAsia="Times New Roman" w:hAnsi="Times New Roman"/>
          <w:sz w:val="18"/>
          <w:szCs w:val="18"/>
          <w:color w:val="auto"/>
        </w:rPr>
      </w:pPr>
    </w:p>
    <w:p>
      <w:pPr>
        <w:ind w:left="1080" w:right="200" w:hanging="424"/>
        <w:spacing w:after="0" w:line="26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Any definitions for the offered debt securities of that class or series that are different from or in addition to the definitions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in the applicable indenture, including, without limitation, the definition of “unrestricted subsidiary” to be used for such class or series.</w:t>
      </w:r>
    </w:p>
    <w:p>
      <w:pPr>
        <w:spacing w:after="0" w:line="76" w:lineRule="exact"/>
        <w:rPr>
          <w:rFonts w:ascii="Times New Roman" w:cs="Times New Roman" w:eastAsia="Times New Roman" w:hAnsi="Times New Roman"/>
          <w:sz w:val="18"/>
          <w:szCs w:val="18"/>
          <w:color w:val="auto"/>
        </w:rPr>
      </w:pPr>
    </w:p>
    <w:p>
      <w:pPr>
        <w:ind w:left="1080" w:hanging="424"/>
        <w:spacing w:after="0" w:line="26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Subordination. </w:t>
      </w:r>
      <w:r>
        <w:rPr>
          <w:rFonts w:ascii="Times New Roman" w:cs="Times New Roman" w:eastAsia="Times New Roman" w:hAnsi="Times New Roman"/>
          <w:sz w:val="18"/>
          <w:szCs w:val="18"/>
          <w:color w:val="auto"/>
        </w:rPr>
        <w:t>In the case of any subordinated indenture that we may enter into, the relative degree to which the offered debt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senior to or junior to other debt securities, whether currently outstanding or to be offered in the future, and to other debt, in right of payment.</w:t>
      </w:r>
    </w:p>
    <w:p>
      <w:pPr>
        <w:spacing w:after="0" w:line="76" w:lineRule="exact"/>
        <w:rPr>
          <w:rFonts w:ascii="Times New Roman" w:cs="Times New Roman" w:eastAsia="Times New Roman" w:hAnsi="Times New Roman"/>
          <w:sz w:val="18"/>
          <w:szCs w:val="18"/>
          <w:color w:val="auto"/>
        </w:rPr>
      </w:pPr>
    </w:p>
    <w:p>
      <w:pPr>
        <w:ind w:left="1080" w:right="520" w:hanging="424"/>
        <w:spacing w:after="0" w:line="28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Whether the offered debt securities are guaranteed and, if so, the identity of the guarantors and the terms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guarantees (including whether and the extent to which the guarantees are subordinated to other debt of the guarantors).</w:t>
      </w:r>
    </w:p>
    <w:p>
      <w:pPr>
        <w:spacing w:after="0" w:line="60" w:lineRule="exact"/>
        <w:rPr>
          <w:rFonts w:ascii="Times New Roman" w:cs="Times New Roman" w:eastAsia="Times New Roman" w:hAnsi="Times New Roman"/>
          <w:sz w:val="18"/>
          <w:szCs w:val="18"/>
          <w:color w:val="auto"/>
        </w:rPr>
      </w:pPr>
    </w:p>
    <w:p>
      <w:pPr>
        <w:ind w:left="1080" w:right="100" w:hanging="424"/>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The terms, if any, upon which the offered debt securities may be converted or exchanged into or for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Restrictions. </w:t>
      </w:r>
      <w:r>
        <w:rPr>
          <w:rFonts w:ascii="Times New Roman" w:cs="Times New Roman" w:eastAsia="Times New Roman" w:hAnsi="Times New Roman"/>
          <w:sz w:val="18"/>
          <w:szCs w:val="18"/>
          <w:color w:val="auto"/>
        </w:rPr>
        <w:t>Any restrictions on the registration, transfer or exchange of the offered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Terms. </w:t>
      </w:r>
      <w:r>
        <w:rPr>
          <w:rFonts w:ascii="Times New Roman" w:cs="Times New Roman" w:eastAsia="Times New Roman" w:hAnsi="Times New Roman"/>
          <w:sz w:val="18"/>
          <w:szCs w:val="18"/>
          <w:color w:val="auto"/>
        </w:rPr>
        <w:t>Any other terms not inconsistent with the terms of the applicable indenture pertaining to the offered debt securities or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or advisable under U.S. laws or regulations or advisable, as we determine, in connection with marketing of securities of the class or series.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of Securities and Related Matters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Registered or Bearer Form. </w:t>
      </w:r>
      <w:r>
        <w:rPr>
          <w:rFonts w:ascii="Times New Roman" w:cs="Times New Roman" w:eastAsia="Times New Roman" w:hAnsi="Times New Roman"/>
          <w:sz w:val="18"/>
          <w:szCs w:val="18"/>
          <w:color w:val="auto"/>
        </w:rPr>
        <w:t>Debt securities may be offered in either registered or bearer form.</w:t>
      </w:r>
    </w:p>
    <w:p>
      <w:pPr>
        <w:spacing w:after="0" w:line="135" w:lineRule="exact"/>
        <w:rPr>
          <w:sz w:val="20"/>
          <w:szCs w:val="20"/>
          <w:color w:val="auto"/>
        </w:rPr>
      </w:pPr>
    </w:p>
    <w:p>
      <w:pPr>
        <w:ind w:left="1080" w:right="5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registered form, we may treat the person named in the register as the owner of the debt securities for all purposes, including payment, exchange and transfer.</w:t>
      </w:r>
    </w:p>
    <w:p>
      <w:pPr>
        <w:spacing w:after="0" w:line="67" w:lineRule="exact"/>
        <w:rPr>
          <w:rFonts w:ascii="Times New Roman" w:cs="Times New Roman" w:eastAsia="Times New Roman" w:hAnsi="Times New Roman"/>
          <w:sz w:val="18"/>
          <w:szCs w:val="18"/>
          <w:color w:val="auto"/>
        </w:rPr>
      </w:pPr>
    </w:p>
    <w:p>
      <w:pPr>
        <w:ind w:left="1080" w:right="42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Denominations. </w:t>
      </w:r>
      <w:r>
        <w:rPr>
          <w:rFonts w:ascii="Times New Roman" w:cs="Times New Roman" w:eastAsia="Times New Roman" w:hAnsi="Times New Roman"/>
          <w:sz w:val="18"/>
          <w:szCs w:val="18"/>
          <w:color w:val="auto"/>
        </w:rPr>
        <w:t>Unless we say otherwise in a prospectus supplement, we will issue debt securities in denominations of:</w:t>
      </w:r>
    </w:p>
    <w:p>
      <w:pPr>
        <w:spacing w:after="0" w:line="13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$1,000 (or multiples of $1,000) if we issue the debt securities in registered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$5,000 (or multiples of $5,000) if we issue debt securities in bearer form.</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Currencies and Indexed Securities. </w:t>
      </w:r>
      <w:r>
        <w:rPr>
          <w:rFonts w:ascii="Times New Roman" w:cs="Times New Roman" w:eastAsia="Times New Roman" w:hAnsi="Times New Roman"/>
          <w:sz w:val="18"/>
          <w:szCs w:val="18"/>
          <w:color w:val="auto"/>
        </w:rPr>
        <w:t>We may offer debt securities for which:</w:t>
      </w:r>
    </w:p>
    <w:p>
      <w:pPr>
        <w:spacing w:after="0" w:line="13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payable in a currency other than U.S. dollars;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denominated in a currency other than U.S. dollars;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other currency may be a currency unit composed of various currencies. Payments on debt securities may also be based on an index.</w:t>
      </w:r>
    </w:p>
    <w:p>
      <w:pPr>
        <w:spacing w:after="0" w:line="221" w:lineRule="exact"/>
        <w:rPr>
          <w:sz w:val="20"/>
          <w:szCs w:val="20"/>
          <w:color w:val="auto"/>
        </w:rPr>
      </w:pPr>
    </w:p>
    <w:p>
      <w:pPr>
        <w:ind w:left="120" w:right="20" w:firstLine="44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Transfer and Exchange. </w:t>
      </w:r>
      <w:r>
        <w:rPr>
          <w:rFonts w:ascii="Times New Roman" w:cs="Times New Roman" w:eastAsia="Times New Roman" w:hAnsi="Times New Roman"/>
          <w:sz w:val="18"/>
          <w:szCs w:val="18"/>
          <w:color w:val="auto"/>
        </w:rPr>
        <w:t>Unless we say otherwise in a prospectus supplement, the office for paying principal, interest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on the debt securities is U.S. Bank Trust Company, National Association, 214 North Tryon Street,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Charlotte, North Carolina 28202. We will notify you of any change in the office’s location. At our option, however, we may make any interest payments on debt securities issued in registered form by:</w:t>
      </w:r>
    </w:p>
    <w:p>
      <w:pPr>
        <w:spacing w:after="0" w:line="104"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checks to you at the address as it appears in the applicable register for the class or series of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of immediately available funds to an account you maintain located in the United States.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pay interest to the person whose name is in the register at the close of business on the regular record date for such interest.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payment of interest on bearer securities may be made by transfer to an account you maintain with a bank located outside the United States.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debt securities of a class or series in the form of one or more fully registered global securities. Each registered global security will:</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a nominee for the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a custodian therefor; and</w:t>
      </w:r>
    </w:p>
    <w:p>
      <w:pPr>
        <w:spacing w:after="0" w:line="130" w:lineRule="exact"/>
        <w:rPr>
          <w:rFonts w:ascii="Times New Roman" w:cs="Times New Roman" w:eastAsia="Times New Roman" w:hAnsi="Times New Roman"/>
          <w:sz w:val="18"/>
          <w:szCs w:val="18"/>
          <w:color w:val="auto"/>
        </w:rPr>
      </w:pPr>
    </w:p>
    <w:p>
      <w:pPr>
        <w:jc w:val="center"/>
        <w:ind w:left="5540" w:right="1300" w:hanging="4884"/>
        <w:spacing w:after="0" w:line="454" w:lineRule="auto"/>
        <w:tabs>
          <w:tab w:leader="none" w:pos="10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 legend regarding the restrictions on exchanges and registration of transfer and any such other appropriate matters. 23</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class or series of debt securities will be described in a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each indenture contains or will contain the following covenants. Any additional material covenants applicable to any class or series of debt securities will be set forth in a prospectus supplement.</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Existence. </w:t>
      </w:r>
      <w:r>
        <w:rPr>
          <w:rFonts w:ascii="Times New Roman" w:cs="Times New Roman" w:eastAsia="Times New Roman" w:hAnsi="Times New Roman"/>
          <w:sz w:val="18"/>
          <w:szCs w:val="18"/>
          <w:color w:val="auto"/>
        </w:rPr>
        <w:t>Except as permitted under “Consolidation, Merger or Sale of Assets,” we will do or cause to be done all things necessary to preserve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of Properties. </w:t>
      </w:r>
      <w:r>
        <w:rPr>
          <w:rFonts w:ascii="Times New Roman" w:cs="Times New Roman" w:eastAsia="Times New Roman" w:hAnsi="Times New Roman"/>
          <w:sz w:val="18"/>
          <w:szCs w:val="18"/>
          <w:color w:val="auto"/>
        </w:rPr>
        <w:t>We will cause all of our material properties used or useful in the conduct of our business to be maintained and kept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Payment of Taxes and Other Claims. </w:t>
      </w:r>
      <w:r>
        <w:rPr>
          <w:rFonts w:ascii="Times New Roman" w:cs="Times New Roman" w:eastAsia="Times New Roman" w:hAnsi="Times New Roman"/>
          <w:sz w:val="18"/>
          <w:szCs w:val="18"/>
          <w:color w:val="auto"/>
        </w:rPr>
        <w:t>We will pay or discharge or cause to be paid or discharged, before they shall become delinquent:</w:t>
      </w:r>
    </w:p>
    <w:p>
      <w:pPr>
        <w:spacing w:after="0" w:line="13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assessments and governmental charges levied or imposed upon us or upon our income, profits or property,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58"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of Financial Information. </w:t>
      </w:r>
      <w:r>
        <w:rPr>
          <w:rFonts w:ascii="Times New Roman" w:cs="Times New Roman" w:eastAsia="Times New Roman" w:hAnsi="Times New Roman"/>
          <w:sz w:val="18"/>
          <w:szCs w:val="18"/>
          <w:color w:val="auto"/>
        </w:rPr>
        <w:t>Whether or not we are subject to Section 13 or 15(d) of the Exchange Act, we will, within 15 days of each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respective dates by which we would have been required to file annual reports, quarterly reports and other documents with the SEC if we were so subject:</w:t>
      </w:r>
    </w:p>
    <w:p>
      <w:pPr>
        <w:spacing w:after="0" w:line="80" w:lineRule="exact"/>
        <w:rPr>
          <w:sz w:val="20"/>
          <w:szCs w:val="20"/>
          <w:color w:val="auto"/>
        </w:rPr>
      </w:pPr>
    </w:p>
    <w:p>
      <w:pPr>
        <w:ind w:left="1080" w:right="4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written request and payment of the reasonable cost of duplication and delivery, supply copies of those documents to any prospective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be the continuing entity, or</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transactions, no default or event of default under the debt securities shall have occurred and be continuing; and</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17"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Generally. </w:t>
      </w:r>
      <w:r>
        <w:rPr>
          <w:rFonts w:ascii="Times New Roman" w:cs="Times New Roman" w:eastAsia="Times New Roman" w:hAnsi="Times New Roman"/>
          <w:sz w:val="18"/>
          <w:szCs w:val="18"/>
          <w:color w:val="auto"/>
        </w:rPr>
        <w:t>Unless we say otherwise in a prospectus supplement, the payment of principal, premium, if any, and interest on subordinated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3"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money borrowed or represented by purchase-money obligations;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evidenced by notes, debentures, or bonds, or other securities issued under the provisions of an indenture, fiscal agency agreement or other instrument;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any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partnerships and joint ventures which is included in our consolidated financial statements;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binding commitment to fund any real estate investment or to fund any investment in any entity making a real estate investment, in each case other than</w:t>
      </w:r>
    </w:p>
    <w:p>
      <w:pPr>
        <w:spacing w:after="0" w:line="67" w:lineRule="exact"/>
        <w:rPr>
          <w:rFonts w:ascii="Times New Roman" w:cs="Times New Roman" w:eastAsia="Times New Roman" w:hAnsi="Times New Roman"/>
          <w:sz w:val="18"/>
          <w:szCs w:val="18"/>
          <w:color w:val="auto"/>
        </w:rPr>
      </w:pPr>
    </w:p>
    <w:p>
      <w:pPr>
        <w:ind w:left="1540" w:right="320" w:hanging="331"/>
        <w:spacing w:after="0" w:line="261"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85"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there will be no restrictions in any subordinated indenture upon the creation of additional senior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Payment Defaults. </w:t>
      </w:r>
      <w:r>
        <w:rPr>
          <w:rFonts w:ascii="Times New Roman" w:cs="Times New Roman" w:eastAsia="Times New Roman" w:hAnsi="Times New Roman"/>
          <w:sz w:val="18"/>
          <w:szCs w:val="18"/>
          <w:color w:val="auto"/>
        </w:rPr>
        <w:t>Unless we say otherwise in a prospectus supplement, if we have defaulted in the payment of any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we may not:</w:t>
      </w:r>
    </w:p>
    <w:p>
      <w:pPr>
        <w:spacing w:after="0" w:line="64"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principal, premium, if any, or interest on subordinated debt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any subordinated debt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prohibition will not affect any payment we have already made to defease debt securities, as described under “— Defeasance or Covenant Defeasance of Indentures,”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must resume payment on our subordinated debt securities, and make any payments we have missed, when one of the following has occurred:</w:t>
      </w:r>
    </w:p>
    <w:p>
      <w:pPr>
        <w:spacing w:after="0" w:line="13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debt has been discharged or paid in full;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debt have waived payment;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default has otherwise been cured or ceased to exist.</w:t>
      </w:r>
    </w:p>
    <w:p>
      <w:pPr>
        <w:spacing w:after="0" w:line="221"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Blockage for Non-Payment Defaults. </w:t>
      </w:r>
      <w:r>
        <w:rPr>
          <w:rFonts w:ascii="Times New Roman" w:cs="Times New Roman" w:eastAsia="Times New Roman" w:hAnsi="Times New Roman"/>
          <w:sz w:val="18"/>
          <w:szCs w:val="18"/>
          <w:color w:val="auto"/>
        </w:rPr>
        <w:t>Unless we say otherwise in a prospectus supplement, we will also be prohibited from paying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or distributing any assets if:</w:t>
      </w:r>
    </w:p>
    <w:p>
      <w:pPr>
        <w:spacing w:after="0" w:line="6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defaulted on senior debt in a way that does not involve a failure to pay amounts but accelerates payment;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1" w:lineRule="exact"/>
        <w:rPr>
          <w:sz w:val="20"/>
          <w:szCs w:val="20"/>
          <w:color w:val="auto"/>
        </w:rPr>
      </w:pPr>
    </w:p>
    <w:p>
      <w:pPr>
        <w:ind w:left="1080" w:right="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179 days after receipt of notice (unless we have previously been required to pay all amounts owing on the applicable senior debt);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default and all other similar defaults as to which notice has been given shall have been cured, waived or shall have ceased to exist;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applicable senior debt (and all other senior debt as to which notice has been given) shall have been discharged or paid in full; and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Default Provisions</w:t>
      </w:r>
    </w:p>
    <w:p>
      <w:pPr>
        <w:spacing w:after="0" w:line="117"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say otherwise in a prospectus supplement, each of the following is an event of default as to any of our senior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subordinated debt securities:</w:t>
      </w:r>
    </w:p>
    <w:p>
      <w:pPr>
        <w:spacing w:after="0" w:line="159" w:lineRule="exact"/>
        <w:rPr>
          <w:sz w:val="20"/>
          <w:szCs w:val="20"/>
          <w:color w:val="auto"/>
        </w:rPr>
      </w:pPr>
    </w:p>
    <w:p>
      <w:pPr>
        <w:ind w:left="120" w:right="300" w:firstLine="436"/>
        <w:spacing w:after="0" w:line="282" w:lineRule="auto"/>
        <w:tabs>
          <w:tab w:leader="none" w:pos="7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or any additional amounts on any debt security of that class or series or of any coupon appertaining thereto when it becomes due and payable, if the default continues for a period of 30 days.</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7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of (or premium, if any, on) any debt security of that class or series at its maturity (upon acceleration, optional or mandatory redemption, required purchase or otherwise).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720" w:hanging="164"/>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deposit of any sinking fund payment as required by the terms of any debt security of that class or series.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7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76" w:lineRule="exact"/>
        <w:rPr>
          <w:sz w:val="20"/>
          <w:szCs w:val="20"/>
          <w:color w:val="auto"/>
        </w:rPr>
      </w:pPr>
    </w:p>
    <w:p>
      <w:pPr>
        <w:ind w:left="800" w:hanging="244"/>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by the trustee;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and the trustee by the holders of at least 25% in aggregate principal amount of the outstanding debt securities of the class or series.</w:t>
      </w:r>
    </w:p>
    <w:p>
      <w:pPr>
        <w:spacing w:after="0" w:line="225" w:lineRule="exact"/>
        <w:rPr>
          <w:sz w:val="20"/>
          <w:szCs w:val="20"/>
          <w:color w:val="auto"/>
        </w:rPr>
      </w:pPr>
    </w:p>
    <w:p>
      <w:pPr>
        <w:ind w:left="120" w:right="180" w:firstLine="436"/>
        <w:spacing w:after="0" w:line="254" w:lineRule="auto"/>
        <w:tabs>
          <w:tab w:leader="none" w:pos="7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competent jurisdiction under any applicable bankruptcy law that:</w:t>
      </w:r>
    </w:p>
    <w:p>
      <w:pPr>
        <w:spacing w:after="0" w:line="117" w:lineRule="exact"/>
        <w:rPr>
          <w:sz w:val="20"/>
          <w:szCs w:val="20"/>
          <w:color w:val="auto"/>
        </w:rPr>
      </w:pPr>
    </w:p>
    <w:p>
      <w:pPr>
        <w:ind w:left="800" w:hanging="244"/>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us or any of our significant subsidiaries in an involuntary case,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receiver in respect of us or any of our significant subsidiaries or for all or substantially all of the property of any of us; or</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our liquidation or the liquidation of any of our significant subsidiaries, and the order or decree remains unstayed and in effect for 90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days.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 We or any of our significant subsidiaries do any of the following:</w:t>
      </w:r>
    </w:p>
    <w:p>
      <w:pPr>
        <w:spacing w:after="0" w:line="117" w:lineRule="exact"/>
        <w:rPr>
          <w:sz w:val="20"/>
          <w:szCs w:val="20"/>
          <w:color w:val="auto"/>
        </w:rPr>
      </w:pPr>
    </w:p>
    <w:p>
      <w:pPr>
        <w:ind w:left="800" w:hanging="244"/>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or proceeding under any applicable bankruptcy law;</w:t>
      </w:r>
    </w:p>
    <w:p>
      <w:pPr>
        <w:spacing w:after="0" w:line="22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 decree or order for relief in respect of us or any of our significant subsidiaries in an involuntary case or proceeding under any applicable bankruptcy law;</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a receiver in respect of us or any of our significant subsidiaries for all or substantially all of our or its property;</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8. Any other event of default provided with respect to the debt securities of that class or series.</w:t>
      </w:r>
    </w:p>
    <w:p>
      <w:pPr>
        <w:spacing w:after="0" w:line="221"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Default. </w:t>
      </w:r>
      <w:r>
        <w:rPr>
          <w:rFonts w:ascii="Times New Roman" w:cs="Times New Roman" w:eastAsia="Times New Roman" w:hAnsi="Times New Roman"/>
          <w:sz w:val="18"/>
          <w:szCs w:val="18"/>
          <w:color w:val="auto"/>
        </w:rPr>
        <w:t>Unless we say otherwise in a prospectus supplement, holders of not less than a majority of the debt securities of a class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may waive any past default except for:</w:t>
      </w:r>
    </w:p>
    <w:p>
      <w:pPr>
        <w:spacing w:after="0" w:line="64"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default;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on any provision that requires the consent of all holders to modify.</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Acceleration of Payment. </w:t>
      </w:r>
      <w:r>
        <w:rPr>
          <w:rFonts w:ascii="Times New Roman" w:cs="Times New Roman" w:eastAsia="Times New Roman" w:hAnsi="Times New Roman"/>
          <w:sz w:val="18"/>
          <w:szCs w:val="18"/>
          <w:color w:val="auto"/>
        </w:rPr>
        <w:t>Unless we say otherwise in a prospectus supplement, each indenture provides or will provide that if an event of default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occurs and continues, the trustee or the holders of not less than 25% in aggregate principal amount of the debt securities of the applicable class or series outstanding may declare all unpaid principal of, premium, if any, and accrued interest on, all the debt securities of the applicable class or series to be due and payable immediately by a notice given in writing to us (and to the trustee if given by the holders of the debt securities of the applicable class or series). The trustee may, then, at its discretion, proceed to protect and enforce the rights of the holders of the applicable debt securities by appropriate judicial proceeding.</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Waiver of Acceleration. </w:t>
      </w:r>
      <w:r>
        <w:rPr>
          <w:rFonts w:ascii="Times New Roman" w:cs="Times New Roman" w:eastAsia="Times New Roman" w:hAnsi="Times New Roman"/>
          <w:sz w:val="18"/>
          <w:szCs w:val="18"/>
          <w:color w:val="auto"/>
        </w:rPr>
        <w:t>Unless we say otherwise in a prospectus supplement, each indenture provides or will provide that, after a declaration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80"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deposited with the trustee a sum sufficient to pay:</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and any additional amounts payable on all outstanding debt securities of the applicable class or series and any related coupons,</w:t>
      </w:r>
    </w:p>
    <w:p>
      <w:pPr>
        <w:spacing w:after="0" w:line="67"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debt securities of the applicable class or series which have become due other than by such declaration of acceleration, plus interest thereon at the rate borne by the debt securities,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at the rate borne by the debt securities, and</w:t>
      </w:r>
    </w:p>
    <w:p>
      <w:pPr>
        <w:spacing w:after="0" w:line="130"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the indenture and the reasonable compensation, expenses, disbursements and advances of the trustee, its agents and counsel;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the debt securities which have become due solely by such declaration of acceleration, have been cured or waived.</w:t>
      </w:r>
    </w:p>
    <w:p>
      <w:pPr>
        <w:spacing w:after="0" w:line="15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Notices of Default. </w:t>
      </w:r>
      <w:r>
        <w:rPr>
          <w:rFonts w:ascii="Times New Roman" w:cs="Times New Roman" w:eastAsia="Times New Roman" w:hAnsi="Times New Roman"/>
          <w:sz w:val="18"/>
          <w:szCs w:val="18"/>
          <w:color w:val="auto"/>
        </w:rPr>
        <w:t>Unless we say otherwise in a prospectus supplement, we are required to deliver to the trustee, on or before a date not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class or series of debt securities of any default with respect to such class or series (except a default in the payment of the principal of, and premium, if any, or interest on or any additional amounts with respect to any debt security of such class or series or in the payment of any sinking fund installment in respect of any debt security of such class or series) if the trustee considers such withholding to be in the interest of the holders.</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Suits. </w:t>
      </w:r>
      <w:r>
        <w:rPr>
          <w:rFonts w:ascii="Times New Roman" w:cs="Times New Roman" w:eastAsia="Times New Roman" w:hAnsi="Times New Roman"/>
          <w:sz w:val="18"/>
          <w:szCs w:val="18"/>
          <w:color w:val="auto"/>
        </w:rPr>
        <w:t>Unless we say otherwise in a prospectus supplement, each indenture provides or will provide that no holders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any class or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class or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class or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85"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Obligations of Trustee. </w:t>
      </w:r>
      <w:r>
        <w:rPr>
          <w:rFonts w:ascii="Times New Roman" w:cs="Times New Roman" w:eastAsia="Times New Roman" w:hAnsi="Times New Roman"/>
          <w:sz w:val="18"/>
          <w:szCs w:val="18"/>
          <w:color w:val="auto"/>
        </w:rPr>
        <w:t>Unless we say otherwise in a prospectus supplement, the trustee is under no obligation to exercise any of the rights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7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class or series of debt securities that is defeased will be deemed to have been discharged, except for:</w:t>
      </w:r>
    </w:p>
    <w:p>
      <w:pPr>
        <w:spacing w:after="0" w:line="81" w:lineRule="exact"/>
        <w:rPr>
          <w:sz w:val="20"/>
          <w:szCs w:val="20"/>
          <w:color w:val="auto"/>
        </w:rPr>
      </w:pPr>
    </w:p>
    <w:p>
      <w:pPr>
        <w:ind w:left="1080" w:right="4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also be able to free ourselves from certain covenants that are described in an indenture by taking the actions described below.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discharge of obligations using this process is known as “covenant defeasance.” If we defease covenants under debt securities, then certain events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including non-payment, enforceability of any guarantee, bankruptcy and insolvency events) described under “— Events of Default” will no longer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constitute an event of default with respect to the debt securities.</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in order to exercise either defeasance or covenant defeasance as to the outstanding debt securities of a class or series:</w:t>
      </w:r>
    </w:p>
    <w:p>
      <w:pPr>
        <w:spacing w:after="0" w:line="67" w:lineRule="exact"/>
        <w:rPr>
          <w:sz w:val="20"/>
          <w:szCs w:val="20"/>
          <w:color w:val="auto"/>
        </w:rPr>
      </w:pPr>
    </w:p>
    <w:p>
      <w:pPr>
        <w:ind w:left="1080" w:hanging="424"/>
        <w:spacing w:after="0" w:line="255"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deposit with the trustee, in trust, for the benefit of the holders of the debt securities of the applicable class or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class or series on the stated maturity of such principal or installment of principal or interest and any mandatory sinking fund payments;</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defeasance, we will deliver to the trustee an opinion of counsel confirming that either: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from, or there has been published by, the Internal Revenue Service a ruling,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effect of either being that the holders of the outstanding debt securities of the applicable class or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1" w:lineRule="exact"/>
        <w:rPr>
          <w:sz w:val="20"/>
          <w:szCs w:val="20"/>
          <w:color w:val="auto"/>
        </w:rPr>
      </w:pPr>
    </w:p>
    <w:p>
      <w:pPr>
        <w:ind w:left="10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will deliver to the trustee an opinion of counsel to the effect that the holders of the debt securities of the applicable class or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 and Amendments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 the consent of the holders of a majority in aggregate principal amount of the outstanding debt securities of all classes or series affected by the modification or amendment; provided, however, that no modification or amendment may, without the consent of the holder of each outstanding debt security of all classes or series affected by the modification or amendment:</w:t>
      </w:r>
    </w:p>
    <w:p>
      <w:pPr>
        <w:spacing w:after="0" w:line="85"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interest on, any debt security;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option of the holder of any class or series of outstanding debt security;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repayment where, or the currency, currency unit or composite currency in which, the principal or premium, if any, of any debt security or the interest thereon is payable;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such payment after the stated maturity of the debt security (or in the case of redemption, on or after the redemption date);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class or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1" w:lineRule="exact"/>
        <w:rPr>
          <w:rFonts w:ascii="Times New Roman" w:cs="Times New Roman" w:eastAsia="Times New Roman" w:hAnsi="Times New Roman"/>
          <w:sz w:val="18"/>
          <w:szCs w:val="18"/>
          <w:color w:val="auto"/>
        </w:rPr>
      </w:pPr>
    </w:p>
    <w:p>
      <w:pPr>
        <w:jc w:val="both"/>
        <w:ind w:left="1080" w:right="60" w:hanging="424"/>
        <w:spacing w:after="0" w:line="261"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67" w:lineRule="exact"/>
        <w:rPr>
          <w:sz w:val="20"/>
          <w:szCs w:val="20"/>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the succession of another person to us and the assumption by any such successor of any covenants under the indenture and in the debt securities of any class or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to our covenants for the benefit of the holders of all or any class or series of debt securities or surrenders any of our rights or powers;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any additional event of default for the benefit of the holders of all or any class or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secures the debt securities of any class or series;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class or series of outstanding debt securities in any material respect;</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eliminates any provision affecting only debt securities not yet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the form or terms of debt securities of any class or series not yet issued;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evidences and provides for successor trustees or adds or changes any provisions of the indenture to the extent necessary to permit or facilitate the appointment of a separate trustee or trustees for specific classes or series of debt securities;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class or series then outstanding in any material respect; or</w:t>
      </w:r>
    </w:p>
    <w:p>
      <w:pPr>
        <w:spacing w:after="0" w:line="85"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supplements any provision of the indenture to such extent as shall be necessary to permit the facilitation of defeasance and discharge of any class or series of debt securities; provided, however, that any such action may not adversely affect the interest of holders of debt securities of any class or series then outstanding in any material respect.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debt securities of a class or series outstanding may waive compliance with certain restrictive covenants and provisions of either indenture with respect to that class or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for U.S. federal income tax purposes, any debt security with a term of more than one year from the date of issuance that:</w:t>
      </w:r>
    </w:p>
    <w:p>
      <w:pPr>
        <w:spacing w:after="0" w:line="93"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the payment of interest prior to maturity;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 de minimis exception, issued at a price lower than its stated redemption price at maturity.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say otherwise in a prospectus supplement, we will send notices to holders of debt securities by mail to the holder’s address as it appears in the register.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Unless we say otherwise in a prospectus supplement, each indenture and the debt securities will be governed by the laws of the State of New York.</w:t>
      </w:r>
    </w:p>
    <w:p>
      <w:pPr>
        <w:spacing w:after="0" w:line="1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section summarizes the material federal income tax issues that you may consider relevant relating to our taxation as a REIT under the Code, and the acquisition, ownership, and disposition of our common, preferred, and depositary shares. In this section, references to the “Company,” “we,” “us,” “our” and “ours” refer only to Federal Realty Investment Trust and not to the Partnership or its subsidiaries unless the context requires otherwise. If we offer one or more additional series of common shares or preferred shares, depositary shares, shares pursuant to share purchase contracts or warrants to purchase equity securities, or the Partnership offers debt securities, the applicable prospectus supplement would include information about additional material U.S. federal income tax considerations relevant to holders of any of the offered securities.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foreign (non-U.S.) governments,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SPECIFIC FEDERAL, STATE, LOCAL, FOREIGN AND OTHER TAX CONSEQUENCES TO THEM OF THE ACQUISITION, OWNERSHIP AND DISPOSITION OF OUR SECURITIES, OUR ELECTION TO BE TAXED AS A REIT AND THE EFFECT OF POTENTIAL CHANGES IN APPLICABLE TAX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the Company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the opinion of our tax counsel, Pillsbury Winthrop Shaw Pittman LLP, (i) we qualified as a REIT under Sections 856 through 860 of the Code with respect to each of our taxable years ended through December 31, 2023;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having met and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5" w:lineRule="exact"/>
        <w:rPr>
          <w:sz w:val="20"/>
          <w:szCs w:val="20"/>
          <w:color w:val="auto"/>
        </w:rPr>
      </w:pPr>
    </w:p>
    <w:p>
      <w:pPr>
        <w:ind w:left="1080" w:right="4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regular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that are C corporations, including our “taxable REIT subsidiaries,” generally will be required to pay federal corporate income tax on their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excise tax on transactions with a “taxable REIT subsidiary” that are not conducted on an arm’s-length basis;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equal to the greater of $50,000 or a tax computed at the regular corporate rate on the amount of net income generated by the assets causing the failure from the date of failure until the assets are disposed of or we otherwise return to compliance with the asset test;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66"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regular corporate rate on the lesser of</w:t>
      </w:r>
    </w:p>
    <w:p>
      <w:pPr>
        <w:spacing w:after="0" w:line="2"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amount of gain that we recognize at the time of the sale or disposition and (ii) the amount of gain that we would have recognized if we had sold the asset at the time we acquired the asset.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managed by one or more trustees or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beneficial ownership is evidenced by transferable shares, or by transferable certificates of beneficial interest;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taxable as a domestic corporation, but for Sections 856 through 860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neither a financial institution nor an insurance company subject to certain provisions of the Code;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of our shares or ownership certificates;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 calendar year for federal income tax purposes and comply with the record keeping requirements of the Code and the related Treasury regulations; and</w:t>
      </w:r>
    </w:p>
    <w:p>
      <w:pPr>
        <w:spacing w:after="0" w:line="67" w:lineRule="exact"/>
        <w:rPr>
          <w:rFonts w:ascii="Times New Roman" w:cs="Times New Roman" w:eastAsia="Times New Roman" w:hAnsi="Times New Roman"/>
          <w:sz w:val="18"/>
          <w:szCs w:val="18"/>
          <w:color w:val="auto"/>
        </w:rPr>
      </w:pPr>
    </w:p>
    <w:p>
      <w:pPr>
        <w:ind w:left="1080" w:right="940" w:hanging="532"/>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meet certain other qualification tests, described below, regarding the nature of our income and assets and the amount of our distributions to shareholders.</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w:t>
      </w:r>
    </w:p>
    <w:p>
      <w:pPr>
        <w:spacing w:after="0" w:line="5"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Section 401(a), and beneficiaries of such a trust will be treated as holding our shares in proportion to their actuarial interests in the trust for purposes of the 5/50 Rule.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“Shares of Beneficial Interest of Federal Realty Investment Trust–Restrictions on Ownership and Transfer of Company Shares.”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The Partnership has been treated as a disregarded entity for federal income tax purposes (but not necessarily for other tax purposes such as employment and excise taxation) because we have owned 100% of the interests in the Partnership, either directly or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income and asset qualification test purposes, based on our percentage interest in partnership equity capital, subject to special rules relating to the 10% asset test described below.</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w:t>
      </w: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or non-managing member in some of the Subsidiary Partnerships. If a Subsidiary Partnership in which the Partnership owns an interest but does not have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Tests. </w:t>
      </w:r>
      <w:r>
        <w:rPr>
          <w:rFonts w:ascii="Times New Roman" w:cs="Times New Roman" w:eastAsia="Times New Roman" w:hAnsi="Times New Roman"/>
          <w:sz w:val="18"/>
          <w:szCs w:val="18"/>
          <w:color w:val="auto"/>
        </w:rPr>
        <w:t>We must satisfy two gross income tests annually to maintain our qualification as a REIT:</w:t>
      </w:r>
    </w:p>
    <w:p>
      <w:pPr>
        <w:spacing w:after="0" w:line="135" w:lineRule="exact"/>
        <w:rPr>
          <w:sz w:val="20"/>
          <w:szCs w:val="20"/>
          <w:color w:val="auto"/>
        </w:rPr>
      </w:pPr>
    </w:p>
    <w:p>
      <w:pPr>
        <w:ind w:left="1080" w:right="20" w:hanging="424"/>
        <w:spacing w:after="0" w:line="254"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9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paragraphs discuss the specific application of these tests to us.</w:t>
      </w:r>
    </w:p>
    <w:p>
      <w:pPr>
        <w:spacing w:after="0" w:line="2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Rental Income</w:t>
      </w:r>
      <w:r>
        <w:rPr>
          <w:rFonts w:ascii="Times New Roman" w:cs="Times New Roman" w:eastAsia="Times New Roman" w:hAnsi="Times New Roman"/>
          <w:sz w:val="18"/>
          <w:szCs w:val="18"/>
          <w:color w:val="auto"/>
        </w:rPr>
        <w:t>. The Partnership’s primary source of income derives from leasing properties. There are various limitations on whether rent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80" w:lineRule="exact"/>
        <w:rPr>
          <w:sz w:val="20"/>
          <w:szCs w:val="20"/>
          <w:color w:val="auto"/>
        </w:rPr>
      </w:pPr>
    </w:p>
    <w:p>
      <w:pPr>
        <w:ind w:left="1080" w:right="40" w:hanging="424"/>
        <w:spacing w:after="0" w:line="25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is based, in whole or in part, on the income or profits of any person although, generally, rent may be based on a fixed percentage or percentages of gross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9" w:lineRule="exact"/>
        <w:rPr>
          <w:sz w:val="20"/>
          <w:szCs w:val="20"/>
          <w:color w:val="auto"/>
        </w:rPr>
      </w:pPr>
    </w:p>
    <w:p>
      <w:pPr>
        <w:ind w:left="1080" w:right="20" w:hanging="424"/>
        <w:spacing w:after="0" w:line="25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92"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93"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92"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successfully assert a contrary position and, therefore, prevent us from qualifying as a REIT.</w:t>
      </w:r>
    </w:p>
    <w:p>
      <w:pPr>
        <w:spacing w:after="0" w:line="172"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w:t>
      </w:r>
      <w:r>
        <w:rPr>
          <w:rFonts w:ascii="Times New Roman" w:cs="Times New Roman" w:eastAsia="Times New Roman" w:hAnsi="Times New Roman"/>
          <w:sz w:val="18"/>
          <w:szCs w:val="18"/>
          <w:color w:val="auto"/>
        </w:rPr>
        <w:t>For purposes of the gross income tests, the term “interest” generally does not include any amount received or accrued, directly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gross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86"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Dividends. </w:t>
      </w:r>
      <w:r>
        <w:rPr>
          <w:rFonts w:ascii="Times New Roman" w:cs="Times New Roman" w:eastAsia="Times New Roman" w:hAnsi="Times New Roman"/>
          <w:sz w:val="17"/>
          <w:szCs w:val="17"/>
          <w:color w:val="auto"/>
        </w:rPr>
        <w:t>Our share of any dividends received from any corporation (including any taxable REIT subsidiary but excluding any REIT)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5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Income from Property Acquired in Foreclosure. </w:t>
      </w:r>
      <w:r>
        <w:rPr>
          <w:rFonts w:ascii="Times New Roman" w:cs="Times New Roman" w:eastAsia="Times New Roman" w:hAnsi="Times New Roman"/>
          <w:sz w:val="18"/>
          <w:szCs w:val="18"/>
          <w:color w:val="auto"/>
        </w:rPr>
        <w:t>We will be subject to tax at the maximum corporate rate on any income from foreclosure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80" w:right="280" w:hanging="424"/>
        <w:spacing w:after="0" w:line="312"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was acquired by the REIT at a time when default was not imminent or anticipated;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1" w:lineRule="exact"/>
        <w:rPr>
          <w:sz w:val="20"/>
          <w:szCs w:val="20"/>
          <w:color w:val="auto"/>
        </w:rPr>
      </w:pPr>
    </w:p>
    <w:p>
      <w:pPr>
        <w:ind w:left="1080" w:right="5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third taxable year following the taxable year in which the REIT acquired the property (or longer if an extension is granted by the Secretary of the Treasury);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on Prohibited Transactions. </w:t>
      </w:r>
      <w:r>
        <w:rPr>
          <w:rFonts w:ascii="Times New Roman" w:cs="Times New Roman" w:eastAsia="Times New Roman" w:hAnsi="Times New Roman"/>
          <w:sz w:val="18"/>
          <w:szCs w:val="18"/>
          <w:color w:val="auto"/>
        </w:rPr>
        <w:t>A REIT will incur a 100% tax on net income (taking into account foreign currency gains and losses) derived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91"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 and Deduction Limits on Certain Transactions with Taxable REIT Subsidiaries. </w:t>
      </w:r>
      <w:r>
        <w:rPr>
          <w:rFonts w:ascii="Times New Roman" w:cs="Times New Roman" w:eastAsia="Times New Roman" w:hAnsi="Times New Roman"/>
          <w:sz w:val="18"/>
          <w:szCs w:val="18"/>
          <w:color w:val="auto"/>
        </w:rPr>
        <w:t>A REIT will incur a 100% tax on certain transactions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changes to the interest deduction rules may affect interest deductions of our taxable REIT subsidiaries under some circumstances.</w:t>
      </w:r>
    </w:p>
    <w:p>
      <w:pPr>
        <w:spacing w:after="0" w:line="17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Except to the extent provided by Treasury regulations, any income we derive from a hedging transaction (which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85"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Like-Kind Exchanges. </w:t>
      </w:r>
      <w:r>
        <w:rPr>
          <w:rFonts w:ascii="Times New Roman" w:cs="Times New Roman" w:eastAsia="Times New Roman" w:hAnsi="Times New Roman"/>
          <w:sz w:val="18"/>
          <w:szCs w:val="18"/>
          <w:color w:val="auto"/>
        </w:rPr>
        <w:t>The Partnership may dispose of properties in transactions intended to qualify as like-kind exchanges under the Code.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Income Tests. </w:t>
      </w:r>
      <w:r>
        <w:rPr>
          <w:rFonts w:ascii="Times New Roman" w:cs="Times New Roman" w:eastAsia="Times New Roman" w:hAnsi="Times New Roman"/>
          <w:sz w:val="18"/>
          <w:szCs w:val="18"/>
          <w:color w:val="auto"/>
        </w:rPr>
        <w:t>If we fail to satisfy one or both of the 75% and 95% gross income tests for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Asset Tests. </w:t>
      </w:r>
      <w:r>
        <w:rPr>
          <w:rFonts w:ascii="Times New Roman" w:cs="Times New Roman" w:eastAsia="Times New Roman" w:hAnsi="Times New Roman"/>
          <w:sz w:val="17"/>
          <w:szCs w:val="17"/>
          <w:color w:val="auto"/>
        </w:rPr>
        <w:t>To maintain our qualification as a REIT, we also must satisfy the following asset tests at the close of each quarter of each taxable year:</w:t>
      </w:r>
    </w:p>
    <w:p>
      <w:pPr>
        <w:spacing w:after="0" w:line="146" w:lineRule="exact"/>
        <w:rPr>
          <w:sz w:val="20"/>
          <w:szCs w:val="20"/>
          <w:color w:val="auto"/>
        </w:rPr>
      </w:pPr>
    </w:p>
    <w:p>
      <w:pPr>
        <w:ind w:left="1080" w:right="3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67"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85"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1"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3"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2"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securities in one or more taxable REIT subsidiaries (unless they would otherwise be treated as real estate assets) may not exceed 20% of the value of our total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holdings in debt instruments of publicly offered REITs (unless they would otherwise be treated as real estate assets) may not exceed 25% of the value of our total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select future investments so as to comply with the asset tests.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Consequences of Failing to Meet Asset Tests. </w:t>
      </w:r>
      <w:r>
        <w:rPr>
          <w:rFonts w:ascii="Times New Roman" w:cs="Times New Roman" w:eastAsia="Times New Roman" w:hAnsi="Times New Roman"/>
          <w:sz w:val="18"/>
          <w:szCs w:val="18"/>
          <w:color w:val="auto"/>
        </w:rPr>
        <w:t>If we fail to satisfy one or more of the asset tests for any quarter of a taxable year,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equal to the greater of $50,000 or a tax computed at the regular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Distribution Requirements. </w:t>
      </w:r>
      <w:r>
        <w:rPr>
          <w:rFonts w:ascii="Times New Roman" w:cs="Times New Roman" w:eastAsia="Times New Roman" w:hAnsi="Times New Roman"/>
          <w:sz w:val="17"/>
          <w:szCs w:val="17"/>
          <w:color w:val="auto"/>
        </w:rPr>
        <w:t>Each taxable year, we must distribute dividends (other than capital gain dividends and deemed distributions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certain items of non-cash income.</w:t>
      </w:r>
    </w:p>
    <w:p>
      <w:pPr>
        <w:spacing w:after="0" w:line="20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order to be taken into account for purposes of our distribution requirement, except as provided below, the amount distributed must not be preferential — 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have been and are currently, and expect we will continue to be, a “publicly offered REIT.” However, the preferential dividend rules would apply to subsidiary REITs we may own from time to time, although the IRS has issued multiple private letter rulings, which may not be relied upon as precedent, that a subsidiary REIT that meets certain conditions may be treated as a publicly offered REIT for these purposes.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Keeping Requirements. </w:t>
      </w:r>
      <w:r>
        <w:rPr>
          <w:rFonts w:ascii="Times New Roman" w:cs="Times New Roman" w:eastAsia="Times New Roman" w:hAnsi="Times New Roman"/>
          <w:sz w:val="18"/>
          <w:szCs w:val="18"/>
          <w:color w:val="auto"/>
        </w:rPr>
        <w:t>We must maintain certain records in order to qualify as a REIT. In addition, to avoid a monetary penalty, 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Relief from Other Failures of the REIT Qualification Provisions. </w:t>
      </w:r>
      <w:r>
        <w:rPr>
          <w:rFonts w:ascii="Times New Roman" w:cs="Times New Roman" w:eastAsia="Times New Roman" w:hAnsi="Times New Roman"/>
          <w:sz w:val="18"/>
          <w:szCs w:val="18"/>
          <w:color w:val="auto"/>
        </w:rPr>
        <w:t>If we fail to satisfy one or more of the requirements for REIT qualification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Qualify. </w:t>
      </w:r>
      <w:r>
        <w:rPr>
          <w:rFonts w:ascii="Times New Roman" w:cs="Times New Roman" w:eastAsia="Times New Roman" w:hAnsi="Times New Roman"/>
          <w:sz w:val="18"/>
          <w:szCs w:val="18"/>
          <w:color w:val="auto"/>
        </w:rPr>
        <w:t>If we fail to qualify as a REIT in any taxable year, and no relief provision applied, we would be subject to federal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Taxable U.S. Shareholders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used herein, the term “taxable U.S. shareholder” means a taxable beneficial owner of our common or preferred shares that for U.S. federal income tax purposes is:</w:t>
      </w:r>
    </w:p>
    <w:p>
      <w:pPr>
        <w:spacing w:after="0" w:line="67"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7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Other Taxable U.S. Shareholder Distributions. </w:t>
      </w:r>
      <w:r>
        <w:rPr>
          <w:rFonts w:ascii="Times New Roman" w:cs="Times New Roman" w:eastAsia="Times New Roman" w:hAnsi="Times New Roman"/>
          <w:sz w:val="18"/>
          <w:szCs w:val="18"/>
          <w:color w:val="auto"/>
        </w:rPr>
        <w:t>As long as we qualify as a REIT, a taxable U.S. shareholder must take into account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9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Taxation of Taxable U.S. Shareholders on the Disposition of Our Shares. </w:t>
      </w:r>
      <w:r>
        <w:rPr>
          <w:rFonts w:ascii="Times New Roman" w:cs="Times New Roman" w:eastAsia="Times New Roman" w:hAnsi="Times New Roman"/>
          <w:sz w:val="18"/>
          <w:szCs w:val="18"/>
          <w:color w:val="auto"/>
        </w:rPr>
        <w:t>In general, a taxable U.S. shareholder must treat any gain or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Gains and Losses. </w:t>
      </w:r>
      <w:r>
        <w:rPr>
          <w:rFonts w:ascii="Times New Roman" w:cs="Times New Roman" w:eastAsia="Times New Roman" w:hAnsi="Times New Roman"/>
          <w:sz w:val="18"/>
          <w:szCs w:val="18"/>
          <w:color w:val="auto"/>
        </w:rPr>
        <w:t>A taxpayer generally must hold a capital asset for more than one year for gain or loss derived from its sale or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Preferred Shares for Cash. </w:t>
      </w:r>
      <w:r>
        <w:rPr>
          <w:rFonts w:ascii="Times New Roman" w:cs="Times New Roman" w:eastAsia="Times New Roman" w:hAnsi="Times New Roman"/>
          <w:sz w:val="18"/>
          <w:szCs w:val="18"/>
          <w:color w:val="auto"/>
        </w:rPr>
        <w:t>The treatment accorded to any redemption by us for cash (as distinguished from a sale, exchange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previously proposed Treasury regulations, if any portion of the amount received by a taxable U.S. shareholder on a redemption of our preferred shares is treated as a distribution with respect to our shares but not as a taxable dividend, then such portion would be allocated to all shares held by the taxable U.S. shareholder just before the redemption on a pro rata, share-by-share, basis. The amount applied to each share would first reduce the taxable U.S. shareholder’s basis in that share and any excess after the basis is reduced to zero would result in taxable gain. If the holder had a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permitted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As of March 28, 2019, these proposed Treasury regulations have been withdrawn. As a result, the treatment of adjustments to basis of a taxable U.S. shareholder’s preferred shares with respect to amounts treated as a distribution with respect to preferred shares, but not a dividend, as well as the treatment of the basis of any unredeemed shares, may be less certain. We urge you to consult your tax advisor concerning the treatment of a cash redemption of our preferred shares.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or Conversion of Preferred Shares to Common Shares. </w:t>
      </w:r>
      <w:r>
        <w:rPr>
          <w:rFonts w:ascii="Times New Roman" w:cs="Times New Roman" w:eastAsia="Times New Roman" w:hAnsi="Times New Roman"/>
          <w:sz w:val="18"/>
          <w:szCs w:val="18"/>
          <w:color w:val="auto"/>
        </w:rPr>
        <w:t>Assuming that preferred shares will not be redeemed or converted at a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76"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to Conversion Price. </w:t>
      </w:r>
      <w:r>
        <w:rPr>
          <w:rFonts w:ascii="Times New Roman" w:cs="Times New Roman" w:eastAsia="Times New Roman" w:hAnsi="Times New Roman"/>
          <w:sz w:val="18"/>
          <w:szCs w:val="18"/>
          <w:color w:val="auto"/>
        </w:rPr>
        <w:t>Under Section 305 of the Code, holders of preferred shares may be deemed to have received a constructive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reasonable adjustment formula. In such a case, if a nonqualifying adjustment were made, the holders of preferred shares might be deemed to have received a taxable share dividend.</w:t>
      </w:r>
    </w:p>
    <w:p>
      <w:pPr>
        <w:spacing w:after="0" w:line="183"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Passive Activity and Investment Income Limitations. </w:t>
      </w:r>
      <w:r>
        <w:rPr>
          <w:rFonts w:ascii="Times New Roman" w:cs="Times New Roman" w:eastAsia="Times New Roman" w:hAnsi="Times New Roman"/>
          <w:sz w:val="18"/>
          <w:szCs w:val="18"/>
          <w:color w:val="auto"/>
        </w:rPr>
        <w:t>Distributions from us and gain from the disposition of our common or preferred shares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Medicare Tax on Unearned Income. </w:t>
      </w:r>
      <w:r>
        <w:rPr>
          <w:rFonts w:ascii="Times New Roman" w:cs="Times New Roman" w:eastAsia="Times New Roman" w:hAnsi="Times New Roman"/>
          <w:sz w:val="18"/>
          <w:szCs w:val="18"/>
          <w:color w:val="auto"/>
        </w:rPr>
        <w:t>Certain taxable U.S. shareholders who are individuals, estates or trusts are subject to a 3.8% Medicare tax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Tax Rates. </w:t>
      </w:r>
      <w:r>
        <w:rPr>
          <w:rFonts w:ascii="Times New Roman" w:cs="Times New Roman" w:eastAsia="Times New Roman" w:hAnsi="Times New Roman"/>
          <w:sz w:val="18"/>
          <w:szCs w:val="18"/>
          <w:color w:val="auto"/>
        </w:rPr>
        <w:t>The maximum tax rate on the long-term capital gains of domestic non-corporate taxpayers is 20%. The maximum tax rate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92"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long-term capital gain, if any, recognized on the disposition of our shares;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we designate as long-term capital gain dividends (except to the extent attributable to real estate depreciation, in which case the 25% tax rate applies);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attributable to dividends we receive from non-REIT corporations (including our taxable REIT subsidiaries);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 extent attributable to income upon which we have paid corporate tax (for example, the tax we would pay if we distributed less than all of our taxable REIT income).</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Taxable U.S. shareholders that are “exempt recipients” (such as corporations)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3"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UBTI Percentage is at least 5%;</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This discussion also does not address the tax treatment of any conversion or exchange of notes into our shares for persons who would become non-U.S. shareholders upon such conversion or exchange. Such persons are urged to consult their tax advisors regarding the U.S. income tax treatment of such a conversion or exchange. As used herein,</w:t>
      </w:r>
    </w:p>
    <w:p>
      <w:pPr>
        <w:spacing w:after="0" w:line="3"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the term “non-U.S. shareholder” means any taxable beneficial owner of our shares (other than a partnership or entity that is treated as a partnership for U.S. federal income tax purposes) that is not a taxable U.S. shareholder or exempt organization.</w:t>
      </w:r>
    </w:p>
    <w:p>
      <w:pPr>
        <w:spacing w:after="0" w:line="17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Dividends. </w:t>
      </w:r>
      <w:r>
        <w:rPr>
          <w:rFonts w:ascii="Times New Roman" w:cs="Times New Roman" w:eastAsia="Times New Roman" w:hAnsi="Times New Roman"/>
          <w:sz w:val="18"/>
          <w:szCs w:val="18"/>
          <w:color w:val="auto"/>
        </w:rPr>
        <w:t>A non-U.S. shareholder that receives a distribution that is not attributable to gain from our sale or exchange of “U.S.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Return of Capital</w:t>
      </w:r>
      <w:r>
        <w:rPr>
          <w:rFonts w:ascii="Times New Roman" w:cs="Times New Roman" w:eastAsia="Times New Roman" w:hAnsi="Times New Roman"/>
          <w:sz w:val="18"/>
          <w:szCs w:val="18"/>
          <w:color w:val="auto"/>
        </w:rPr>
        <w:t>. A non-U.S. shareholder will not incur tax on a distribution to the extent it exceeds our current and accumulated earnings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83"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Gain Dividends. </w:t>
      </w:r>
      <w:r>
        <w:rPr>
          <w:rFonts w:ascii="Times New Roman" w:cs="Times New Roman" w:eastAsia="Times New Roman" w:hAnsi="Times New Roman"/>
          <w:sz w:val="18"/>
          <w:szCs w:val="18"/>
          <w:color w:val="auto"/>
        </w:rPr>
        <w:t>Provided that a particular class of our shares is “regularly traded” on an established securities market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on or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9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7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Retention of Net Capital Gains. </w:t>
      </w:r>
      <w:r>
        <w:rPr>
          <w:rFonts w:ascii="Times New Roman" w:cs="Times New Roman" w:eastAsia="Times New Roman" w:hAnsi="Times New Roman"/>
          <w:sz w:val="18"/>
          <w:szCs w:val="18"/>
          <w:color w:val="auto"/>
        </w:rPr>
        <w:t>Although the law is not clear on the matter, it appears that amounts we designate as retained capital gains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w:t>
      </w:r>
    </w:p>
    <w:p>
      <w:pPr>
        <w:spacing w:after="0" w:line="3"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7" w:lineRule="exact"/>
        <w:rPr>
          <w:sz w:val="20"/>
          <w:szCs w:val="20"/>
          <w:color w:val="auto"/>
        </w:rPr>
      </w:pPr>
    </w:p>
    <w:p>
      <w:pPr>
        <w:ind w:left="120" w:right="2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Sale of Shares</w:t>
      </w:r>
      <w:r>
        <w:rPr>
          <w:rFonts w:ascii="Times New Roman" w:cs="Times New Roman" w:eastAsia="Times New Roman" w:hAnsi="Times New Roman"/>
          <w:sz w:val="18"/>
          <w:szCs w:val="18"/>
          <w:color w:val="auto"/>
        </w:rPr>
        <w:t>. A non-U.S. shareholder generally will not incur tax under FIRPTA on gain from the sale of its common or preferred shares as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 are a “domestically controlled REIT.” A “domestically controlled REIT” is a REIT in which at all times during a specified testing</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w:t>
      </w: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84"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Wash Sales. </w:t>
      </w:r>
      <w:r>
        <w:rPr>
          <w:rFonts w:ascii="Times New Roman" w:cs="Times New Roman" w:eastAsia="Times New Roman" w:hAnsi="Times New Roman"/>
          <w:sz w:val="18"/>
          <w:szCs w:val="18"/>
          <w:color w:val="auto"/>
        </w:rPr>
        <w:t>In general, special wash sale rules apply if a shareholder owning more than 5% of our common or preferred shares avoids a taxable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of Preferred Shares to Common Shares. </w:t>
      </w:r>
      <w:r>
        <w:rPr>
          <w:rFonts w:ascii="Times New Roman" w:cs="Times New Roman" w:eastAsia="Times New Roman" w:hAnsi="Times New Roman"/>
          <w:sz w:val="18"/>
          <w:szCs w:val="18"/>
          <w:color w:val="auto"/>
        </w:rPr>
        <w:t>The conversion of preferred shares into our common shares may be a taxable exchange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 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92" w:lineRule="exact"/>
        <w:rPr>
          <w:sz w:val="20"/>
          <w:szCs w:val="20"/>
          <w:color w:val="auto"/>
        </w:rPr>
      </w:pPr>
    </w:p>
    <w:p>
      <w:pPr>
        <w:jc w:val="both"/>
        <w:ind w:left="120" w:right="1200" w:firstLine="440"/>
        <w:spacing w:after="0" w:line="312" w:lineRule="auto"/>
        <w:rPr>
          <w:sz w:val="20"/>
          <w:szCs w:val="20"/>
          <w:color w:val="auto"/>
        </w:rPr>
      </w:pPr>
      <w:r>
        <w:rPr>
          <w:rFonts w:ascii="Times New Roman" w:cs="Times New Roman" w:eastAsia="Times New Roman" w:hAnsi="Times New Roman"/>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36"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Information Reporting and Backup Withholding. </w:t>
      </w:r>
      <w:r>
        <w:rPr>
          <w:rFonts w:ascii="Times New Roman" w:cs="Times New Roman" w:eastAsia="Times New Roman" w:hAnsi="Times New Roman"/>
          <w:sz w:val="18"/>
          <w:szCs w:val="18"/>
          <w:color w:val="auto"/>
        </w:rPr>
        <w:t>We must report annually to the IRS and to each non-U.S. shareholder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Backup withholding (currently at the rate of 24%) and additional information reporting will generally not apply to distributions</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95"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derives 50% or more of its gross income for a specified three-year period from the conduct of a trade or business in the United States;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(generally, a foreign corporation controlled by stockholders that are United States persons) for U.S. tax purposes;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and Withholding on Foreign Financial Accounts. </w:t>
      </w:r>
      <w:r>
        <w:rPr>
          <w:rFonts w:ascii="Times New Roman" w:cs="Times New Roman" w:eastAsia="Times New Roman" w:hAnsi="Times New Roman"/>
          <w:sz w:val="18"/>
          <w:szCs w:val="18"/>
          <w:color w:val="auto"/>
        </w:rPr>
        <w:t>Under sections 1471 through 1474 of the Code, Treasury regulations and 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 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the Partnership (but not the Subsidiary Partnerships) currently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as Partnerships. </w:t>
      </w:r>
      <w:r>
        <w:rPr>
          <w:rFonts w:ascii="Times New Roman" w:cs="Times New Roman" w:eastAsia="Times New Roman" w:hAnsi="Times New Roman"/>
          <w:sz w:val="18"/>
          <w:szCs w:val="18"/>
          <w:color w:val="auto"/>
        </w:rPr>
        <w:t>We are entitled to include in our income our distributive share of the Partnership’s and Subsidiary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 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85" w:lineRule="exact"/>
        <w:rPr>
          <w:sz w:val="20"/>
          <w:szCs w:val="20"/>
          <w:color w:val="auto"/>
        </w:rPr>
      </w:pPr>
    </w:p>
    <w:p>
      <w:pPr>
        <w:jc w:val="both"/>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 Not the Partnership, Subject to Tax. </w:t>
      </w:r>
      <w:r>
        <w:rPr>
          <w:rFonts w:ascii="Times New Roman" w:cs="Times New Roman" w:eastAsia="Times New Roman" w:hAnsi="Times New Roman"/>
          <w:sz w:val="18"/>
          <w:szCs w:val="18"/>
          <w:color w:val="auto"/>
        </w:rPr>
        <w:t>The partners of the Partnership are subject to taxation. Except as discussed below in “—Revised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6"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Partnership Allocations</w:t>
      </w:r>
      <w:r>
        <w:rPr>
          <w:rFonts w:ascii="Times New Roman" w:cs="Times New Roman" w:eastAsia="Times New Roman" w:hAnsi="Times New Roman"/>
          <w:sz w:val="18"/>
          <w:szCs w:val="18"/>
          <w:color w:val="auto"/>
        </w:rPr>
        <w:t>. Although a partnership agreement generally will determine the allocation of income and losses among partners,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Tax Allocations with Respect to Contributed Properties</w:t>
      </w:r>
      <w:r>
        <w:rPr>
          <w:rFonts w:ascii="Times New Roman" w:cs="Times New Roman" w:eastAsia="Times New Roman" w:hAnsi="Times New Roman"/>
          <w:sz w:val="18"/>
          <w:szCs w:val="18"/>
          <w:color w:val="auto"/>
        </w:rPr>
        <w:t>. Pursuant to Section 704(c) of the Code, income, gain, loss and deduction attributable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gain attributable to such Book-Tax Difference (to the extent not previously taken into account) will generally be allocated to the contributing partners, including us, and other partners will generally be allocated only their share of gain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Book-Tax Difference may also arise as a result of the revaluation of property owned by the Partnership in connection with certain types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including in connection with certain non-pro rata contributions or distributions of assets by the Partnership in exchange for interests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Partnership. In the event of such a revaluation, the partners (including us) who were partners in the Partnership immediately prior to the revaluation will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required to take any Book-Tax Difference created as a result of such revaluation into account in substantially the same manner as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704(c) rules discussed above. This would result in us being allocated income, gain, loss and deduction for tax purposes in amounts different than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economic or book income allocated to us by the Partnership.</w:t>
      </w: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in Partnership Interest</w:t>
      </w:r>
      <w:r>
        <w:rPr>
          <w:rFonts w:ascii="Times New Roman" w:cs="Times New Roman" w:eastAsia="Times New Roman" w:hAnsi="Times New Roman"/>
          <w:sz w:val="18"/>
          <w:szCs w:val="18"/>
          <w:color w:val="auto"/>
        </w:rPr>
        <w:t>. Our adjusted tax basis in our partnership interest in the Partnership generally is equal to:</w:t>
      </w:r>
    </w:p>
    <w:p>
      <w:pPr>
        <w:spacing w:after="0" w:line="135"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adjusted tax basis of any other property contributed by us to the Partnership;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income,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debt of the Partnership;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but not below zero, by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share of the Partnership’s loss,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the basis of any property distributed to us,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the Partnership’s Property. </w:t>
      </w:r>
      <w:r>
        <w:rPr>
          <w:rFonts w:ascii="Times New Roman" w:cs="Times New Roman" w:eastAsia="Times New Roman" w:hAnsi="Times New Roman"/>
          <w:sz w:val="18"/>
          <w:szCs w:val="18"/>
          <w:color w:val="auto"/>
        </w:rPr>
        <w:t>Generally, any gain realized by the Partnership on the sale of property held by the Partnership for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Revised Partnership Audit Rules</w:t>
      </w:r>
      <w:r>
        <w:rPr>
          <w:rFonts w:ascii="Times New Roman" w:cs="Times New Roman" w:eastAsia="Times New Roman" w:hAnsi="Times New Roman"/>
          <w:sz w:val="18"/>
          <w:szCs w:val="18"/>
          <w:color w:val="auto"/>
        </w:rPr>
        <w:t>. Under partnership audit changes generally effective for audits in 2018 and later, a partnership (and not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some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 even though we, as a REIT, may not otherwise have been required to pay additional corporate-level taxes as a result of an audit adjustment.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Tax Considerations</w:t>
      </w:r>
    </w:p>
    <w:p>
      <w:pPr>
        <w:spacing w:after="0" w:line="117"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State and Local Taxes. </w:t>
      </w:r>
      <w:r>
        <w:rPr>
          <w:rFonts w:ascii="Times New Roman" w:cs="Times New Roman" w:eastAsia="Times New Roman" w:hAnsi="Times New Roman"/>
          <w:sz w:val="18"/>
          <w:szCs w:val="18"/>
          <w:color w:val="auto"/>
        </w:rPr>
        <w:t>We and/or you may be subject to state and local tax in various states and localities, including those states and localities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to Tax Laws and Regulations. </w:t>
      </w:r>
      <w:r>
        <w:rPr>
          <w:rFonts w:ascii="Times New Roman" w:cs="Times New Roman" w:eastAsia="Times New Roman" w:hAnsi="Times New Roman"/>
          <w:sz w:val="18"/>
          <w:szCs w:val="18"/>
          <w:color w:val="auto"/>
        </w:rPr>
        <w:t>The rules dealing with federal income taxation are subject to revision by the U.S. Congress, the 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Treasury, and statutory changes, new regulations, revisions to existing regulations and revised interpretations of established concepts are issued frequently. In particular, additional legislation, implementing regulations, and other guidance may be enacted or promulgated with respect to the Tax Cuts and Jobs Act of 2017, the 2020 CARES Act, and other recent legislation. We cannot assure you that a change in law, including the possibility of major tax legislation in 2024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SECURITY HOLDERS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Information about selling security holders and the terms of the securities offered for resale, where applicable, will be set forth in a prospectus supplement, in a post-effective amendment or in filings we make with the SEC under the Exchange Act that are incorporated into this prospectus by reference. Selling security holders may be deemed to be underwriters in connection with the securities they resell and any profits on the resale may be deemed to be underwriting discounts and commissions under the Securities Act. The selling security holders will receive all the proceeds from the resale of our securities. We will not receive any proceeds from resales by selling security holders.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by Us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methods by which we may distribute securities include:</w:t>
      </w:r>
    </w:p>
    <w:p>
      <w:pPr>
        <w:spacing w:after="0" w:line="131" w:lineRule="exact"/>
        <w:rPr>
          <w:sz w:val="20"/>
          <w:szCs w:val="20"/>
          <w:color w:val="auto"/>
        </w:rPr>
      </w:pPr>
    </w:p>
    <w:p>
      <w:pPr>
        <w:ind w:left="1080" w:right="14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dealer as principal and resale by such dealer for its account pursuant to this prospectus or any prospectus supplement;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 transactions and transactions in which the broker solicits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legally available means.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9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or traded in the over-the-counter market (other than the common shares and Series C depositary shares, which are quoted on the New York Stock Exchange). No assurance can be given as to the liquidity of the trading market for any such securities.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agents and their affiliates may engage in transactions with and perform services for us or our affiliates in the ordinary course of their respective businesses.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by Selling Security 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w:t>
      </w:r>
    </w:p>
    <w:p>
      <w:pPr>
        <w:spacing w:after="0" w:line="94" w:lineRule="exact"/>
        <w:rPr>
          <w:sz w:val="20"/>
          <w:szCs w:val="20"/>
          <w:color w:val="auto"/>
        </w:rPr>
      </w:pPr>
    </w:p>
    <w:p>
      <w:pPr>
        <w:ind w:left="1080" w:right="1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include cross trades) in which the broker or dealer so engaged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resales by the broker or dealer for its own account;</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or secondary distribution in accordance with the rules of any stock exchange on which the securities may be listed;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offering at other than a fixed price on or through the facilities of any stock exchange on which the securities are listed or to or through a market-maker other than on that stock exchange;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 directly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securities, whether or the options are listed on an options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security holder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between a broker or dealer and any security holder to sell a specified number of the securities at a stipulated price per share;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or distribution, or any other method permitted by applicable law.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security holders may also transfer the securities by gift.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on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192" w:lineRule="exact"/>
        <w:rPr>
          <w:sz w:val="20"/>
          <w:szCs w:val="20"/>
          <w:color w:val="auto"/>
        </w:rPr>
      </w:pPr>
    </w:p>
    <w:p>
      <w:pPr>
        <w:jc w:val="both"/>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securities by the selling security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assure you that the selling security holders will sell all or any portion of the securities offered hereby.</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supply the selling security holders and any stock exchange upon which the securities are listed with reasonable quantities of copies of this prospectus. To the extent required by Rule 424 under the Securities Act in connection with any resale or redistribution by a selling security holder, we will file a prospectus supplement setting forth:</w:t>
      </w:r>
    </w:p>
    <w:p>
      <w:pPr>
        <w:spacing w:after="0" w:line="81"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securities to be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underwriter, dealer or agent;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fees or other items constituting compensation to underwriters, dealers or agents with respect to the particular transaction (which may exceed customary commissions or compensation).</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by us with the SEC under Sections 13(a), 13(c), 14, or 15(d) of the Exchange Act from the date of this prospectus until the termination of the offering of the securities described in this prospectus or the expiration of the registration statement.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12,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9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11, 2024;</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responsive to part III of our Annual Report on Form 10-K for the year ended December 31, 2022 provided in our definitive proxy statement on </w:t>
      </w:r>
      <w:hyperlink r:id="rId9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March 24, 2023;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the Company’s common shares and Series C depositary shares contained in </w:t>
      </w:r>
      <w:hyperlink r:id="rId92">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February 12, 2024.</w:t>
      </w:r>
    </w:p>
    <w:p>
      <w:pPr>
        <w:spacing w:after="0" w:line="162" w:lineRule="exact"/>
        <w:rPr>
          <w:rFonts w:ascii="Times New Roman" w:cs="Times New Roman" w:eastAsia="Times New Roman" w:hAnsi="Times New Roman"/>
          <w:sz w:val="18"/>
          <w:szCs w:val="18"/>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7" w:lineRule="exact"/>
        <w:rPr>
          <w:rFonts w:ascii="Times New Roman" w:cs="Times New Roman" w:eastAsia="Times New Roman" w:hAnsi="Times New Roman"/>
          <w:sz w:val="18"/>
          <w:szCs w:val="18"/>
          <w:color w:val="auto"/>
        </w:rPr>
      </w:pPr>
    </w:p>
    <w:p>
      <w:pPr>
        <w:ind w:left="120" w:right="180" w:firstLine="440"/>
        <w:spacing w:after="0" w:line="290" w:lineRule="auto"/>
        <w:rPr>
          <w:sz w:val="20"/>
          <w:szCs w:val="20"/>
          <w:color w:val="auto"/>
        </w:rPr>
      </w:pPr>
      <w:r>
        <w:rPr>
          <w:rFonts w:ascii="Times New Roman" w:cs="Times New Roman" w:eastAsia="Times New Roman" w:hAnsi="Times New Roman"/>
          <w:sz w:val="17"/>
          <w:szCs w:val="17"/>
          <w:color w:val="auto"/>
        </w:rPr>
        <w:t xml:space="preserve">Copies of our SEC filings are available at no cost at our website, </w:t>
      </w:r>
      <w:r>
        <w:rPr>
          <w:rFonts w:ascii="Times New Roman" w:cs="Times New Roman" w:eastAsia="Times New Roman" w:hAnsi="Times New Roman"/>
          <w:sz w:val="17"/>
          <w:szCs w:val="17"/>
          <w:i w:val="1"/>
          <w:iCs w:val="1"/>
          <w:color w:val="auto"/>
        </w:rPr>
        <w:t>www.federalrealty.com</w:t>
      </w:r>
      <w:r>
        <w:rPr>
          <w:rFonts w:ascii="Times New Roman" w:cs="Times New Roman" w:eastAsia="Times New Roman" w:hAnsi="Times New Roman"/>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909 Rose Avenue</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North Bethesda, MD 20852</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(301) 998-8100</w:t>
      </w:r>
    </w:p>
    <w:p>
      <w:pPr>
        <w:spacing w:after="0" w:line="20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729615</wp:posOffset>
            </wp:positionV>
            <wp:extent cx="2237105" cy="6940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237105" cy="6940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32"/>
          <w:szCs w:val="32"/>
          <w:b w:val="1"/>
          <w:bCs w:val="1"/>
          <w:color w:val="auto"/>
        </w:rPr>
        <w:t>Federal Realty Investment Trust</w:t>
      </w:r>
    </w:p>
    <w:p>
      <w:pPr>
        <w:spacing w:after="0" w:line="200" w:lineRule="exact"/>
        <w:rPr>
          <w:sz w:val="20"/>
          <w:szCs w:val="20"/>
          <w:color w:val="auto"/>
        </w:rPr>
      </w:pPr>
    </w:p>
    <w:p>
      <w:pPr>
        <w:spacing w:after="0" w:line="24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5"/>
          <w:szCs w:val="25"/>
          <w:b w:val="1"/>
          <w:bCs w:val="1"/>
          <w:color w:val="auto"/>
        </w:rPr>
        <w:t>4,739,566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418465</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17" w:lineRule="exact"/>
        <w:rPr>
          <w:sz w:val="20"/>
          <w:szCs w:val="20"/>
          <w:color w:val="auto"/>
        </w:rPr>
      </w:pPr>
    </w:p>
    <w:p>
      <w:pPr>
        <w:ind w:left="5164"/>
        <w:spacing w:after="0"/>
        <w:rPr>
          <w:sz w:val="20"/>
          <w:szCs w:val="20"/>
          <w:color w:val="auto"/>
        </w:rPr>
      </w:pPr>
      <w:r>
        <w:rPr>
          <w:rFonts w:ascii="Times New Roman" w:cs="Times New Roman" w:eastAsia="Times New Roman" w:hAnsi="Times New Roman"/>
          <w:sz w:val="18"/>
          <w:szCs w:val="18"/>
          <w:b w:val="1"/>
          <w:bCs w:val="1"/>
          <w:color w:val="auto"/>
        </w:rPr>
        <w:t>424(b)(7)</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and Carry Forward Securities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18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Filing Fee</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Previously</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in</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Connection</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00" w:type="dxa"/>
            <w:vAlign w:val="bottom"/>
          </w:tcPr>
          <w:p>
            <w:pPr>
              <w:jc w:val="center"/>
              <w:ind w:left="85"/>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0" w:type="dxa"/>
            <w:vAlign w:val="bottom"/>
          </w:tcPr>
          <w:p>
            <w:pPr>
              <w:spacing w:after="0"/>
              <w:rPr>
                <w:sz w:val="1"/>
                <w:szCs w:val="1"/>
                <w:color w:val="auto"/>
              </w:rPr>
            </w:pPr>
          </w:p>
        </w:tc>
      </w:tr>
      <w:tr>
        <w:trPr>
          <w:trHeight w:val="128"/>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36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6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Carry</w:t>
            </w:r>
          </w:p>
        </w:tc>
        <w:tc>
          <w:tcPr>
            <w:tcW w:w="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7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700" w:type="dxa"/>
            <w:vAlign w:val="bottom"/>
          </w:tcPr>
          <w:p>
            <w:pPr>
              <w:jc w:val="center"/>
              <w:ind w:left="65"/>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Carry</w:t>
            </w: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Initial</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700" w:type="dxa"/>
            <w:vAlign w:val="bottom"/>
          </w:tcPr>
          <w:p>
            <w:pPr>
              <w:jc w:val="center"/>
              <w:ind w:left="85"/>
              <w:spacing w:after="0" w:line="135" w:lineRule="exact"/>
              <w:rPr>
                <w:sz w:val="20"/>
                <w:szCs w:val="20"/>
                <w:color w:val="auto"/>
              </w:rPr>
            </w:pPr>
            <w:r>
              <w:rPr>
                <w:rFonts w:ascii="Times New Roman" w:cs="Times New Roman" w:eastAsia="Times New Roman" w:hAnsi="Times New Roman"/>
                <w:sz w:val="13"/>
                <w:szCs w:val="13"/>
                <w:b w:val="1"/>
                <w:bCs w:val="1"/>
                <w:color w:val="auto"/>
                <w:w w:val="93"/>
              </w:rPr>
              <w:t>Forward</w:t>
            </w:r>
          </w:p>
        </w:tc>
        <w:tc>
          <w:tcPr>
            <w:tcW w:w="1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right"/>
              <w:ind w:right="161"/>
              <w:spacing w:after="0" w:line="135" w:lineRule="exact"/>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Form</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File</w:t>
            </w:r>
          </w:p>
        </w:tc>
        <w:tc>
          <w:tcPr>
            <w:tcW w:w="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Effective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Carried</w:t>
            </w:r>
          </w:p>
        </w:tc>
        <w:tc>
          <w:tcPr>
            <w:tcW w:w="0" w:type="dxa"/>
            <w:vAlign w:val="bottom"/>
          </w:tcPr>
          <w:p>
            <w:pPr>
              <w:spacing w:after="0"/>
              <w:rPr>
                <w:sz w:val="1"/>
                <w:szCs w:val="1"/>
                <w:color w:val="auto"/>
              </w:rPr>
            </w:pPr>
          </w:p>
        </w:tc>
      </w:tr>
      <w:tr>
        <w:trPr>
          <w:trHeight w:val="174"/>
        </w:trPr>
        <w:tc>
          <w:tcPr>
            <w:tcW w:w="118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700" w:type="dxa"/>
            <w:vAlign w:val="bottom"/>
            <w:tcBorders>
              <w:bottom w:val="single" w:sz="8" w:color="auto"/>
            </w:tcBorders>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Registered (1)</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Unit (2)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Fee (2)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Forward</w:t>
            </w:r>
          </w:p>
        </w:tc>
        <w:tc>
          <w:tcPr>
            <w:tcW w:w="0" w:type="dxa"/>
            <w:vAlign w:val="bottom"/>
          </w:tcPr>
          <w:p>
            <w:pPr>
              <w:spacing w:after="0"/>
              <w:rPr>
                <w:sz w:val="1"/>
                <w:szCs w:val="1"/>
                <w:color w:val="auto"/>
              </w:rPr>
            </w:pPr>
          </w:p>
        </w:tc>
      </w:tr>
      <w:tr>
        <w:trPr>
          <w:trHeight w:val="235"/>
        </w:trPr>
        <w:tc>
          <w:tcPr>
            <w:tcW w:w="118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center"/>
              <w:ind w:right="808"/>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of</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beneficial</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interest,</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Fees to be</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 par</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80" w:type="dxa"/>
            <w:vAlign w:val="bottom"/>
            <w:tcBorders>
              <w:left w:val="single" w:sz="8" w:color="auto"/>
              <w:right w:val="single" w:sz="8" w:color="auto"/>
            </w:tcBorders>
            <w:vMerge w:val="continue"/>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w:t>
            </w: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00" w:type="dxa"/>
            <w:vAlign w:val="bottom"/>
            <w:tcBorders>
              <w:bottom w:val="single" w:sz="8" w:color="auto"/>
            </w:tcBorders>
          </w:tcPr>
          <w:p>
            <w:pPr>
              <w:jc w:val="center"/>
              <w:ind w:left="85"/>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4,739,566</w:t>
            </w:r>
          </w:p>
        </w:tc>
        <w:tc>
          <w:tcPr>
            <w:tcW w:w="700" w:type="dxa"/>
            <w:vAlign w:val="bottom"/>
            <w:tcBorders>
              <w:bottom w:val="single" w:sz="8" w:color="auto"/>
              <w:right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$99.96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$473,767,017.40</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$69,929</w:t>
            </w:r>
          </w:p>
        </w:tc>
        <w:tc>
          <w:tcPr>
            <w:tcW w:w="6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8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tcBorders>
          </w:tcPr>
          <w:p>
            <w:pPr>
              <w:jc w:val="center"/>
              <w:ind w:left="8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65"/>
              <w:spacing w:after="0"/>
              <w:rPr>
                <w:sz w:val="20"/>
                <w:szCs w:val="20"/>
                <w:color w:val="auto"/>
              </w:rPr>
            </w:pPr>
            <w:r>
              <w:rPr>
                <w:rFonts w:ascii="Times New Roman" w:cs="Times New Roman" w:eastAsia="Times New Roman" w:hAnsi="Times New Roman"/>
                <w:sz w:val="18"/>
                <w:szCs w:val="18"/>
                <w:b w:val="1"/>
                <w:bCs w:val="1"/>
                <w:color w:val="auto"/>
                <w:w w:val="99"/>
              </w:rPr>
              <w:t>Carry Forward Securities</w:t>
            </w: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jc w:val="center"/>
              <w:ind w:left="50"/>
              <w:spacing w:after="0" w:line="203" w:lineRule="exact"/>
              <w:rPr>
                <w:sz w:val="20"/>
                <w:szCs w:val="20"/>
                <w:color w:val="auto"/>
              </w:rPr>
            </w:pPr>
            <w:r>
              <w:rPr>
                <w:rFonts w:ascii="Times New Roman" w:cs="Times New Roman" w:eastAsia="Times New Roman" w:hAnsi="Times New Roman"/>
                <w:sz w:val="18"/>
                <w:szCs w:val="18"/>
                <w:b w:val="1"/>
                <w:bCs w:val="1"/>
                <w:color w:val="auto"/>
              </w:rPr>
              <w:t>Carry</w:t>
            </w:r>
          </w:p>
        </w:tc>
        <w:tc>
          <w:tcPr>
            <w:tcW w:w="6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6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tcBorders>
          </w:tcPr>
          <w:p>
            <w:pPr>
              <w:jc w:val="center"/>
              <w:ind w:left="8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1"/>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 Offering Amounts </w:t>
            </w: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$473,767,017.40</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$69,929</w:t>
            </w: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56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Fees Previously Paid </w:t>
            </w: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4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 Fees Offsets</w:t>
            </w:r>
            <w:r>
              <w:rPr>
                <w:rFonts w:ascii="Times New Roman" w:cs="Times New Roman" w:eastAsia="Times New Roman" w:hAnsi="Times New Roman"/>
                <w:sz w:val="18"/>
                <w:szCs w:val="18"/>
                <w:color w:val="auto"/>
              </w:rPr>
              <w:t xml:space="preserve"> </w:t>
            </w: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Net Fee Due </w:t>
            </w:r>
          </w:p>
        </w:tc>
        <w:tc>
          <w:tcPr>
            <w:tcW w:w="70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$69,929</w:t>
            </w:r>
          </w:p>
        </w:tc>
        <w:tc>
          <w:tcPr>
            <w:tcW w:w="6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80" w:hanging="424"/>
        <w:spacing w:after="0" w:line="257" w:lineRule="auto"/>
        <w:tabs>
          <w:tab w:leader="none" w:pos="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4,739,566 common shares of beneficial interest, $.01 par value per share (“Common Shares”), of Federal Realty Investment Trust issuable in exchange for 3.25% Exchangeable Senior Notes due 2029 of Federal Realty OP LP, assuming a maximum exchange rate of 9.7723 Common Shares per $1,000 principal amount of notes.</w:t>
      </w:r>
    </w:p>
    <w:p>
      <w:pPr>
        <w:spacing w:after="0" w:line="1"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based on the average ($99.96 per share) of the high ($100.61 per share) and low ($99.31 per share) prices of the Common Shares on the New York Stock Exchange on March 1, 2024, which date is within five business days prior to filing this Prospectus Supplement, in accordance with Rule 457(c).</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30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30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upperLetter"/>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lvl w:ilvl="1">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lvl w:ilvl="1">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lvl w:ilvl="1">
      <w:lvlJc w:val="left"/>
      <w:lvlText w:val="•"/>
      <w:numFmt w:val="bullet"/>
      <w:start w:val="1"/>
    </w:lvl>
  </w:abstractNum>
  <w:abstractNum w:abstractNumId="46">
    <w:nsid w:val="1381823A"/>
    <w:multiLevelType w:val="hybridMultilevel"/>
    <w:lvl w:ilvl="0">
      <w:lvlJc w:val="left"/>
      <w:lvlText w:val="•"/>
      <w:numFmt w:val="bullet"/>
      <w:start w:val="1"/>
    </w:lvl>
    <w:lvl w:ilvl="1">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3"/>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decimal"/>
      <w:start w:val="5"/>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lvl w:ilvl="1">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lvl w:ilvl="1">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lvl w:ilvl="1">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lvl w:ilvl="1">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jpe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89" Type="http://schemas.openxmlformats.org/officeDocument/2006/relationships/hyperlink" Target="http://www.sec.gov/ix?doc=/Archives/edgar/data/34903/000003490324000032/frt-20231231.htm" TargetMode="External"/><Relationship Id="rId90" Type="http://schemas.openxmlformats.org/officeDocument/2006/relationships/hyperlink" Target="http://www.sec.gov/ix?doc=/Archives/edgar/data/34903/000119312524006607/d712379d8k.htm" TargetMode="External"/><Relationship Id="rId91" Type="http://schemas.openxmlformats.org/officeDocument/2006/relationships/hyperlink" Target="http://www.sec.gov/ix?doc=/Archives/edgar/data/34903/000119312523078574/d396603ddef14a.htm" TargetMode="External"/><Relationship Id="rId92" Type="http://schemas.openxmlformats.org/officeDocument/2006/relationships/hyperlink" Target="http://www.sec.gov/Archives/edgar/data/34903/000003490324000032/frt-12312023x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2024-03-08T16:20:17Z</dcterms:created>
  <dcterms:modified xsi:type="dcterms:W3CDTF">2024-03-08T16:20:17Z</dcterms:modified>
</cp:coreProperties>
</file>