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February 24,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93"/>
              </w:rPr>
              <w:t>Maryland</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February 24, 2011, Federal Realty Investment Trust (the “Company”) entered into an Equity Distribution Agreement (the “Agreement”) with Wells Fargo Securities, LLC (“Wells Fargo”). Under the terms of the Agreement, the Company may issue and sell, from time to time, up to $300,000,000 in aggregate offering price of the Company’s common shares of beneficial interest, par value $0.01 per share (the “Shares”), through Wells Fargo, acting as agent and/or principal.</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of Shares, if any, will be made in negotiated transactions or transactions that are deemed to be “at the market” offerings, including sales made directly on the New York Stock Exchange or sales made to or through a market maker other than on an exchange. The Company will pay Wells Fargo compensation for sales of Shares at a mutually agreed rate not to exceed, but may be lower than, 2% of the gross sales price of the Shares. Under the Agreement, the Company may also sell Shares to Wells Fargo for its own account.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Agreement is filed as Exhibit 1.1 to this Current Report on Form 8-K and is incorporated herein by reference. The foregoing description of the material terms of the Agreement is qualified in its entirety by reference to such exhibit.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Equity Distribution Agreement, dated February 24, 2011, between Federal Realty Investment Trust and Wells Fargo Securities, LLC</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relating to legality of the Shares</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Pillsbury Winthrop Shaw Pittman LLP relating to certain tax matters</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Consents of Pillsbury Winthrop Shaw Pittman LLP (contained in the opinions filed as Exhibits 5.1 and 8.1 hereto)</w:t>
      </w:r>
    </w:p>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February 24, 2011</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Executive Vice President-Chief Operating Officer</w:t>
      </w:r>
    </w:p>
    <w:p>
      <w:pPr>
        <w:sectPr>
          <w:pgSz w:w="11900" w:h="16838" w:orient="portrait"/>
          <w:cols w:equalWidth="0" w:num="1">
            <w:col w:w="11400"/>
          </w:cols>
          <w:pgMar w:left="240" w:top="280" w:right="259" w:bottom="1440" w:gutter="0" w:footer="0" w:header="0"/>
        </w:sectPr>
      </w:pPr>
    </w:p>
    <w:bookmarkStart w:id="3" w:name="page4"/>
    <w:bookmarkEnd w:id="3"/>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Equity Distribution Agreement, dated February 24, 2011, between Federal Realty Investment Trust and Wells Fargo Securities, LLC</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relating to legality of the Shares</w:t>
      </w:r>
    </w:p>
    <w:p>
      <w:pPr>
        <w:spacing w:after="0" w:line="11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Pillsbury Winthrop Shaw Pittman LLP relating to certain tax matters</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Consents of Pillsbury Winthrop Shaw Pittman LLP (contained in the opinions filed as Exhibits 5.1 and 8.1 hereto)</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628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w w:val="96"/>
              </w:rPr>
              <w:t>TABLE OF CONTENTS</w:t>
            </w:r>
          </w:p>
        </w:tc>
        <w:tc>
          <w:tcPr>
            <w:tcW w:w="260" w:type="dxa"/>
            <w:vAlign w:val="bottom"/>
          </w:tcPr>
          <w:p>
            <w:pPr>
              <w:spacing w:after="0"/>
              <w:rPr>
                <w:sz w:val="17"/>
                <w:szCs w:val="17"/>
                <w:color w:val="auto"/>
              </w:rPr>
            </w:pPr>
          </w:p>
        </w:tc>
      </w:tr>
      <w:tr>
        <w:trPr>
          <w:trHeight w:val="372"/>
        </w:trPr>
        <w:tc>
          <w:tcPr>
            <w:tcW w:w="1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16"/>
        </w:trPr>
        <w:tc>
          <w:tcPr>
            <w:tcW w:w="1280" w:type="dxa"/>
            <w:vAlign w:val="bottom"/>
          </w:tcPr>
          <w:p>
            <w:pPr>
              <w:spacing w:after="0"/>
              <w:rPr>
                <w:sz w:val="20"/>
                <w:szCs w:val="20"/>
                <w:color w:val="auto"/>
              </w:rPr>
            </w:pPr>
            <w:r>
              <w:rPr>
                <w:rFonts w:ascii="Arial" w:cs="Arial" w:eastAsia="Arial" w:hAnsi="Arial"/>
                <w:sz w:val="18"/>
                <w:szCs w:val="18"/>
                <w:color w:val="auto"/>
              </w:rPr>
              <w:t>SECTION 1.</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Description of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Placements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Sale of Placement Securities by Wells Fargo</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4.</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Suspension of Sales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6.</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Sale and Delivery to Wells Fargo; Settlement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7.</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Covenants of the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8.</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Payment of Expenses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9.</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Conditions of Wells Fargo’s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Contribution</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12.</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Representations, Warranties and Agreements to Survive Delivery</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13.</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Termination of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14.</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15.</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Parties</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16.</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Adjustments for Stock Splits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17.</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Governing Law and Time</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18.</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Effect of Headings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19.</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20.</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Permitted Free Writing Prospectuses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21.</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Absence of Fiduciary Relationship</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1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280" w:type="dxa"/>
            <w:vAlign w:val="bottom"/>
            <w:gridSpan w:val="2"/>
          </w:tcPr>
          <w:p>
            <w:pPr>
              <w:jc w:val="center"/>
              <w:ind w:right="4400"/>
              <w:spacing w:after="0"/>
              <w:rPr>
                <w:sz w:val="20"/>
                <w:szCs w:val="20"/>
                <w:color w:val="auto"/>
              </w:rPr>
            </w:pPr>
            <w:r>
              <w:rPr>
                <w:rFonts w:ascii="Arial" w:cs="Arial" w:eastAsia="Arial" w:hAnsi="Arial"/>
                <w:sz w:val="18"/>
                <w:szCs w:val="18"/>
                <w:color w:val="auto"/>
                <w:w w:val="99"/>
              </w:rPr>
              <w:t>-i-</w:t>
            </w:r>
          </w:p>
        </w:tc>
        <w:tc>
          <w:tcPr>
            <w:tcW w:w="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r>
      <w:tr>
        <w:trPr>
          <w:trHeight w:val="235"/>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(Continued)</w:t>
            </w:r>
          </w:p>
        </w:tc>
      </w:tr>
      <w:tr>
        <w:trPr>
          <w:trHeight w:val="378"/>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Exhibit A</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Form of Placement Notice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B</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C</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Compensation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D-1</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5"/>
              </w:rPr>
              <w:t>–  Form of Opinion of Pillsbury Winthrop Shaw Pittman LLP (Corporate)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D-2</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E</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Officers’ Certificate</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Exhibit F</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  Permitted Free Writing Prospectus</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57"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w:t>
      </w:r>
      <w:r>
        <w:rPr>
          <w:rFonts w:ascii="Arial" w:cs="Arial" w:eastAsia="Arial" w:hAnsi="Arial"/>
          <w:sz w:val="18"/>
          <w:szCs w:val="18"/>
          <w:u w:val="single" w:color="auto"/>
          <w:color w:val="auto"/>
        </w:rPr>
        <w:t>Wells Fargo</w:t>
      </w:r>
      <w:r>
        <w:rPr>
          <w:rFonts w:ascii="Arial" w:cs="Arial" w:eastAsia="Arial" w:hAnsi="Arial"/>
          <w:sz w:val="18"/>
          <w:szCs w:val="18"/>
          <w:color w:val="auto"/>
        </w:rPr>
        <w:t>”),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Description of Securities</w:t>
      </w:r>
      <w:r>
        <w:rPr>
          <w:rFonts w:ascii="Arial" w:cs="Arial" w:eastAsia="Arial" w:hAnsi="Arial"/>
          <w:sz w:val="16"/>
          <w:szCs w:val="16"/>
          <w:color w:val="auto"/>
        </w:rPr>
        <w:t>. The Company agrees that, from time to time during the term of this Agreement, on the terms and subject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conditions set forth herein, the Company may issue and sell through Wells Fargo, acting as agent and/or principal, its common shares of beneficial interest, par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$.01 per share (the “</w:t>
      </w:r>
      <w:r>
        <w:rPr>
          <w:rFonts w:ascii="Arial" w:cs="Arial" w:eastAsia="Arial" w:hAnsi="Arial"/>
          <w:sz w:val="16"/>
          <w:szCs w:val="16"/>
          <w:u w:val="single" w:color="auto"/>
          <w:color w:val="auto"/>
        </w:rPr>
        <w:t>Common Shares</w:t>
      </w:r>
      <w:r>
        <w:rPr>
          <w:rFonts w:ascii="Arial" w:cs="Arial" w:eastAsia="Arial" w:hAnsi="Arial"/>
          <w:sz w:val="16"/>
          <w:szCs w:val="16"/>
          <w:color w:val="auto"/>
        </w:rPr>
        <w:t>”), having an aggregate offering price of up to $300,000,000 (the “</w:t>
      </w:r>
      <w:r>
        <w:rPr>
          <w:rFonts w:ascii="Arial" w:cs="Arial" w:eastAsia="Arial" w:hAnsi="Arial"/>
          <w:sz w:val="16"/>
          <w:szCs w:val="16"/>
          <w:u w:val="single" w:color="auto"/>
          <w:color w:val="auto"/>
        </w:rPr>
        <w:t>Maximum Amount</w:t>
      </w:r>
      <w:r>
        <w:rPr>
          <w:rFonts w:ascii="Arial" w:cs="Arial" w:eastAsia="Arial" w:hAnsi="Arial"/>
          <w:sz w:val="16"/>
          <w:szCs w:val="16"/>
          <w:color w:val="auto"/>
        </w:rPr>
        <w:t>”). The Common Shares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Agreement, up to the Maximum Amount, shall be referred to herein as the “Securities.” Notwithstanding anything to the contrary contained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the parties hereto agree that compliance with the limitations set forth in this Section 1 regarding the aggregate offering price of the Securities issued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under this Agreement shall be the sole responsibility of the Company, and Wells Fargo shall have no obligation in connection with such compliance.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and sale of the Securities through Wells Fargo will be effected pursuant to the Registration Statement (as defined below) that was filed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became effective upon filing under Rule 462(e) of the Securities Act of 1933, as amended, and the rules and regulations thereunder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w:t>
      </w:r>
      <w:r>
        <w:rPr>
          <w:rFonts w:ascii="Arial" w:cs="Arial" w:eastAsia="Arial" w:hAnsi="Arial"/>
          <w:sz w:val="16"/>
          <w:szCs w:val="16"/>
          <w:u w:val="single" w:color="auto"/>
          <w:color w:val="auto"/>
        </w:rPr>
        <w:t>Rule 462(e)</w:t>
      </w:r>
      <w:r>
        <w:rPr>
          <w:rFonts w:ascii="Arial" w:cs="Arial" w:eastAsia="Arial" w:hAnsi="Arial"/>
          <w:sz w:val="16"/>
          <w:szCs w:val="16"/>
          <w:color w:val="auto"/>
        </w:rPr>
        <w:t>”), although nothing in this Agreement shall be construed as requiring the Company to use the Registration Statement to issue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has filed, in accordance with the provisions of the Securities Act,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 automatic shelf registration statement on Form S-3 (File No. 333-160009),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Company has prepared a prospectus 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Wells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8" w:name="page9"/>
    <w:bookmarkEnd w:id="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Fargo, for use by Wells Fargo,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Wells Fargo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xml:space="preserve">”), (b) the time period during which sales are requested to be made, (c) 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schedule),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(any reference to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contained herein shall refer to such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may be amended from time to time).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Wells Fargo wishes to accept such proposed terms included in the Placement Notice (which it may decline to do for any reason in its sole discretion) or, following discussion with the Company, wishes to accept amended terms, Wells Fargo will, prior to 4:30 p.m. (New York City Time) on the business day following the business day on which such Placement Notice is delivered to Wells Fargo, issue to the Company a notice by email (or other method mutually agreed to in writing by the parties) addressed to all of the individuals from the Company and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Wells Fargo is willing to accept. Where the terms provided in the Placement Notice are amended as provided for in the immediately preceding sentence, such terms will not be binding on the Company or Wells Fargo until the Company delivers to Wells Fargo an acceptance by email (or other method mutually agreed to in writing by the parties) of all of the terms of such Placement Notice, as amended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 w:name="page10"/>
    <w:bookmarkEnd w:id="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Wells Fargo’s acceptance of the terms of the Placement Notice or upon receipt by Wells Fargo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Wells Fargo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Wells Fargo will have any obligation whatsoever with respect to a Placement or any Placement Securities unless and until the Company delivers a Placement Notice to Wells Fargo and either (i) Wells Fargo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Sale of Placement Securities by Wells Fargo</w:t>
      </w:r>
      <w:r>
        <w:rPr>
          <w:rFonts w:ascii="Arial" w:cs="Arial" w:eastAsia="Arial" w:hAnsi="Arial"/>
          <w:sz w:val="16"/>
          <w:szCs w:val="16"/>
          <w:color w:val="auto"/>
        </w:rPr>
        <w:t>. Subject to the provisions of Section 6(a), Wells Fargo,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Wells Fargo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 Company to Wells Fargo pursuant to Section 2 with respect to such sales, and the Net Proceeds (as defined below) payable to the Company, with an itemization of the deductions made by Wells Fargo (as set forth in Section 6(b)) from the gross proceeds that it receives from such sales. Subject to the terms of the Placement Notice (as amended by the corresponding Acceptance, if applicable), Wells Fargo may sell Placement Securities by any method permitted by law deemed to be an “at the market” offering as defined in Rule 415 of the Securities Act, including without limitation sales made directly on the NYSE, on any other existing trading market for the Common Shares or to or through a market maker. Subject to the terms of the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Placement Notice (as amended by the corresponding Acceptance, if applicable), Wells Fargo may also sell Placement Securities by any other method permitted by law, including but not limited to in privately negotiated transactions. For the purposes hereof, “</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Common Shares are purchased and sold on the principal market on which the Common Shares are listed or quoted.</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Suspension of Sales</w:t>
      </w:r>
      <w:r>
        <w:rPr>
          <w:rFonts w:ascii="Arial" w:cs="Arial" w:eastAsia="Arial" w:hAnsi="Arial"/>
          <w:sz w:val="16"/>
          <w:szCs w:val="16"/>
          <w:color w:val="auto"/>
        </w:rPr>
        <w:t xml:space="preserve">. The Company or Wells Fargo may, upon notice to the other party in writing (including by email correspondence to each of the individuals of the other party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suspend any sale of Placement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suspension shall not affect or impair either party’s obligations with respect to any Placement Securities sold hereunder prior to the receipt of such notice.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if notice is made by telephone. Each party shall acknowledge any notice received pursuant to this Section 4 as promptly as possible.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9"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Wells Fargo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Wells Fargo, as follows:</w:t>
      </w:r>
    </w:p>
    <w:p>
      <w:pPr>
        <w:spacing w:after="0" w:line="59" w:lineRule="exact"/>
        <w:rPr>
          <w:rFonts w:ascii="Arial" w:cs="Arial" w:eastAsia="Arial" w:hAnsi="Arial"/>
          <w:sz w:val="18"/>
          <w:szCs w:val="18"/>
          <w:color w:val="auto"/>
        </w:rPr>
      </w:pPr>
    </w:p>
    <w:p>
      <w:pPr>
        <w:ind w:left="460" w:right="20" w:firstLine="443"/>
        <w:spacing w:after="0" w:line="283" w:lineRule="auto"/>
        <w:tabs>
          <w:tab w:leader="none" w:pos="1147"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Status as a Well-Known Seasoned Issuer; Registration Statement Effective; Conform to Securities Act; No Misleading Statements; Conformity with EDGAR filings</w:t>
      </w:r>
      <w:r>
        <w:rPr>
          <w:rFonts w:ascii="Arial" w:cs="Arial" w:eastAsia="Arial" w:hAnsi="Arial"/>
          <w:sz w:val="16"/>
          <w:szCs w:val="16"/>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w:t>
      </w:r>
      <w:r>
        <w:rPr>
          <w:rFonts w:ascii="Arial" w:cs="Arial" w:eastAsia="Arial" w:hAnsi="Arial"/>
          <w:sz w:val="16"/>
          <w:szCs w:val="16"/>
          <w:u w:val="single" w:color="auto"/>
          <w:color w:val="auto"/>
        </w:rPr>
        <w:t>Rule 163</w:t>
      </w:r>
      <w:r>
        <w:rPr>
          <w:rFonts w:ascii="Arial" w:cs="Arial" w:eastAsia="Arial" w:hAnsi="Arial"/>
          <w:sz w:val="16"/>
          <w:szCs w:val="16"/>
          <w:color w:val="auto"/>
        </w:rPr>
        <w:t>”), (D) at the earliest time that the Company or another offering participant made a bona fide offer (within the meaning of Rule 164(h)(2) under the Securities Act) of the Securities and (E) at the date hereof, the Company was, is and will be a “well-known seasoned issuer” as defined in</w:t>
      </w:r>
    </w:p>
    <w:p>
      <w:pPr>
        <w:ind w:left="460" w:right="260"/>
        <w:spacing w:after="0" w:line="323" w:lineRule="auto"/>
        <w:rPr>
          <w:rFonts w:ascii="Arial" w:cs="Arial" w:eastAsia="Arial" w:hAnsi="Arial"/>
          <w:sz w:val="16"/>
          <w:szCs w:val="16"/>
          <w:color w:val="auto"/>
        </w:rPr>
      </w:pPr>
      <w:r>
        <w:rPr>
          <w:rFonts w:ascii="Arial" w:cs="Arial" w:eastAsia="Arial" w:hAnsi="Arial"/>
          <w:sz w:val="16"/>
          <w:szCs w:val="16"/>
          <w:color w:val="auto"/>
        </w:rPr>
        <w:t>Rule 405 under the Securities Act (“</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 w:name="page12"/>
    <w:bookmarkEnd w:id="11"/>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39" w:lineRule="exact"/>
        <w:rPr>
          <w:sz w:val="20"/>
          <w:szCs w:val="20"/>
          <w:color w:val="auto"/>
        </w:rPr>
      </w:pPr>
    </w:p>
    <w:p>
      <w:pPr>
        <w:ind w:right="240" w:firstLine="438"/>
        <w:spacing w:after="0" w:line="298" w:lineRule="auto"/>
        <w:rPr>
          <w:sz w:val="20"/>
          <w:szCs w:val="20"/>
          <w:color w:val="auto"/>
        </w:rPr>
      </w:pPr>
      <w:r>
        <w:rPr>
          <w:rFonts w:ascii="Arial" w:cs="Arial" w:eastAsia="Arial" w:hAnsi="Arial"/>
          <w:sz w:val="16"/>
          <w:szCs w:val="16"/>
          <w:color w:val="auto"/>
        </w:rPr>
        <w:t>The Original Registration Statement became effective upon filing under Rule 462(e) on June 16, 2009,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right="60" w:firstLine="438"/>
        <w:spacing w:after="0" w:line="298"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Wells Fargo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32"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35"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Wells Fargo for use in connection with the offering of any Securities was identical to the electronically transmitted copies thereof filed with the Commission pursuant to EDGAR, except to the extent permitted by Regulation S-T.</w:t>
      </w:r>
    </w:p>
    <w:p>
      <w:pPr>
        <w:spacing w:after="0" w:line="62"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Each Issuer Free Writing Prospectus, as of its issue date and as of the relevant Applicable Time and Settlement Date, or until any earlier date that the issuer notified or</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notifies Wells Fargo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62" w:lineRule="exact"/>
        <w:rPr>
          <w:sz w:val="20"/>
          <w:szCs w:val="20"/>
          <w:color w:val="auto"/>
        </w:rPr>
      </w:pPr>
    </w:p>
    <w:p>
      <w:pPr>
        <w:ind w:right="280" w:firstLine="438"/>
        <w:spacing w:after="0" w:line="259"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Wells Fargo expressly for use therein.</w:t>
      </w:r>
    </w:p>
    <w:p>
      <w:pPr>
        <w:spacing w:after="0" w:line="59" w:lineRule="exact"/>
        <w:rPr>
          <w:sz w:val="20"/>
          <w:szCs w:val="20"/>
          <w:color w:val="auto"/>
        </w:rPr>
      </w:pPr>
    </w:p>
    <w:p>
      <w:pPr>
        <w:ind w:firstLine="443"/>
        <w:spacing w:after="0" w:line="306"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25" w:lineRule="exact"/>
        <w:rPr>
          <w:rFonts w:ascii="Arial" w:cs="Arial" w:eastAsia="Arial" w:hAnsi="Arial"/>
          <w:sz w:val="16"/>
          <w:szCs w:val="16"/>
          <w:color w:val="auto"/>
        </w:rPr>
      </w:pPr>
    </w:p>
    <w:p>
      <w:pPr>
        <w:ind w:firstLine="443"/>
        <w:spacing w:after="0" w:line="285"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 and Significant Subsidiaries</w:t>
      </w:r>
      <w:r>
        <w:rPr>
          <w:rFonts w:ascii="Arial" w:cs="Arial" w:eastAsia="Arial" w:hAnsi="Arial"/>
          <w:sz w:val="16"/>
          <w:szCs w:val="16"/>
          <w:color w:val="auto"/>
        </w:rPr>
        <w:t>. 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“Subsidiary” and collectively, the “Subsidiaries”) has been duly organized and is validly existing as a corporation, partnership, limited liability company, trusts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3" w:name="page14"/>
    <w:bookmarkEnd w:id="13"/>
    <w:p>
      <w:pPr>
        <w:ind w:firstLine="443"/>
        <w:spacing w:after="0" w:line="285"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(iii) any of the Company’s employee or trustee benefits plans or employee inducement awards, including upon exercise of share options granted pursuant thereto, as such plans are in effect on the date hereof or consistent with past practice, (iv) the exercise of contractual rights existing on the date hereof by the current and former holders of partnership or other interests in certain of the “DownREIT” and other subsidiaries which may result in the issuance of Common Shares of the Company or (v)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42" w:lineRule="exact"/>
        <w:rPr>
          <w:rFonts w:ascii="Arial" w:cs="Arial" w:eastAsia="Arial" w:hAnsi="Arial"/>
          <w:sz w:val="16"/>
          <w:szCs w:val="16"/>
          <w:color w:val="auto"/>
        </w:rPr>
      </w:pPr>
    </w:p>
    <w:p>
      <w:pPr>
        <w:ind w:right="60" w:firstLine="443"/>
        <w:spacing w:after="0" w:line="298"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31" w:lineRule="exact"/>
        <w:rPr>
          <w:rFonts w:ascii="Arial" w:cs="Arial" w:eastAsia="Arial" w:hAnsi="Arial"/>
          <w:sz w:val="16"/>
          <w:szCs w:val="16"/>
          <w:color w:val="auto"/>
        </w:rPr>
      </w:pPr>
    </w:p>
    <w:p>
      <w:pPr>
        <w:ind w:right="180" w:firstLine="443"/>
        <w:spacing w:after="0" w:line="268"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50" w:lineRule="exact"/>
        <w:rPr>
          <w:rFonts w:ascii="Arial" w:cs="Arial" w:eastAsia="Arial" w:hAnsi="Arial"/>
          <w:sz w:val="18"/>
          <w:szCs w:val="18"/>
          <w:color w:val="auto"/>
        </w:rPr>
      </w:pPr>
    </w:p>
    <w:p>
      <w:pPr>
        <w:ind w:right="340" w:firstLine="443"/>
        <w:spacing w:after="0" w:line="268"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Authorization of Securities</w:t>
      </w:r>
      <w:r>
        <w:rPr>
          <w:rFonts w:ascii="Arial" w:cs="Arial" w:eastAsia="Arial" w:hAnsi="Arial"/>
          <w:sz w:val="18"/>
          <w:szCs w:val="18"/>
          <w:color w:val="auto"/>
        </w:rPr>
        <w:t>. The Securities have been duly and validly authorized by the Company, and, when such Securities are issued and delivered pursuant</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14" w:name="page15"/>
    <w:bookmarkEnd w:id="1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62" w:lineRule="exact"/>
        <w:rPr>
          <w:sz w:val="20"/>
          <w:szCs w:val="20"/>
          <w:color w:val="auto"/>
        </w:rPr>
      </w:pPr>
    </w:p>
    <w:p>
      <w:pPr>
        <w:ind w:left="700" w:hanging="257"/>
        <w:spacing w:after="0"/>
        <w:tabs>
          <w:tab w:leader="none" w:pos="700"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No Violations</w:t>
      </w:r>
      <w:r>
        <w:rPr>
          <w:rFonts w:ascii="Arial" w:cs="Arial" w:eastAsia="Arial" w:hAnsi="Arial"/>
          <w:sz w:val="16"/>
          <w:szCs w:val="16"/>
          <w:color w:val="auto"/>
        </w:rPr>
        <w:t>. (i) Neither the Company nor any of its Subsidiaries is in violation of its charter or by-laws or similar organizational documents;</w:t>
      </w:r>
    </w:p>
    <w:p>
      <w:pPr>
        <w:spacing w:after="0" w:line="38" w:lineRule="exact"/>
        <w:rPr>
          <w:rFonts w:ascii="Arial" w:cs="Arial" w:eastAsia="Arial" w:hAnsi="Arial"/>
          <w:sz w:val="16"/>
          <w:szCs w:val="16"/>
          <w:color w:val="auto"/>
        </w:rPr>
      </w:pPr>
    </w:p>
    <w:p>
      <w:pPr>
        <w:ind w:firstLine="4"/>
        <w:spacing w:after="0" w:line="287"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43" w:lineRule="exact"/>
        <w:rPr>
          <w:rFonts w:ascii="Arial" w:cs="Arial" w:eastAsia="Arial" w:hAnsi="Arial"/>
          <w:sz w:val="16"/>
          <w:szCs w:val="16"/>
          <w:color w:val="auto"/>
        </w:rPr>
      </w:pPr>
    </w:p>
    <w:p>
      <w:pPr>
        <w:ind w:right="40" w:firstLine="443"/>
        <w:spacing w:after="0" w:line="286" w:lineRule="auto"/>
        <w:tabs>
          <w:tab w:leader="none" w:pos="687"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Absence of Conflicts; Absence of Further Requirements</w:t>
      </w:r>
      <w:r>
        <w:rPr>
          <w:rFonts w:ascii="Arial" w:cs="Arial" w:eastAsia="Arial" w:hAnsi="Arial"/>
          <w:sz w:val="16"/>
          <w:szCs w:val="16"/>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w:t>
      </w:r>
      <w:r>
        <w:rPr>
          <w:rFonts w:ascii="Arial" w:cs="Arial" w:eastAsia="Arial" w:hAnsi="Arial"/>
          <w:sz w:val="16"/>
          <w:szCs w:val="16"/>
          <w:u w:val="single" w:color="auto"/>
          <w:color w:val="auto"/>
        </w:rPr>
        <w:t>Declaration of Trust</w:t>
      </w:r>
      <w:r>
        <w:rPr>
          <w:rFonts w:ascii="Arial" w:cs="Arial" w:eastAsia="Arial" w:hAnsi="Arial"/>
          <w:sz w:val="16"/>
          <w:szCs w:val="16"/>
          <w:color w:val="auto"/>
        </w:rPr>
        <w:t>”) or bylaws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New York Stock Exchange, Inc. (the “</w:t>
      </w:r>
      <w:r>
        <w:rPr>
          <w:rFonts w:ascii="Arial" w:cs="Arial" w:eastAsia="Arial" w:hAnsi="Arial"/>
          <w:sz w:val="16"/>
          <w:szCs w:val="16"/>
          <w:u w:val="single" w:color="auto"/>
          <w:color w:val="auto"/>
        </w:rPr>
        <w:t>NYSE</w:t>
      </w:r>
      <w:r>
        <w:rPr>
          <w:rFonts w:ascii="Arial" w:cs="Arial" w:eastAsia="Arial" w:hAnsi="Arial"/>
          <w:sz w:val="16"/>
          <w:szCs w:val="16"/>
          <w:color w:val="auto"/>
        </w:rPr>
        <w:t>”), which will be obtained prior to the first sale of Securities pursuant to this Agreement.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5" w:name="page16"/>
    <w:bookmarkEnd w:id="15"/>
    <w:p>
      <w:pPr>
        <w:ind w:right="160" w:firstLine="443"/>
        <w:spacing w:after="0" w:line="294" w:lineRule="auto"/>
        <w:tabs>
          <w:tab w:leader="none" w:pos="77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Proceedings</w:t>
      </w:r>
      <w:r>
        <w:rPr>
          <w:rFonts w:ascii="Arial" w:cs="Arial" w:eastAsia="Arial" w:hAnsi="Arial"/>
          <w:sz w:val="16"/>
          <w:szCs w:val="16"/>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55" w:lineRule="auto"/>
        <w:tabs>
          <w:tab w:leader="none" w:pos="7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w:t>
      </w:r>
    </w:p>
    <w:p>
      <w:pPr>
        <w:spacing w:after="0" w:line="61" w:lineRule="exact"/>
        <w:rPr>
          <w:rFonts w:ascii="Arial" w:cs="Arial" w:eastAsia="Arial" w:hAnsi="Arial"/>
          <w:sz w:val="18"/>
          <w:szCs w:val="18"/>
          <w:color w:val="auto"/>
        </w:rPr>
      </w:pPr>
    </w:p>
    <w:p>
      <w:pPr>
        <w:ind w:right="60" w:firstLine="443"/>
        <w:spacing w:after="0" w:line="256" w:lineRule="auto"/>
        <w:tabs>
          <w:tab w:leader="none" w:pos="77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62" w:lineRule="exact"/>
        <w:rPr>
          <w:rFonts w:ascii="Arial" w:cs="Arial" w:eastAsia="Arial" w:hAnsi="Arial"/>
          <w:sz w:val="18"/>
          <w:szCs w:val="18"/>
          <w:color w:val="auto"/>
        </w:rPr>
      </w:pPr>
    </w:p>
    <w:p>
      <w:pPr>
        <w:ind w:right="100" w:firstLine="443"/>
        <w:spacing w:after="0" w:line="255" w:lineRule="auto"/>
        <w:tabs>
          <w:tab w:leader="none" w:pos="77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are not yet due, are being contested in good faith or could not reasonably be expected to have a material adverse effect on the condition, financial or otherwise, or on the earnings, business affairs or business prospects of the Company and its subsidiaries considered as one enterprise.</w:t>
      </w:r>
    </w:p>
    <w:p>
      <w:pPr>
        <w:spacing w:after="0" w:line="61" w:lineRule="exact"/>
        <w:rPr>
          <w:rFonts w:ascii="Arial" w:cs="Arial" w:eastAsia="Arial" w:hAnsi="Arial"/>
          <w:sz w:val="18"/>
          <w:szCs w:val="18"/>
          <w:color w:val="auto"/>
        </w:rPr>
      </w:pPr>
    </w:p>
    <w:p>
      <w:pPr>
        <w:ind w:right="40" w:firstLine="443"/>
        <w:spacing w:after="0" w:line="306" w:lineRule="auto"/>
        <w:tabs>
          <w:tab w:leader="none" w:pos="77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25" w:lineRule="exact"/>
        <w:rPr>
          <w:rFonts w:ascii="Arial" w:cs="Arial" w:eastAsia="Arial" w:hAnsi="Arial"/>
          <w:sz w:val="16"/>
          <w:szCs w:val="16"/>
          <w:color w:val="auto"/>
        </w:rPr>
      </w:pPr>
    </w:p>
    <w:p>
      <w:pPr>
        <w:jc w:val="both"/>
        <w:ind w:right="100" w:firstLine="443"/>
        <w:spacing w:after="0" w:line="259" w:lineRule="auto"/>
        <w:tabs>
          <w:tab w:leader="none" w:pos="77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6" w:name="page17"/>
    <w:bookmarkEnd w:id="16"/>
    <w:p>
      <w:pPr>
        <w:ind w:firstLine="443"/>
        <w:spacing w:after="0" w:line="285" w:lineRule="auto"/>
        <w:tabs>
          <w:tab w:leader="none" w:pos="77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U.S. generally accepted accounting principles.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45" w:lineRule="exact"/>
        <w:rPr>
          <w:rFonts w:ascii="Arial" w:cs="Arial" w:eastAsia="Arial" w:hAnsi="Arial"/>
          <w:sz w:val="16"/>
          <w:szCs w:val="16"/>
          <w:color w:val="auto"/>
        </w:rPr>
      </w:pPr>
    </w:p>
    <w:p>
      <w:pPr>
        <w:ind w:right="240" w:firstLine="443"/>
        <w:spacing w:after="0" w:line="268" w:lineRule="auto"/>
        <w:tabs>
          <w:tab w:leader="none" w:pos="7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 contemplated by this Agreement.</w:t>
      </w:r>
    </w:p>
    <w:p>
      <w:pPr>
        <w:spacing w:after="0" w:line="50" w:lineRule="exact"/>
        <w:rPr>
          <w:rFonts w:ascii="Arial" w:cs="Arial" w:eastAsia="Arial" w:hAnsi="Arial"/>
          <w:sz w:val="18"/>
          <w:szCs w:val="18"/>
          <w:color w:val="auto"/>
        </w:rPr>
      </w:pPr>
    </w:p>
    <w:p>
      <w:pPr>
        <w:ind w:right="160" w:firstLine="443"/>
        <w:spacing w:after="0" w:line="290" w:lineRule="auto"/>
        <w:tabs>
          <w:tab w:leader="none" w:pos="77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Hazardous Materials</w:t>
      </w:r>
      <w:r>
        <w:rPr>
          <w:rFonts w:ascii="Arial" w:cs="Arial" w:eastAsia="Arial" w:hAnsi="Arial"/>
          <w:sz w:val="16"/>
          <w:szCs w:val="16"/>
          <w:color w:val="auto"/>
        </w:rPr>
        <w:t>. Although the Company is aware of the presence of hazardous substances, hazardous materials, toxic substances or waste materials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37" w:lineRule="exact"/>
        <w:rPr>
          <w:rFonts w:ascii="Arial" w:cs="Arial" w:eastAsia="Arial" w:hAnsi="Arial"/>
          <w:sz w:val="16"/>
          <w:szCs w:val="16"/>
          <w:color w:val="auto"/>
        </w:rPr>
      </w:pPr>
    </w:p>
    <w:p>
      <w:pPr>
        <w:ind w:right="40" w:firstLine="443"/>
        <w:spacing w:after="0" w:line="268" w:lineRule="auto"/>
        <w:tabs>
          <w:tab w:leader="none" w:pos="7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Taxes; Investment Company Act</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real estate investment trust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7" w:name="page18"/>
    <w:bookmarkEnd w:id="17"/>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Sections 856 through 860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26" w:lineRule="exact"/>
        <w:rPr>
          <w:sz w:val="20"/>
          <w:szCs w:val="20"/>
          <w:color w:val="auto"/>
        </w:rPr>
      </w:pPr>
    </w:p>
    <w:p>
      <w:pPr>
        <w:ind w:firstLine="443"/>
        <w:spacing w:after="0" w:line="253" w:lineRule="auto"/>
        <w:tabs>
          <w:tab w:leader="none" w:pos="7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66" w:lineRule="exact"/>
        <w:rPr>
          <w:rFonts w:ascii="Arial" w:cs="Arial" w:eastAsia="Arial" w:hAnsi="Arial"/>
          <w:sz w:val="18"/>
          <w:szCs w:val="18"/>
          <w:color w:val="auto"/>
        </w:rPr>
      </w:pPr>
    </w:p>
    <w:p>
      <w:pPr>
        <w:ind w:right="80" w:firstLine="443"/>
        <w:spacing w:after="0" w:line="294" w:lineRule="auto"/>
        <w:tabs>
          <w:tab w:leader="none" w:pos="77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Corrupt Practices</w:t>
      </w:r>
      <w:r>
        <w:rPr>
          <w:rFonts w:ascii="Arial" w:cs="Arial" w:eastAsia="Arial" w:hAnsi="Arial"/>
          <w:sz w:val="16"/>
          <w:szCs w:val="16"/>
          <w:color w:val="auto"/>
        </w:rPr>
        <w:t>. 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34" w:lineRule="exact"/>
        <w:rPr>
          <w:rFonts w:ascii="Arial" w:cs="Arial" w:eastAsia="Arial" w:hAnsi="Arial"/>
          <w:sz w:val="16"/>
          <w:szCs w:val="16"/>
          <w:color w:val="auto"/>
        </w:rPr>
      </w:pPr>
    </w:p>
    <w:p>
      <w:pPr>
        <w:ind w:right="100" w:firstLine="443"/>
        <w:spacing w:after="0" w:line="291" w:lineRule="auto"/>
        <w:tabs>
          <w:tab w:leader="none" w:pos="77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Anti-Money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39" w:lineRule="exact"/>
        <w:rPr>
          <w:rFonts w:ascii="Arial" w:cs="Arial" w:eastAsia="Arial" w:hAnsi="Arial"/>
          <w:sz w:val="16"/>
          <w:szCs w:val="16"/>
          <w:color w:val="auto"/>
        </w:rPr>
      </w:pPr>
    </w:p>
    <w:p>
      <w:pPr>
        <w:ind w:right="140" w:firstLine="443"/>
        <w:spacing w:after="0" w:line="255" w:lineRule="auto"/>
        <w:tabs>
          <w:tab w:leader="none" w:pos="7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8" w:name="page19"/>
    <w:bookmarkEnd w:id="18"/>
    <w:p>
      <w:pPr>
        <w:ind w:left="440" w:right="60" w:firstLine="443"/>
        <w:spacing w:after="0" w:line="286" w:lineRule="auto"/>
        <w:tabs>
          <w:tab w:leader="none" w:pos="1215"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NYSE</w:t>
      </w:r>
      <w:r>
        <w:rPr>
          <w:rFonts w:ascii="Arial" w:cs="Arial" w:eastAsia="Arial" w:hAnsi="Arial"/>
          <w:sz w:val="16"/>
          <w:szCs w:val="16"/>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w:t>
      </w:r>
    </w:p>
    <w:p>
      <w:pPr>
        <w:ind w:left="440" w:right="360"/>
        <w:spacing w:after="0" w:line="255" w:lineRule="auto"/>
        <w:rPr>
          <w:rFonts w:ascii="Arial" w:cs="Arial" w:eastAsia="Arial" w:hAnsi="Arial"/>
          <w:sz w:val="16"/>
          <w:szCs w:val="16"/>
          <w:color w:val="auto"/>
        </w:rPr>
      </w:pPr>
      <w:r>
        <w:rPr>
          <w:rFonts w:ascii="Arial" w:cs="Arial" w:eastAsia="Arial" w:hAnsi="Arial"/>
          <w:sz w:val="18"/>
          <w:szCs w:val="18"/>
          <w:color w:val="auto"/>
        </w:rPr>
        <w:t>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3" w:lineRule="exact"/>
        <w:rPr>
          <w:rFonts w:ascii="Arial" w:cs="Arial" w:eastAsia="Arial" w:hAnsi="Arial"/>
          <w:sz w:val="16"/>
          <w:szCs w:val="16"/>
          <w:color w:val="auto"/>
        </w:rPr>
      </w:pPr>
    </w:p>
    <w:p>
      <w:pPr>
        <w:ind w:left="440" w:right="20" w:firstLine="443"/>
        <w:spacing w:after="0" w:line="259" w:lineRule="auto"/>
        <w:tabs>
          <w:tab w:leader="none" w:pos="1215"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Wells Fargo as principal or agent for the Company, other than the Prospectus and any Permitted Free Writing Prospectus reviewed and consented to by Wells Fargo.</w:t>
      </w:r>
    </w:p>
    <w:p>
      <w:pPr>
        <w:spacing w:after="0" w:line="59" w:lineRule="exact"/>
        <w:rPr>
          <w:rFonts w:ascii="Arial" w:cs="Arial" w:eastAsia="Arial" w:hAnsi="Arial"/>
          <w:sz w:val="18"/>
          <w:szCs w:val="18"/>
          <w:color w:val="auto"/>
        </w:rPr>
      </w:pPr>
    </w:p>
    <w:p>
      <w:pPr>
        <w:ind w:left="440" w:right="260" w:firstLine="443"/>
        <w:spacing w:after="0" w:line="268" w:lineRule="auto"/>
        <w:tabs>
          <w:tab w:leader="none" w:pos="1215"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50" w:lineRule="exact"/>
        <w:rPr>
          <w:rFonts w:ascii="Arial" w:cs="Arial" w:eastAsia="Arial" w:hAnsi="Arial"/>
          <w:sz w:val="18"/>
          <w:szCs w:val="18"/>
          <w:color w:val="auto"/>
        </w:rPr>
      </w:pPr>
    </w:p>
    <w:p>
      <w:pPr>
        <w:ind w:left="440" w:right="140" w:firstLine="443"/>
        <w:spacing w:after="0" w:line="256" w:lineRule="auto"/>
        <w:tabs>
          <w:tab w:leader="none" w:pos="1215"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62" w:lineRule="exact"/>
        <w:rPr>
          <w:rFonts w:ascii="Arial" w:cs="Arial" w:eastAsia="Arial" w:hAnsi="Arial"/>
          <w:sz w:val="18"/>
          <w:szCs w:val="18"/>
          <w:color w:val="auto"/>
        </w:rPr>
      </w:pPr>
    </w:p>
    <w:p>
      <w:pPr>
        <w:ind w:left="440" w:firstLine="443"/>
        <w:spacing w:after="0" w:line="302" w:lineRule="auto"/>
        <w:tabs>
          <w:tab w:leader="none" w:pos="1215" w:val="left"/>
        </w:tabs>
        <w:numPr>
          <w:ilvl w:val="1"/>
          <w:numId w:val="10"/>
        </w:numPr>
        <w:rPr>
          <w:rFonts w:ascii="Arial" w:cs="Arial" w:eastAsia="Arial" w:hAnsi="Arial"/>
          <w:sz w:val="15"/>
          <w:szCs w:val="15"/>
          <w:color w:val="auto"/>
        </w:rPr>
      </w:pPr>
      <w:r>
        <w:rPr>
          <w:rFonts w:ascii="Arial" w:cs="Arial" w:eastAsia="Arial" w:hAnsi="Arial"/>
          <w:sz w:val="15"/>
          <w:szCs w:val="15"/>
          <w:u w:val="single" w:color="auto"/>
          <w:color w:val="auto"/>
        </w:rPr>
        <w:t>Proprietary Trading by Wells Fargo</w:t>
      </w:r>
      <w:r>
        <w:rPr>
          <w:rFonts w:ascii="Arial" w:cs="Arial" w:eastAsia="Arial" w:hAnsi="Arial"/>
          <w:sz w:val="15"/>
          <w:szCs w:val="15"/>
          <w:color w:val="auto"/>
        </w:rPr>
        <w:t>. The Company acknowledges and agrees that Wells Fargo has informed the Company that Wells Fargo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by Wells Fargo in the Placement Notice (as amended by the corresponding Acceptance, if applicable); provided, that no such purchase or sale shall take place while a Placement Notice is in effect (except (i) as agreed by Wells Fargo in the Placement Notice (as amended by the corresponding Acceptance, if applicable) or</w:t>
      </w:r>
    </w:p>
    <w:p>
      <w:pPr>
        <w:spacing w:after="0" w:line="1" w:lineRule="exact"/>
        <w:rPr>
          <w:rFonts w:ascii="Arial" w:cs="Arial" w:eastAsia="Arial" w:hAnsi="Arial"/>
          <w:sz w:val="15"/>
          <w:szCs w:val="15"/>
          <w:color w:val="auto"/>
        </w:rPr>
      </w:pPr>
    </w:p>
    <w:p>
      <w:pPr>
        <w:ind w:left="440" w:right="20" w:firstLine="4"/>
        <w:spacing w:after="0" w:line="261" w:lineRule="auto"/>
        <w:tabs>
          <w:tab w:leader="none" w:pos="6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Wells Fargo may engage in sales of Placement Securities purchased or deemed purchased from the Company as a “riskless principal” or in a similar capacity).</w:t>
      </w:r>
    </w:p>
    <w:p>
      <w:pPr>
        <w:spacing w:after="0" w:line="138" w:lineRule="exact"/>
        <w:rPr>
          <w:sz w:val="20"/>
          <w:szCs w:val="20"/>
          <w:color w:val="auto"/>
        </w:rPr>
      </w:pPr>
    </w:p>
    <w:p>
      <w:pPr>
        <w:ind w:left="-20" w:right="580" w:firstLine="464"/>
        <w:spacing w:after="0" w:line="268"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w:t>
      </w:r>
      <w:r>
        <w:rPr>
          <w:rFonts w:ascii="Arial" w:cs="Arial" w:eastAsia="Arial" w:hAnsi="Arial"/>
          <w:sz w:val="18"/>
          <w:szCs w:val="18"/>
          <w:color w:val="auto"/>
        </w:rPr>
        <w:t>Any certificate signed by any officer of the Company and delivered to Wells Fargo or to counsel for Wells Fargo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Wells Fargo as to the matters covered thereby.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Wells Fargo; Settlement</w:t>
      </w:r>
      <w:r>
        <w:rPr>
          <w:rFonts w:ascii="Arial" w:cs="Arial" w:eastAsia="Arial" w:hAnsi="Arial"/>
          <w:sz w:val="18"/>
          <w:szCs w:val="18"/>
          <w:color w:val="auto"/>
        </w:rPr>
        <w:t>.</w:t>
      </w:r>
    </w:p>
    <w:p>
      <w:pPr>
        <w:spacing w:after="0" w:line="171" w:lineRule="exact"/>
        <w:rPr>
          <w:sz w:val="20"/>
          <w:szCs w:val="20"/>
          <w:color w:val="auto"/>
        </w:rPr>
      </w:pPr>
    </w:p>
    <w:p>
      <w:pPr>
        <w:ind w:left="-20" w:right="400" w:firstLine="464"/>
        <w:spacing w:after="0" w:line="268"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Sale of Placement Securities. </w:t>
      </w:r>
      <w:r>
        <w:rPr>
          <w:rFonts w:ascii="Arial" w:cs="Arial" w:eastAsia="Arial" w:hAnsi="Arial"/>
          <w:sz w:val="18"/>
          <w:szCs w:val="18"/>
          <w:color w:val="auto"/>
        </w:rPr>
        <w:t>On the basis of the representations and warranties herein contained and subject to the terms and conditions herein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upon Wells Fargo’s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19" w:name="page20"/>
    <w:bookmarkEnd w:id="1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acceptance of the terms of a Placement Notice or upon receipt by Wells Fargo of an Acceptance, as the case may be, and unless the sale of the Placement Securities described therein has been declined, suspended, or otherwise terminated in accordance with the terms of this Agreement, Wells Fargo,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Wells Fargo will be successful in selling Placement Securities, (ii) Wells Fargo will incur no liability or obligation to the Company or any other person or entity if it does not sell Placement Securities for any reason other than a failure by Wells Fargo to use its commercially reasonable efforts consistent with its normal trading and sales practices to sell such Placement Securities as required under this Section 6 and (iii) Wells Fargo shall be under no obligation to purchase Securities on a principal basis pursuant to this Agreement, except as otherwise agreed by Wells Fargo in the Placement Notice (as amended by the corresponding Acceptance, if applicable).</w:t>
      </w:r>
    </w:p>
    <w:p>
      <w:pPr>
        <w:spacing w:after="0" w:line="123" w:lineRule="exact"/>
        <w:rPr>
          <w:sz w:val="20"/>
          <w:szCs w:val="20"/>
          <w:color w:val="auto"/>
        </w:rPr>
      </w:pPr>
    </w:p>
    <w:p>
      <w:pPr>
        <w:ind w:right="240" w:firstLine="464"/>
        <w:spacing w:after="0" w:line="290"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0"/>
          <w:szCs w:val="10"/>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Wells Fargo at which such Placement Securities were sold, after deduction for (i) Wells Fargo’s commission, discount or other compensation for such sales payable by the Company pursuant to Section 2 hereof, (ii) any other amounts due and payable by the Company to Wells Fargo hereunder pursuant to Section 8(a) hereof, and (iii) any transaction fees imposed by any governmental or self-regulatory organization in respect of such sales.</w:t>
      </w:r>
    </w:p>
    <w:p>
      <w:pPr>
        <w:spacing w:after="0" w:line="118" w:lineRule="exact"/>
        <w:rPr>
          <w:rFonts w:ascii="Arial" w:cs="Arial" w:eastAsia="Arial" w:hAnsi="Arial"/>
          <w:sz w:val="16"/>
          <w:szCs w:val="16"/>
          <w:color w:val="auto"/>
        </w:rPr>
      </w:pPr>
    </w:p>
    <w:p>
      <w:pPr>
        <w:ind w:firstLine="464"/>
        <w:spacing w:after="0" w:line="287"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Wells Fargo’s or its designee’s account (provided Wells Fargo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Wells Fargo will deliver the related Net Proceeds in same day funds to 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Wells Fargo harmless against any loss, liability, claim, damage, or expense whatsoever (including reasonable legal fees and expenses), as incurred, arising out of or in connection with such default by the Company or its transfer agent (if applicable) and (ii) pay to Wells Fargo any commission, discount, or other compensation to which it would otherwise have been entitled absent such default.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0" w:name="page21"/>
    <w:bookmarkEnd w:id="20"/>
    <w:p>
      <w:pPr>
        <w:jc w:val="both"/>
        <w:ind w:right="20" w:firstLine="464"/>
        <w:spacing w:after="0" w:line="259" w:lineRule="auto"/>
        <w:tabs>
          <w:tab w:leader="none" w:pos="70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Denominations; Registration. </w:t>
      </w:r>
      <w:r>
        <w:rPr>
          <w:rFonts w:ascii="Arial" w:cs="Arial" w:eastAsia="Arial" w:hAnsi="Arial"/>
          <w:sz w:val="18"/>
          <w:szCs w:val="18"/>
          <w:color w:val="auto"/>
        </w:rPr>
        <w:t>The Securities shall be in such denominations and registered in such names as Wells Fargo may request in writing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one full business day before the Settlement Date. The Company shall deliver the Securities, if any, through the facilities of The Depository Trust Company unless Wells Fargo shall otherwise instruct.</w:t>
      </w:r>
    </w:p>
    <w:p>
      <w:pPr>
        <w:spacing w:after="0" w:line="140" w:lineRule="exact"/>
        <w:rPr>
          <w:rFonts w:ascii="Arial" w:cs="Arial" w:eastAsia="Arial" w:hAnsi="Arial"/>
          <w:sz w:val="18"/>
          <w:szCs w:val="18"/>
          <w:color w:val="auto"/>
        </w:rPr>
      </w:pPr>
    </w:p>
    <w:p>
      <w:pPr>
        <w:ind w:right="80" w:firstLine="464"/>
        <w:spacing w:after="0" w:line="305" w:lineRule="auto"/>
        <w:tabs>
          <w:tab w:leader="none" w:pos="695" w:val="left"/>
        </w:tabs>
        <w:numPr>
          <w:ilvl w:val="1"/>
          <w:numId w:val="15"/>
        </w:numPr>
        <w:rPr>
          <w:rFonts w:ascii="Arial" w:cs="Arial" w:eastAsia="Arial" w:hAnsi="Arial"/>
          <w:sz w:val="15"/>
          <w:szCs w:val="15"/>
          <w:color w:val="auto"/>
        </w:rPr>
      </w:pPr>
      <w:r>
        <w:rPr>
          <w:rFonts w:ascii="Arial" w:cs="Arial" w:eastAsia="Arial" w:hAnsi="Arial"/>
          <w:sz w:val="15"/>
          <w:szCs w:val="15"/>
          <w:i w:val="1"/>
          <w:iCs w:val="1"/>
          <w:color w:val="auto"/>
        </w:rPr>
        <w:t>Limitations on Offering Size</w:t>
      </w:r>
      <w:r>
        <w:rPr>
          <w:rFonts w:ascii="Arial" w:cs="Arial" w:eastAsia="Arial" w:hAnsi="Arial"/>
          <w:sz w:val="15"/>
          <w:szCs w:val="15"/>
          <w:color w:val="auto"/>
        </w:rPr>
        <w:t>. Under no circumstances shall the Company cause or request the offer or sale of any Securities, if after giving effect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sale of such Securities, the aggregate offering price of the Securities sold pursuant to this Agreement would exceed the lesser of (A) the Maximum Amount and</w:t>
      </w:r>
    </w:p>
    <w:p>
      <w:pPr>
        <w:ind w:right="240" w:firstLine="8"/>
        <w:spacing w:after="0" w:line="253" w:lineRule="auto"/>
        <w:tabs>
          <w:tab w:leader="none" w:pos="2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authorized from time to time to be issued and sold under this Agreement by the Company and notified to Wells Fargo in writing. Under no circumstances shall the Company cause or request the offer or sale of any Securities pursuant to this Agreement at a price lower than the minimum price authorized from time to time by the Company and notified to Wells Fargo in writing. Further, under no circumstances shall the aggregate offering price of Securities sold pursuant to this Agreement, including any separate underwriting or similar agreement covering principal transactions referred to in Section 1 of this Agreement, exceed the Maximum Amount.</w:t>
      </w:r>
    </w:p>
    <w:p>
      <w:pPr>
        <w:spacing w:after="0" w:line="145" w:lineRule="exact"/>
        <w:rPr>
          <w:rFonts w:ascii="Arial" w:cs="Arial" w:eastAsia="Arial" w:hAnsi="Arial"/>
          <w:sz w:val="18"/>
          <w:szCs w:val="18"/>
          <w:color w:val="auto"/>
        </w:rPr>
      </w:pPr>
    </w:p>
    <w:p>
      <w:pPr>
        <w:ind w:right="80" w:firstLine="464"/>
        <w:spacing w:after="0" w:line="302" w:lineRule="auto"/>
        <w:tabs>
          <w:tab w:leader="none" w:pos="676" w:val="left"/>
        </w:tabs>
        <w:numPr>
          <w:ilvl w:val="1"/>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Limitation on Agent. </w:t>
      </w:r>
      <w:r>
        <w:rPr>
          <w:rFonts w:ascii="Arial" w:cs="Arial" w:eastAsia="Arial" w:hAnsi="Arial"/>
          <w:sz w:val="15"/>
          <w:szCs w:val="15"/>
          <w:color w:val="auto"/>
        </w:rPr>
        <w:t>The Company agrees that any offer to sell, any solicitation of an offer to buy or any sales of Securities shall only be effected by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through Wells Fargo;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w:t>
      </w:r>
    </w:p>
    <w:p>
      <w:pPr>
        <w:ind w:right="140"/>
        <w:spacing w:after="0" w:line="254" w:lineRule="auto"/>
        <w:rPr>
          <w:rFonts w:ascii="Arial" w:cs="Arial" w:eastAsia="Arial" w:hAnsi="Arial"/>
          <w:sz w:val="15"/>
          <w:szCs w:val="15"/>
          <w:color w:val="auto"/>
        </w:rPr>
      </w:pPr>
      <w:r>
        <w:rPr>
          <w:rFonts w:ascii="Arial" w:cs="Arial" w:eastAsia="Arial" w:hAnsi="Arial"/>
          <w:sz w:val="18"/>
          <w:szCs w:val="18"/>
          <w:color w:val="auto"/>
        </w:rPr>
        <w:t>Wells Fargo (x) shall promptly, upon request by the Company, enter into an amendment to this Agreement, or into a new agreement superseding this Agreement upon terms and conditions substantially similar to those contained herein or such other terms and conditions otherwise agreed to between Wells Fargo and the Company, providing for such engagement(s) and (y) shall agree to cooperate with and do such other things reasonably requested by the Company in order to allow for such engagement(s).</w:t>
      </w:r>
    </w:p>
    <w:p>
      <w:pPr>
        <w:spacing w:after="0" w:line="143" w:lineRule="exact"/>
        <w:rPr>
          <w:rFonts w:ascii="Arial" w:cs="Arial" w:eastAsia="Arial" w:hAnsi="Arial"/>
          <w:sz w:val="15"/>
          <w:szCs w:val="15"/>
          <w:color w:val="auto"/>
        </w:rPr>
      </w:pPr>
    </w:p>
    <w:p>
      <w:pPr>
        <w:ind w:right="40" w:firstLine="464"/>
        <w:spacing w:after="0" w:line="283" w:lineRule="auto"/>
        <w:tabs>
          <w:tab w:leader="none" w:pos="705"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Period for Restriction on Offers and Sales. </w:t>
      </w:r>
      <w:r>
        <w:rPr>
          <w:rFonts w:ascii="Arial" w:cs="Arial" w:eastAsia="Arial" w:hAnsi="Arial"/>
          <w:sz w:val="16"/>
          <w:szCs w:val="16"/>
          <w:color w:val="auto"/>
        </w:rPr>
        <w:t>Notwithstanding any other provision of this Agreement, the Company shall not offer, sell or deliver, or</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the offer or sale of, any Securities and, by notice to Wells Fargo given by telephone (confirmed promptly by facsimile transmission or email), shall cancel any instructions for the offer or sale of any Securities, and Wells Fargo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w:t>
      </w:r>
    </w:p>
    <w:p>
      <w:pPr>
        <w:spacing w:after="0" w:line="2"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(iii) except as provided in Section 6(h) below, at any time from and including the date (each, an “</w:t>
      </w:r>
      <w:r>
        <w:rPr>
          <w:rFonts w:ascii="Arial" w:cs="Arial" w:eastAsia="Arial" w:hAnsi="Arial"/>
          <w:sz w:val="16"/>
          <w:szCs w:val="16"/>
          <w:u w:val="single" w:color="auto"/>
          <w:color w:val="auto"/>
        </w:rPr>
        <w:t>Announcement Date</w:t>
      </w:r>
      <w:r>
        <w:rPr>
          <w:rFonts w:ascii="Arial" w:cs="Arial" w:eastAsia="Arial" w:hAnsi="Arial"/>
          <w:sz w:val="16"/>
          <w:szCs w:val="16"/>
          <w:color w:val="auto"/>
        </w:rPr>
        <w:t>”) on which the Company shall issue a press release containing, or shall otherwise publicly announce, its earnings, revenues or other results of operations (each, an “</w:t>
      </w:r>
      <w:r>
        <w:rPr>
          <w:rFonts w:ascii="Arial" w:cs="Arial" w:eastAsia="Arial" w:hAnsi="Arial"/>
          <w:sz w:val="16"/>
          <w:szCs w:val="16"/>
          <w:u w:val="single" w:color="auto"/>
          <w:color w:val="auto"/>
        </w:rPr>
        <w:t>Earnings Announcement</w:t>
      </w:r>
      <w:r>
        <w:rPr>
          <w:rFonts w:ascii="Arial" w:cs="Arial" w:eastAsia="Arial" w:hAnsi="Arial"/>
          <w:sz w:val="16"/>
          <w:szCs w:val="16"/>
          <w:color w:val="auto"/>
        </w:rPr>
        <w:t>”) through and including the time that is 24 hours after the time that the Company files (a “</w:t>
      </w:r>
      <w:r>
        <w:rPr>
          <w:rFonts w:ascii="Arial" w:cs="Arial" w:eastAsia="Arial" w:hAnsi="Arial"/>
          <w:sz w:val="16"/>
          <w:szCs w:val="16"/>
          <w:u w:val="single" w:color="auto"/>
          <w:color w:val="auto"/>
        </w:rPr>
        <w:t>Filing Time</w:t>
      </w:r>
      <w:r>
        <w:rPr>
          <w:rFonts w:ascii="Arial" w:cs="Arial" w:eastAsia="Arial" w:hAnsi="Arial"/>
          <w:sz w:val="16"/>
          <w:szCs w:val="16"/>
          <w:color w:val="auto"/>
        </w:rPr>
        <w:t>”) a Quarterly Report on Form 10-Q or an Annual Report on Form 10-K that includes consolidated financial statements as of and for the same period or periods, as the case may be, covered by such Earnings Announcement.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1" w:name="page22"/>
    <w:bookmarkEnd w:id="21"/>
    <w:p>
      <w:pPr>
        <w:ind w:left="-60" w:firstLine="464"/>
        <w:spacing w:after="0" w:line="285" w:lineRule="auto"/>
        <w:tabs>
          <w:tab w:leader="none" w:pos="64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Removal of Restriction on Offers and Sales. </w:t>
      </w:r>
      <w:r>
        <w:rPr>
          <w:rFonts w:ascii="Arial" w:cs="Arial" w:eastAsia="Arial" w:hAnsi="Arial"/>
          <w:sz w:val="16"/>
          <w:szCs w:val="16"/>
          <w:color w:val="auto"/>
        </w:rPr>
        <w:t>If the Company wishes to offer, sell or deliver Securities at any time during the period from and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an Announcement Date through and including the time that is 24 hours after the corresponding Filing Time, the Company shall (i) prepare and deliver to Wells Fargo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Wells Fargo, and obtain the consent of Wells Fargo to the filing thereof (such consent not to be unreasonably withheld), (ii) provide Wells Fargo with the officers’ certificate, opinions/letters of counsel and accountants’ letter called for by Sections 7(o), (p) and (q) hereof; respectively, (iii) afford Wells Fargo the opportunity to conduct a due diligence review in accordance with Section 7(m) hereof and (iv) 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Wells Fargo as follows:</w:t>
      </w:r>
    </w:p>
    <w:p>
      <w:pPr>
        <w:spacing w:after="0" w:line="171" w:lineRule="exact"/>
        <w:rPr>
          <w:sz w:val="20"/>
          <w:szCs w:val="20"/>
          <w:color w:val="auto"/>
        </w:rPr>
      </w:pPr>
    </w:p>
    <w:p>
      <w:pPr>
        <w:ind w:left="-60" w:firstLine="464"/>
        <w:spacing w:after="0" w:line="288" w:lineRule="auto"/>
        <w:tabs>
          <w:tab w:leader="none" w:pos="63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Registration Statement Amendments</w:t>
      </w:r>
      <w:r>
        <w:rPr>
          <w:rFonts w:ascii="Arial" w:cs="Arial" w:eastAsia="Arial" w:hAnsi="Arial"/>
          <w:sz w:val="16"/>
          <w:szCs w:val="16"/>
          <w:color w:val="auto"/>
        </w:rPr>
        <w:t>. After the date of this Agreement and during any period in which a Prospectus relating to any Placement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is required to be delivered by Wells Fargo under the Securities Act (including in circumstances where such requirement may be satisfied pursuant to Rule 172 under the Securities Act), (i) the Company will notify Wells Fargo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Wells Fargo’s request, any amendments or supplements to the Registration Statement or Prospectus that, in Wells Fargo’s reasonable opinion, may be necessary or advisable in connection with the distribution of the Placement Securities by Wells Fargo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Wells Fargo to make such request shall not relieve the Company of any obligation or liability hereunder, or affect Wells Fargo’s right to rely on the representations and warranties made by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00" w:top="280" w:right="299" w:bottom="1440" w:gutter="0" w:footer="0" w:header="0"/>
        </w:sectPr>
      </w:pPr>
    </w:p>
    <w:bookmarkStart w:id="22" w:name="page23"/>
    <w:bookmarkEnd w:id="22"/>
    <w:p>
      <w:pPr>
        <w:ind w:right="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Wells Fargo within a reasonable period of time before the filing and Wells Fargo has not reasonably objected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failure of Wells Fargo to make such objection shall not relieve the Company of any obligation or liability hereunder, or affect Wells Fargo’s right to rely on the representations and warranties made by the Company in this Agreement) and the Company will furnish to Wells Fargo at the time of filing thereof a copy of any document that upon filing is deemed to be incorporated by reference into the Registration Statement or Prospectus, except for those documents available via EDGAR; and</w:t>
      </w:r>
    </w:p>
    <w:p>
      <w:pPr>
        <w:spacing w:after="0" w:line="1" w:lineRule="exact"/>
        <w:rPr>
          <w:sz w:val="20"/>
          <w:szCs w:val="20"/>
          <w:color w:val="auto"/>
        </w:rPr>
      </w:pPr>
    </w:p>
    <w:p>
      <w:pPr>
        <w:ind w:right="80" w:firstLine="8"/>
        <w:spacing w:after="0" w:line="323" w:lineRule="auto"/>
        <w:tabs>
          <w:tab w:leader="none" w:pos="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92" w:lineRule="exact"/>
        <w:rPr>
          <w:rFonts w:ascii="Arial" w:cs="Arial" w:eastAsia="Arial" w:hAnsi="Arial"/>
          <w:sz w:val="16"/>
          <w:szCs w:val="16"/>
          <w:color w:val="auto"/>
        </w:rPr>
      </w:pPr>
    </w:p>
    <w:p>
      <w:pPr>
        <w:ind w:right="20" w:firstLine="464"/>
        <w:spacing w:after="0" w:line="310" w:lineRule="auto"/>
        <w:tabs>
          <w:tab w:leader="none" w:pos="705" w:val="left"/>
        </w:tabs>
        <w:numPr>
          <w:ilvl w:val="1"/>
          <w:numId w:val="19"/>
        </w:numPr>
        <w:rPr>
          <w:rFonts w:ascii="Arial" w:cs="Arial" w:eastAsia="Arial" w:hAnsi="Arial"/>
          <w:sz w:val="15"/>
          <w:szCs w:val="15"/>
          <w:color w:val="auto"/>
        </w:rPr>
      </w:pPr>
      <w:r>
        <w:rPr>
          <w:rFonts w:ascii="Arial" w:cs="Arial" w:eastAsia="Arial" w:hAnsi="Arial"/>
          <w:sz w:val="15"/>
          <w:szCs w:val="15"/>
          <w:i w:val="1"/>
          <w:iCs w:val="1"/>
          <w:color w:val="auto"/>
        </w:rPr>
        <w:t>Notice of Commission Stop Orders</w:t>
      </w:r>
      <w:r>
        <w:rPr>
          <w:rFonts w:ascii="Arial" w:cs="Arial" w:eastAsia="Arial" w:hAnsi="Arial"/>
          <w:sz w:val="15"/>
          <w:szCs w:val="15"/>
          <w:color w:val="auto"/>
        </w:rPr>
        <w:t>. The Company will advise Wells Fargo, promptly after it receives notice or obtains knowledge thereof, of the</w:t>
      </w:r>
      <w:r>
        <w:rPr>
          <w:rFonts w:ascii="Arial" w:cs="Arial" w:eastAsia="Arial" w:hAnsi="Arial"/>
          <w:sz w:val="15"/>
          <w:szCs w:val="15"/>
          <w:i w:val="1"/>
          <w:iCs w:val="1"/>
          <w:color w:val="auto"/>
        </w:rPr>
        <w:t xml:space="preserve"> </w:t>
      </w:r>
      <w:r>
        <w:rPr>
          <w:rFonts w:ascii="Arial" w:cs="Arial" w:eastAsia="Arial" w:hAnsi="Arial"/>
          <w:sz w:val="15"/>
          <w:szCs w:val="15"/>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08" w:lineRule="exact"/>
        <w:rPr>
          <w:rFonts w:ascii="Arial" w:cs="Arial" w:eastAsia="Arial" w:hAnsi="Arial"/>
          <w:sz w:val="15"/>
          <w:szCs w:val="15"/>
          <w:color w:val="auto"/>
        </w:rPr>
      </w:pPr>
    </w:p>
    <w:p>
      <w:pPr>
        <w:ind w:firstLine="464"/>
        <w:spacing w:after="0" w:line="312" w:lineRule="auto"/>
        <w:tabs>
          <w:tab w:leader="none" w:pos="695" w:val="left"/>
        </w:tabs>
        <w:numPr>
          <w:ilvl w:val="1"/>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Delivery of Registration Statement and Prospectus. </w:t>
      </w:r>
      <w:r>
        <w:rPr>
          <w:rFonts w:ascii="Arial" w:cs="Arial" w:eastAsia="Arial" w:hAnsi="Arial"/>
          <w:sz w:val="15"/>
          <w:szCs w:val="15"/>
          <w:color w:val="auto"/>
        </w:rPr>
        <w:t>The Company will furnish to Wells Fargo and its counsel (at the expense of the Company) copies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Wells Fargo may from time to time reasonably request. The copies of the Registration Statement and the Prospectus and any supplements or amendments thereto furnished to Wells Fargo will be identical to the electronically transmitted copies thereof filed with the Commission pursuant to EDGAR, except to the extent permitted by Regulation S-T.</w:t>
      </w:r>
    </w:p>
    <w:p>
      <w:pPr>
        <w:spacing w:after="0" w:line="105" w:lineRule="exact"/>
        <w:rPr>
          <w:rFonts w:ascii="Arial" w:cs="Arial" w:eastAsia="Arial" w:hAnsi="Arial"/>
          <w:sz w:val="15"/>
          <w:szCs w:val="15"/>
          <w:color w:val="auto"/>
        </w:rPr>
      </w:pPr>
    </w:p>
    <w:p>
      <w:pPr>
        <w:ind w:right="120" w:firstLine="464"/>
        <w:spacing w:after="0" w:line="268"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Continued Compliance with Securities Laws. </w:t>
      </w:r>
      <w:r>
        <w:rPr>
          <w:rFonts w:ascii="Arial" w:cs="Arial" w:eastAsia="Arial" w:hAnsi="Arial"/>
          <w:sz w:val="18"/>
          <w:szCs w:val="18"/>
          <w:color w:val="auto"/>
        </w:rPr>
        <w:t>If at any time when a Prospectus is required by the Securities Act or the Exchange Act to be delivered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 pending sale of the Placement Securities (including, without limitation, pursuant to Rule 172), any event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3" w:name="page24"/>
    <w:bookmarkEnd w:id="2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occur or condition shall exist as a result of which it is necessary, in the opinion of counsel for Wells Fargo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Securities Act, the Company will promptly notify Wells Fargo to suspend the offering of 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Wells Fargo such number of copies of such amendment or supplement as Wells Fargo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Wells Fargo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21" w:lineRule="exact"/>
        <w:rPr>
          <w:sz w:val="20"/>
          <w:szCs w:val="20"/>
          <w:color w:val="auto"/>
        </w:rPr>
      </w:pPr>
    </w:p>
    <w:p>
      <w:pPr>
        <w:ind w:firstLine="464"/>
        <w:spacing w:after="0" w:line="288"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Blue Sky and Other Qualifications. </w:t>
      </w:r>
      <w:r>
        <w:rPr>
          <w:rFonts w:ascii="Arial" w:cs="Arial" w:eastAsia="Arial" w:hAnsi="Arial"/>
          <w:sz w:val="16"/>
          <w:szCs w:val="16"/>
          <w:color w:val="auto"/>
        </w:rPr>
        <w:t>The Company will use its commercially reasonable efforts, in cooperation with Wells Fargo, to qualify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Placement Securities for offering and sale, or to obtain an exemption for the Securities to be offered and sold, under the applicable securities laws of such states and other jurisdictions (domestic or foreign) as Wells Fargo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19" w:lineRule="exact"/>
        <w:rPr>
          <w:rFonts w:ascii="Arial" w:cs="Arial" w:eastAsia="Arial" w:hAnsi="Arial"/>
          <w:sz w:val="16"/>
          <w:szCs w:val="16"/>
          <w:color w:val="auto"/>
        </w:rPr>
      </w:pPr>
    </w:p>
    <w:p>
      <w:pPr>
        <w:ind w:left="680" w:hanging="216"/>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Rule 158. </w:t>
      </w:r>
      <w:r>
        <w:rPr>
          <w:rFonts w:ascii="Arial" w:cs="Arial" w:eastAsia="Arial" w:hAnsi="Arial"/>
          <w:sz w:val="16"/>
          <w:szCs w:val="16"/>
          <w:color w:val="auto"/>
        </w:rPr>
        <w:t>The Company will timely file such reports pursuant to the Exchange Act as are necessary in order to make generally available to its</w:t>
      </w:r>
    </w:p>
    <w:p>
      <w:pPr>
        <w:spacing w:after="0" w:line="38"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securityholders as soon as practicable an earnings statement for the purposes of, and to provide to Wells Fargo the benefits contemplated by, the last paragraph of Section 11(a) of the Securities Act.</w:t>
      </w:r>
    </w:p>
    <w:p>
      <w:pPr>
        <w:spacing w:after="0" w:line="137"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 under</w:t>
      </w:r>
      <w:r>
        <w:rPr>
          <w:rFonts w:ascii="Arial" w:cs="Arial" w:eastAsia="Arial" w:hAnsi="Arial"/>
          <w:sz w:val="18"/>
          <w:szCs w:val="18"/>
          <w:i w:val="1"/>
          <w:iCs w:val="1"/>
          <w:color w:val="auto"/>
        </w:rPr>
        <w:t xml:space="preserve"> </w:t>
      </w:r>
      <w:r>
        <w:rPr>
          <w:rFonts w:ascii="Arial" w:cs="Arial" w:eastAsia="Arial" w:hAnsi="Arial"/>
          <w:sz w:val="18"/>
          <w:szCs w:val="18"/>
          <w:color w:val="auto"/>
        </w:rPr>
        <w:t>“Use of Proceeds.”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4" w:name="page25"/>
    <w:bookmarkEnd w:id="24"/>
    <w:p>
      <w:pPr>
        <w:jc w:val="both"/>
        <w:ind w:right="180" w:firstLine="464"/>
        <w:spacing w:after="0" w:line="306"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Listing. </w:t>
      </w:r>
      <w:r>
        <w:rPr>
          <w:rFonts w:ascii="Arial" w:cs="Arial" w:eastAsia="Arial" w:hAnsi="Arial"/>
          <w:sz w:val="16"/>
          <w:szCs w:val="16"/>
          <w:color w:val="auto"/>
        </w:rPr>
        <w:t>During any period in which the Prospectus relating to the Placement Securities is required to be delivered by Wells Fargo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106" w:lineRule="exact"/>
        <w:rPr>
          <w:rFonts w:ascii="Arial" w:cs="Arial" w:eastAsia="Arial" w:hAnsi="Arial"/>
          <w:sz w:val="16"/>
          <w:szCs w:val="16"/>
          <w:color w:val="auto"/>
        </w:rPr>
      </w:pPr>
    </w:p>
    <w:p>
      <w:pPr>
        <w:ind w:right="140" w:firstLine="464"/>
        <w:spacing w:after="0" w:line="268" w:lineRule="auto"/>
        <w:tabs>
          <w:tab w:leader="none" w:pos="66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or will issue securities that are traded on the NYSE.</w:t>
      </w:r>
    </w:p>
    <w:p>
      <w:pPr>
        <w:spacing w:after="0" w:line="131" w:lineRule="exact"/>
        <w:rPr>
          <w:rFonts w:ascii="Arial" w:cs="Arial" w:eastAsia="Arial" w:hAnsi="Arial"/>
          <w:sz w:val="18"/>
          <w:szCs w:val="18"/>
          <w:color w:val="auto"/>
        </w:rPr>
      </w:pPr>
    </w:p>
    <w:p>
      <w:pPr>
        <w:jc w:val="both"/>
        <w:ind w:right="240" w:firstLine="464"/>
        <w:spacing w:after="0" w:line="306" w:lineRule="auto"/>
        <w:tabs>
          <w:tab w:leader="none" w:pos="66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Reporting Requirements. </w:t>
      </w:r>
      <w:r>
        <w:rPr>
          <w:rFonts w:ascii="Arial" w:cs="Arial" w:eastAsia="Arial" w:hAnsi="Arial"/>
          <w:sz w:val="16"/>
          <w:szCs w:val="16"/>
          <w:color w:val="auto"/>
        </w:rPr>
        <w:t>The Company, during any period when the Prospectus is required to be delivered under the Securities Act and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06" w:lineRule="exact"/>
        <w:rPr>
          <w:rFonts w:ascii="Arial" w:cs="Arial" w:eastAsia="Arial" w:hAnsi="Arial"/>
          <w:sz w:val="16"/>
          <w:szCs w:val="16"/>
          <w:color w:val="auto"/>
        </w:rPr>
      </w:pPr>
    </w:p>
    <w:p>
      <w:pPr>
        <w:ind w:firstLine="464"/>
        <w:spacing w:after="0" w:line="285"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 hereunder,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shall provide Wells Fargo notice as promptly as reasonably possible before it offers to sell, contracts to sell, sells, grants any option to sell or otherwise disposes of any Common Shares (other than Placement Securities offered pursuant to the provisions of this Agreement)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 (vi) 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28" w:lineRule="exact"/>
        <w:rPr>
          <w:rFonts w:ascii="Arial" w:cs="Arial" w:eastAsia="Arial" w:hAnsi="Arial"/>
          <w:sz w:val="16"/>
          <w:szCs w:val="16"/>
          <w:color w:val="auto"/>
        </w:rPr>
      </w:pPr>
    </w:p>
    <w:p>
      <w:pPr>
        <w:ind w:right="120" w:firstLine="464"/>
        <w:spacing w:after="0" w:line="259" w:lineRule="auto"/>
        <w:tabs>
          <w:tab w:leader="none" w:pos="66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Wells Fargo promptly after</w:t>
      </w:r>
      <w:r>
        <w:rPr>
          <w:rFonts w:ascii="Arial" w:cs="Arial" w:eastAsia="Arial" w:hAnsi="Arial"/>
          <w:sz w:val="18"/>
          <w:szCs w:val="18"/>
          <w:i w:val="1"/>
          <w:iCs w:val="1"/>
          <w:color w:val="auto"/>
        </w:rPr>
        <w:t xml:space="preserve"> </w:t>
      </w:r>
      <w:r>
        <w:rPr>
          <w:rFonts w:ascii="Arial" w:cs="Arial" w:eastAsia="Arial" w:hAnsi="Arial"/>
          <w:sz w:val="18"/>
          <w:szCs w:val="18"/>
          <w:color w:val="auto"/>
        </w:rPr>
        <w:t>it shall have received notice or obtained knowledge thereof, of any information or fact that would alter or affect in any material respect any opinion, certificate, letter or other document provided to Wells Fargo pursuant to this Agreement.</w:t>
      </w:r>
    </w:p>
    <w:p>
      <w:pPr>
        <w:spacing w:after="0" w:line="140" w:lineRule="exact"/>
        <w:rPr>
          <w:rFonts w:ascii="Arial" w:cs="Arial" w:eastAsia="Arial" w:hAnsi="Arial"/>
          <w:sz w:val="18"/>
          <w:szCs w:val="18"/>
          <w:color w:val="auto"/>
        </w:rPr>
      </w:pPr>
    </w:p>
    <w:p>
      <w:pPr>
        <w:ind w:right="680" w:firstLine="464"/>
        <w:spacing w:after="0" w:line="268" w:lineRule="auto"/>
        <w:tabs>
          <w:tab w:leader="none" w:pos="75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Due Diligence Cooperation</w:t>
      </w:r>
      <w:r>
        <w:rPr>
          <w:rFonts w:ascii="Arial" w:cs="Arial" w:eastAsia="Arial" w:hAnsi="Arial"/>
          <w:sz w:val="18"/>
          <w:szCs w:val="18"/>
          <w:color w:val="auto"/>
        </w:rPr>
        <w:t>. The Company will cooperate with any reasonable due diligence review conducted by Wells Fargo or its agents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5" w:name="page26"/>
    <w:bookmarkEnd w:id="2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hereby, including, without limitation, providing information and making available documents and senior officers, during regular business hours and at the Company’s principal offices, as Wells Fargo may reasonably request.</w:t>
      </w:r>
    </w:p>
    <w:p>
      <w:pPr>
        <w:spacing w:after="0" w:line="132" w:lineRule="exact"/>
        <w:rPr>
          <w:sz w:val="20"/>
          <w:szCs w:val="20"/>
          <w:color w:val="auto"/>
        </w:rPr>
      </w:pPr>
    </w:p>
    <w:p>
      <w:pPr>
        <w:ind w:right="12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Disclosure of Sales. </w:t>
      </w:r>
      <w:r>
        <w:rPr>
          <w:rFonts w:ascii="Arial" w:cs="Arial" w:eastAsia="Arial" w:hAnsi="Arial"/>
          <w:sz w:val="18"/>
          <w:szCs w:val="18"/>
          <w:color w:val="auto"/>
        </w:rPr>
        <w:t>The Company will disclose in its quarterly reports on Form 10-Q, in its annual report on Form 10-K and/or in a Current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8-K, the number of Placement Securities sold through Wells Fargo, the Net Proceeds to the Company and the compensation payable by the Company to Wells Fargo with respect to such Placement Securities.</w:t>
      </w:r>
    </w:p>
    <w:p>
      <w:pPr>
        <w:spacing w:after="0" w:line="140"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delivered to Wells Fargo as principal on a Settlement Date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90" w:lineRule="exact"/>
        <w:rPr>
          <w:rFonts w:ascii="Arial" w:cs="Arial" w:eastAsia="Arial" w:hAnsi="Arial"/>
          <w:sz w:val="18"/>
          <w:szCs w:val="18"/>
          <w:color w:val="auto"/>
        </w:rPr>
      </w:pPr>
    </w:p>
    <w:p>
      <w:pPr>
        <w:ind w:left="1920" w:right="60" w:hanging="440"/>
        <w:spacing w:after="0" w:line="306" w:lineRule="auto"/>
        <w:tabs>
          <w:tab w:leader="none" w:pos="1920" w:val="left"/>
        </w:tabs>
        <w:numPr>
          <w:ilvl w:val="2"/>
          <w:numId w:val="22"/>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25" w:lineRule="exact"/>
        <w:rPr>
          <w:rFonts w:ascii="Arial" w:cs="Arial" w:eastAsia="Arial" w:hAnsi="Arial"/>
          <w:sz w:val="16"/>
          <w:szCs w:val="16"/>
          <w:color w:val="auto"/>
        </w:rPr>
      </w:pPr>
    </w:p>
    <w:p>
      <w:pPr>
        <w:ind w:left="1920" w:hanging="440"/>
        <w:spacing w:after="0"/>
        <w:tabs>
          <w:tab w:leader="none" w:pos="19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90" w:lineRule="exact"/>
        <w:rPr>
          <w:rFonts w:ascii="Arial" w:cs="Arial" w:eastAsia="Arial" w:hAnsi="Arial"/>
          <w:sz w:val="18"/>
          <w:szCs w:val="18"/>
          <w:color w:val="auto"/>
        </w:rPr>
      </w:pPr>
    </w:p>
    <w:p>
      <w:pPr>
        <w:ind w:left="1920" w:right="20" w:hanging="440"/>
        <w:spacing w:after="0" w:line="268" w:lineRule="auto"/>
        <w:tabs>
          <w:tab w:leader="none" w:pos="19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at any other time reasonably requested by Wells Fargo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Company shall furnish Wells Fargo with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as promptly as possible and in no event later than three</w:t>
      </w:r>
    </w:p>
    <w:p>
      <w:pPr>
        <w:spacing w:after="0" w:line="38" w:lineRule="exact"/>
        <w:rPr>
          <w:sz w:val="20"/>
          <w:szCs w:val="20"/>
          <w:color w:val="auto"/>
        </w:rPr>
      </w:pPr>
    </w:p>
    <w:p>
      <w:pPr>
        <w:ind w:firstLine="8"/>
        <w:spacing w:after="0" w:line="290"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Wells Fargo with a certificate under this Section 7(o), then before the Company delivers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6" w:name="page27"/>
    <w:bookmarkEnd w:id="2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Placement Notice or Wells Fargo sells any Placement Securities, the Company shall provide Wells Fargo with a certificate,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dated the date of the Placement Notice.</w:t>
      </w:r>
    </w:p>
    <w:p>
      <w:pPr>
        <w:spacing w:after="0" w:line="132" w:lineRule="exact"/>
        <w:rPr>
          <w:sz w:val="20"/>
          <w:szCs w:val="20"/>
          <w:color w:val="auto"/>
        </w:rPr>
      </w:pPr>
    </w:p>
    <w:p>
      <w:pPr>
        <w:ind w:firstLine="464"/>
        <w:spacing w:after="0" w:line="287" w:lineRule="auto"/>
        <w:tabs>
          <w:tab w:leader="none" w:pos="705"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Legal Opinions</w:t>
      </w:r>
      <w:r>
        <w:rPr>
          <w:rFonts w:ascii="Arial" w:cs="Arial" w:eastAsia="Arial" w:hAnsi="Arial"/>
          <w:sz w:val="16"/>
          <w:szCs w:val="16"/>
          <w:color w:val="auto"/>
        </w:rPr>
        <w:t>. On or prior to the date that the first Securities are sold pursuant to the terms of this Agreement and each time Securities are delivered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for which no waiver is applicable, the Company shall cause to be furnished to Wells Fargo written opinions of Pillsbury Winthrop Shaw Pittman LLP (“</w:t>
      </w:r>
      <w:r>
        <w:rPr>
          <w:rFonts w:ascii="Arial" w:cs="Arial" w:eastAsia="Arial" w:hAnsi="Arial"/>
          <w:sz w:val="16"/>
          <w:szCs w:val="16"/>
          <w:u w:val="single" w:color="auto"/>
          <w:color w:val="auto"/>
        </w:rPr>
        <w:t>Company Counsel</w:t>
      </w:r>
      <w:r>
        <w:rPr>
          <w:rFonts w:ascii="Arial" w:cs="Arial" w:eastAsia="Arial" w:hAnsi="Arial"/>
          <w:sz w:val="16"/>
          <w:szCs w:val="16"/>
          <w:color w:val="auto"/>
        </w:rPr>
        <w:t xml:space="preserve">”), or other counsel satisfactory to Wells Fargo, in form and substance satisfactory to Wells Fargo and its counsel, dated the date that the opinion is required to be delivered, substantially similar to the forms attached hereto as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subject to such assumptions, exceptions and qualifications reasonably acceptable to Wells Fargo and its counsel, and modified, as necessary, to relate to the Registration Statement and the Prospectus as then amended or supplemented;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such opinions for subsequent Representation Dates, any such counsel may furnish Wells Fargo with a letter to the effect that Wells Fargo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22" w:lineRule="exact"/>
        <w:rPr>
          <w:rFonts w:ascii="Arial" w:cs="Arial" w:eastAsia="Arial" w:hAnsi="Arial"/>
          <w:sz w:val="16"/>
          <w:szCs w:val="16"/>
          <w:color w:val="auto"/>
        </w:rPr>
      </w:pPr>
    </w:p>
    <w:p>
      <w:pPr>
        <w:ind w:firstLine="464"/>
        <w:spacing w:after="0" w:line="288" w:lineRule="auto"/>
        <w:tabs>
          <w:tab w:leader="none" w:pos="705"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Comfort Letter</w:t>
      </w:r>
      <w:r>
        <w:rPr>
          <w:rFonts w:ascii="Arial" w:cs="Arial" w:eastAsia="Arial" w:hAnsi="Arial"/>
          <w:sz w:val="16"/>
          <w:szCs w:val="16"/>
          <w:color w:val="auto"/>
        </w:rPr>
        <w:t>. On or prior to the date that the first Securities are sold pursuant to the terms of this Agreement and each time Securities are delivered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for which no waiver is applicable, the Company shall cause its independent accountants to furnish Wells Fargo letters (the “</w:t>
      </w:r>
      <w:r>
        <w:rPr>
          <w:rFonts w:ascii="Arial" w:cs="Arial" w:eastAsia="Arial" w:hAnsi="Arial"/>
          <w:sz w:val="16"/>
          <w:szCs w:val="16"/>
          <w:u w:val="single" w:color="auto"/>
          <w:color w:val="auto"/>
        </w:rPr>
        <w:t>Comfort Letter</w:t>
      </w:r>
      <w:r>
        <w:rPr>
          <w:rFonts w:ascii="Arial" w:cs="Arial" w:eastAsia="Arial" w:hAnsi="Arial"/>
          <w:sz w:val="16"/>
          <w:szCs w:val="16"/>
          <w:color w:val="auto"/>
        </w:rPr>
        <w:t>”), dated the date the Comfort Letter is delivered, in form and substance satisfactory to Wells Fargo,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6"/>
          <w:szCs w:val="16"/>
          <w:u w:val="single" w:color="auto"/>
          <w:color w:val="auto"/>
        </w:rPr>
        <w:t>Initial Comfort Letter</w:t>
      </w:r>
      <w:r>
        <w:rPr>
          <w:rFonts w:ascii="Arial" w:cs="Arial" w:eastAsia="Arial" w:hAnsi="Arial"/>
          <w:sz w:val="16"/>
          <w:szCs w:val="16"/>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19" w:lineRule="exact"/>
        <w:rPr>
          <w:rFonts w:ascii="Arial" w:cs="Arial" w:eastAsia="Arial" w:hAnsi="Arial"/>
          <w:sz w:val="16"/>
          <w:szCs w:val="16"/>
          <w:color w:val="auto"/>
        </w:rPr>
      </w:pPr>
    </w:p>
    <w:p>
      <w:pPr>
        <w:ind w:right="80" w:firstLine="464"/>
        <w:spacing w:after="0" w:line="283" w:lineRule="auto"/>
        <w:tabs>
          <w:tab w:leader="none" w:pos="676"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Market Activities</w:t>
      </w:r>
      <w:r>
        <w:rPr>
          <w:rFonts w:ascii="Arial" w:cs="Arial" w:eastAsia="Arial" w:hAnsi="Arial"/>
          <w:sz w:val="16"/>
          <w:szCs w:val="16"/>
          <w:color w:val="auto"/>
        </w:rPr>
        <w:t>. The Company will not, directly or indirectly, (i) take any action designed to cause or result in, or that constitutes or might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Wells Fargo;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bid for and purchase its Common Shares in accordance with Rule 10b-18 under the Exchange Act,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 such bids or purchases shall be made by the Company during the three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Trading Days before or after any sale of any Securities pursuant to this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7" w:name="page28"/>
    <w:bookmarkEnd w:id="27"/>
    <w:p>
      <w:pPr>
        <w:ind w:left="-40" w:firstLine="464"/>
        <w:spacing w:after="0" w:line="256" w:lineRule="auto"/>
        <w:tabs>
          <w:tab w:leader="none" w:pos="64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43" w:lineRule="exact"/>
        <w:rPr>
          <w:rFonts w:ascii="Arial" w:cs="Arial" w:eastAsia="Arial" w:hAnsi="Arial"/>
          <w:sz w:val="18"/>
          <w:szCs w:val="18"/>
          <w:color w:val="auto"/>
        </w:rPr>
      </w:pPr>
    </w:p>
    <w:p>
      <w:pPr>
        <w:ind w:left="-40" w:firstLine="464"/>
        <w:spacing w:after="0" w:line="291" w:lineRule="auto"/>
        <w:tabs>
          <w:tab w:leader="none" w:pos="62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The Company and each of its subsidiaries shall maintain, or cause to be maintained, all material environmental permits, licenses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20" w:lineRule="exact"/>
        <w:rPr>
          <w:rFonts w:ascii="Arial" w:cs="Arial" w:eastAsia="Arial" w:hAnsi="Arial"/>
          <w:sz w:val="16"/>
          <w:szCs w:val="16"/>
          <w:color w:val="auto"/>
        </w:rPr>
      </w:pPr>
    </w:p>
    <w:p>
      <w:pPr>
        <w:ind w:left="-40" w:right="260" w:firstLine="464"/>
        <w:spacing w:after="0" w:line="335" w:lineRule="auto"/>
        <w:tabs>
          <w:tab w:leader="none" w:pos="665"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Investment Company Act</w:t>
      </w:r>
      <w:r>
        <w:rPr>
          <w:rFonts w:ascii="Arial" w:cs="Arial" w:eastAsia="Arial" w:hAnsi="Arial"/>
          <w:sz w:val="15"/>
          <w:szCs w:val="15"/>
          <w:color w:val="auto"/>
        </w:rPr>
        <w:t>. The Company will conduct its affairs in such a manner so as to reasonably ensure that neither it nor any of its subsidiaries</w:t>
      </w:r>
      <w:r>
        <w:rPr>
          <w:rFonts w:ascii="Arial" w:cs="Arial" w:eastAsia="Arial" w:hAnsi="Arial"/>
          <w:sz w:val="15"/>
          <w:szCs w:val="15"/>
          <w:i w:val="1"/>
          <w:iCs w:val="1"/>
          <w:color w:val="auto"/>
        </w:rPr>
        <w:t xml:space="preserve"> </w:t>
      </w:r>
      <w:r>
        <w:rPr>
          <w:rFonts w:ascii="Arial" w:cs="Arial" w:eastAsia="Arial" w:hAnsi="Arial"/>
          <w:sz w:val="15"/>
          <w:szCs w:val="15"/>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88" w:lineRule="exact"/>
        <w:rPr>
          <w:rFonts w:ascii="Arial" w:cs="Arial" w:eastAsia="Arial" w:hAnsi="Arial"/>
          <w:sz w:val="15"/>
          <w:szCs w:val="15"/>
          <w:color w:val="auto"/>
        </w:rPr>
      </w:pPr>
    </w:p>
    <w:p>
      <w:pPr>
        <w:jc w:val="both"/>
        <w:ind w:left="-40" w:right="80" w:firstLine="464"/>
        <w:spacing w:after="0" w:line="259" w:lineRule="auto"/>
        <w:tabs>
          <w:tab w:leader="none" w:pos="66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as from time to time in force, so far as necessary to permit the continuance of sales of, or dealings in, the Placement Securities as contemplated by the provisions hereof and the Prospectus.</w:t>
      </w:r>
    </w:p>
    <w:p>
      <w:pPr>
        <w:spacing w:after="0" w:line="140" w:lineRule="exact"/>
        <w:rPr>
          <w:rFonts w:ascii="Arial" w:cs="Arial" w:eastAsia="Arial" w:hAnsi="Arial"/>
          <w:sz w:val="18"/>
          <w:szCs w:val="18"/>
          <w:color w:val="auto"/>
        </w:rPr>
      </w:pPr>
    </w:p>
    <w:p>
      <w:pPr>
        <w:ind w:left="-40" w:firstLine="464"/>
        <w:spacing w:after="0" w:line="256" w:lineRule="auto"/>
        <w:tabs>
          <w:tab w:leader="none" w:pos="70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Wells Fargo in its capacity as principal or agent hereunder, the Company (including its agents and representatives, other than Wells Fargo in its capacity as such) will not, directly or indirectly, make, use, prepare, authorize, approve or refer to any free writing prospectus relating to the Securities to be sold by Wells Fargo as principal or agent hereunder.</w:t>
      </w:r>
    </w:p>
    <w:p>
      <w:pPr>
        <w:spacing w:after="0" w:line="143" w:lineRule="exact"/>
        <w:rPr>
          <w:rFonts w:ascii="Arial" w:cs="Arial" w:eastAsia="Arial" w:hAnsi="Arial"/>
          <w:sz w:val="18"/>
          <w:szCs w:val="18"/>
          <w:color w:val="auto"/>
        </w:rPr>
      </w:pPr>
    </w:p>
    <w:p>
      <w:pPr>
        <w:ind w:left="-40" w:right="280" w:firstLine="464"/>
        <w:spacing w:after="0" w:line="268" w:lineRule="auto"/>
        <w:tabs>
          <w:tab w:leader="none" w:pos="66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31" w:lineRule="exact"/>
        <w:rPr>
          <w:rFonts w:ascii="Arial" w:cs="Arial" w:eastAsia="Arial" w:hAnsi="Arial"/>
          <w:sz w:val="18"/>
          <w:szCs w:val="18"/>
          <w:color w:val="auto"/>
        </w:rPr>
      </w:pPr>
    </w:p>
    <w:p>
      <w:pPr>
        <w:ind w:left="-40" w:right="60" w:firstLine="464"/>
        <w:spacing w:after="0" w:line="306" w:lineRule="auto"/>
        <w:tabs>
          <w:tab w:leader="none" w:pos="66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Regulation M. </w:t>
      </w:r>
      <w:r>
        <w:rPr>
          <w:rFonts w:ascii="Arial" w:cs="Arial" w:eastAsia="Arial" w:hAnsi="Arial"/>
          <w:sz w:val="16"/>
          <w:szCs w:val="16"/>
          <w:color w:val="auto"/>
        </w:rPr>
        <w:t>If the Company has reason to believe that the exemptive provisions set forth in Rule 101(c)(1) of Regulation M under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satisfied with respect to the Company or the Common Shares, it shall promptly notify Wells Fargo and sales of the Placement Securities under this Agreement shall be suspended until that or other exemptive provisions have been satisfied in the judgment of each party.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80" w:top="280" w:right="279" w:bottom="1440" w:gutter="0" w:footer="0" w:header="0"/>
        </w:sectPr>
      </w:pPr>
    </w:p>
    <w:bookmarkStart w:id="28" w:name="page29"/>
    <w:bookmarkEnd w:id="28"/>
    <w:p>
      <w:pPr>
        <w:ind w:left="-8" w:right="300" w:firstLine="464"/>
        <w:spacing w:after="0" w:line="268"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32" w:lineRule="exact"/>
        <w:rPr>
          <w:sz w:val="20"/>
          <w:szCs w:val="20"/>
          <w:color w:val="auto"/>
        </w:rPr>
      </w:pPr>
    </w:p>
    <w:p>
      <w:pPr>
        <w:ind w:left="-8" w:right="120" w:firstLine="464"/>
        <w:spacing w:after="0" w:line="310" w:lineRule="auto"/>
        <w:tabs>
          <w:tab w:leader="none" w:pos="687"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 xml:space="preserve">Renewal of Registration Statement. </w:t>
      </w:r>
      <w:r>
        <w:rPr>
          <w:rFonts w:ascii="Arial" w:cs="Arial" w:eastAsia="Arial" w:hAnsi="Arial"/>
          <w:sz w:val="15"/>
          <w:szCs w:val="15"/>
          <w:color w:val="auto"/>
        </w:rPr>
        <w:t>The date of this Agreement is not more than three years subsequent to the initial effective date of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(the “</w:t>
      </w:r>
      <w:r>
        <w:rPr>
          <w:rFonts w:ascii="Arial" w:cs="Arial" w:eastAsia="Arial" w:hAnsi="Arial"/>
          <w:sz w:val="15"/>
          <w:szCs w:val="15"/>
          <w:u w:val="single" w:color="auto"/>
          <w:color w:val="auto"/>
        </w:rPr>
        <w:t>Renewal Date</w:t>
      </w:r>
      <w:r>
        <w:rPr>
          <w:rFonts w:ascii="Arial" w:cs="Arial" w:eastAsia="Arial" w:hAnsi="Arial"/>
          <w:sz w:val="15"/>
          <w:szCs w:val="15"/>
          <w:color w:val="auto"/>
        </w:rPr>
        <w:t>”). If, immediately prior to the third anniversary of the Renewal Date, this Agreement has not terminated and a prospectus is required to be delivered or made available by Wells Fargo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08" w:lineRule="exact"/>
        <w:rPr>
          <w:rFonts w:ascii="Arial" w:cs="Arial" w:eastAsia="Arial" w:hAnsi="Arial"/>
          <w:sz w:val="15"/>
          <w:szCs w:val="15"/>
          <w:color w:val="auto"/>
        </w:rPr>
      </w:pPr>
    </w:p>
    <w:p>
      <w:pPr>
        <w:jc w:val="both"/>
        <w:ind w:left="-8" w:firstLine="464"/>
        <w:spacing w:after="0" w:line="256" w:lineRule="auto"/>
        <w:tabs>
          <w:tab w:leader="none" w:pos="69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Wells Fargo the right to refuse to purchase and pay for such Securities.</w:t>
      </w:r>
    </w:p>
    <w:p>
      <w:pPr>
        <w:spacing w:after="0" w:line="14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71" w:lineRule="exact"/>
        <w:rPr>
          <w:sz w:val="20"/>
          <w:szCs w:val="20"/>
          <w:color w:val="auto"/>
        </w:rPr>
      </w:pPr>
    </w:p>
    <w:p>
      <w:pPr>
        <w:ind w:left="-8" w:right="120" w:firstLine="464"/>
        <w:spacing w:after="0" w:line="286" w:lineRule="auto"/>
        <w:tabs>
          <w:tab w:leader="none" w:pos="687"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w:t>
      </w:r>
    </w:p>
    <w:p>
      <w:pPr>
        <w:ind w:left="-8" w:right="120" w:firstLine="8"/>
        <w:spacing w:after="0" w:line="287" w:lineRule="auto"/>
        <w:tabs>
          <w:tab w:leader="none" w:pos="25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preparation, issuance and delivery of the certificates for the Placement Securities to Wells Fargo, including any stock or other transfer taxes and any capital duties, stamp duties or other duties or taxes payable upon the sale, issuance or delivery of the Placement Securities to Wells Fargo,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Wells Fargo in connection therewith and in connection with the preparation of a state securities law or “blue sky” survey and any supplements thereto, (v) the printing and delivery to Wells Fargo of copies of any Permitted Free Writing Prospectus and the Prospectus and any amendments or supplements thereto and any costs associated with electronic delivery of any of the foregoing by Wells Fargo to investors, (vi) the preparation, printing and delivery to Wells Fargo of copies of the Blue Sky Survey and any Canadian “wrapper” and any supplements thereto, (vii) the fees and expenses of the Custodian and the transfer agent and registrar for the Securities, (viii) the filing fees incident to, and the reasonable fees and disbursements of counsel for Wells Fargo in</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92"/>
          </w:cols>
          <w:pgMar w:left="248" w:top="280" w:right="259" w:bottom="1440" w:gutter="0" w:footer="0" w:header="0"/>
        </w:sectPr>
      </w:pPr>
    </w:p>
    <w:bookmarkStart w:id="29" w:name="page30"/>
    <w:bookmarkEnd w:id="29"/>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review by FINRA of the terms of the sale of the Securities, (ix) the fees and expenses incurred in connection with the listing of the Placement Securities on the NYSE, (x) the disbursements of counsel for Wells Fargo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Wells Fargo for all of its reasonable out-of-pocket expenses, including the reasonable fees and disbursements of counsel for Wells Fargo incurred by Wells Fargo in connection with the transactions contemplated by this Agreement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Wells Fargo within five (5) business days of the Determination Date.</w:t>
      </w:r>
    </w:p>
    <w:p>
      <w:pPr>
        <w:spacing w:after="0" w:line="118" w:lineRule="exact"/>
        <w:rPr>
          <w:sz w:val="20"/>
          <w:szCs w:val="20"/>
          <w:color w:val="auto"/>
        </w:rPr>
      </w:pPr>
    </w:p>
    <w:p>
      <w:pPr>
        <w:jc w:val="both"/>
        <w:ind w:right="300" w:firstLine="464"/>
        <w:spacing w:after="0" w:line="256"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this Agreement is terminated by Wells Fargo in accordance with the provisions of Section 9 or Section 13(a)(i) or (iii)</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first clause only) hereof, the Company shall reimburse Wells Fargo for all of its out-of-pocket expenses, including the reasonable fees and disbursements of counsel for Wells Fargo, unless Securities having an aggregate offering price of $50,000,000 or more have previously been offered and sold under this Agreement.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Wells Fargo’s Obligations</w:t>
      </w:r>
      <w:r>
        <w:rPr>
          <w:rFonts w:ascii="Arial" w:cs="Arial" w:eastAsia="Arial" w:hAnsi="Arial"/>
          <w:sz w:val="18"/>
          <w:szCs w:val="18"/>
          <w:color w:val="auto"/>
        </w:rPr>
        <w:t>. The obligations of Wells Fargo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43" w:lineRule="exact"/>
        <w:rPr>
          <w:sz w:val="20"/>
          <w:szCs w:val="20"/>
          <w:color w:val="auto"/>
        </w:rPr>
      </w:pPr>
    </w:p>
    <w:p>
      <w:pPr>
        <w:ind w:right="20" w:firstLine="464"/>
        <w:spacing w:after="0" w:line="25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Registration Statement; Payment of Filing Fee. </w:t>
      </w:r>
      <w:r>
        <w:rPr>
          <w:rFonts w:ascii="Arial" w:cs="Arial" w:eastAsia="Arial" w:hAnsi="Arial"/>
          <w:sz w:val="18"/>
          <w:szCs w:val="18"/>
          <w:color w:val="auto"/>
        </w:rPr>
        <w:t>The Registration Statement shall have become effective and shall be available for (i) all</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47" w:lineRule="exact"/>
        <w:rPr>
          <w:rFonts w:ascii="Arial" w:cs="Arial" w:eastAsia="Arial" w:hAnsi="Arial"/>
          <w:sz w:val="18"/>
          <w:szCs w:val="18"/>
          <w:color w:val="auto"/>
        </w:rPr>
      </w:pPr>
    </w:p>
    <w:p>
      <w:pPr>
        <w:ind w:firstLine="464"/>
        <w:spacing w:after="0" w:line="294"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30" w:name="page31"/>
    <w:bookmarkEnd w:id="30"/>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18" w:lineRule="exact"/>
        <w:rPr>
          <w:sz w:val="20"/>
          <w:szCs w:val="20"/>
          <w:color w:val="auto"/>
        </w:rPr>
      </w:pPr>
    </w:p>
    <w:p>
      <w:pPr>
        <w:ind w:firstLine="464"/>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Wells Fargo shall not have advised the Company that the Registration Statement or Prospectus, or any Issuer</w:t>
      </w:r>
      <w:r>
        <w:rPr>
          <w:rFonts w:ascii="Arial" w:cs="Arial" w:eastAsia="Arial" w:hAnsi="Arial"/>
          <w:sz w:val="18"/>
          <w:szCs w:val="18"/>
          <w:i w:val="1"/>
          <w:iCs w:val="1"/>
          <w:color w:val="auto"/>
        </w:rPr>
        <w:t xml:space="preserve"> </w:t>
      </w:r>
      <w:r>
        <w:rPr>
          <w:rFonts w:ascii="Arial" w:cs="Arial" w:eastAsia="Arial" w:hAnsi="Arial"/>
          <w:sz w:val="18"/>
          <w:szCs w:val="18"/>
          <w:color w:val="auto"/>
        </w:rPr>
        <w:t>Free Writing Prospectus, or any amendment or supplement thereto, contains an untrue statement of fact that in Wells Fargo’s opinion is material, or omits to state a fact that in Wells Fargo’s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42" w:lineRule="exact"/>
        <w:rPr>
          <w:rFonts w:ascii="Arial" w:cs="Arial" w:eastAsia="Arial" w:hAnsi="Arial"/>
          <w:sz w:val="18"/>
          <w:szCs w:val="18"/>
          <w:color w:val="auto"/>
        </w:rPr>
      </w:pPr>
    </w:p>
    <w:p>
      <w:pPr>
        <w:ind w:right="60" w:firstLine="464"/>
        <w:spacing w:after="0" w:line="306"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06" w:lineRule="exact"/>
        <w:rPr>
          <w:rFonts w:ascii="Arial" w:cs="Arial" w:eastAsia="Arial" w:hAnsi="Arial"/>
          <w:sz w:val="16"/>
          <w:szCs w:val="16"/>
          <w:color w:val="auto"/>
        </w:rPr>
      </w:pPr>
    </w:p>
    <w:p>
      <w:pPr>
        <w:ind w:right="400" w:firstLine="464"/>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Wells Fargo shall have received the favorable opinion of Company Counsel, required to be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7(p) on or before the date on which such delivery of such opinion is required pursuant to Section 7(p).</w:t>
      </w:r>
    </w:p>
    <w:p>
      <w:pPr>
        <w:spacing w:after="0" w:line="131" w:lineRule="exact"/>
        <w:rPr>
          <w:rFonts w:ascii="Arial" w:cs="Arial" w:eastAsia="Arial" w:hAnsi="Arial"/>
          <w:sz w:val="18"/>
          <w:szCs w:val="18"/>
          <w:color w:val="auto"/>
        </w:rPr>
      </w:pPr>
    </w:p>
    <w:p>
      <w:pPr>
        <w:ind w:right="380" w:firstLine="464"/>
        <w:spacing w:after="0" w:line="268" w:lineRule="auto"/>
        <w:tabs>
          <w:tab w:leader="none" w:pos="67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Wells Fargo shall have received the certificate required to be delivered pursuant to Section 7(o)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delivery of such certificate is required pursuant to Section 7(o).</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Wells Fargo shall have received the Comfort Letter required to be delivered pursuant Section 7(q)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delivery of such opinion is required pursuant to Section 7(q).</w:t>
      </w:r>
    </w:p>
    <w:p>
      <w:pPr>
        <w:spacing w:after="0" w:line="131"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 (ii)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have filed an application for listing of the Placement Securities on the NYSE at, or prior to, the issuance of any Placement Notice.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1" w:name="page32"/>
    <w:bookmarkEnd w:id="31"/>
    <w:p>
      <w:pPr>
        <w:ind w:left="520" w:hanging="216"/>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Suspension</w:t>
      </w:r>
      <w:r>
        <w:rPr>
          <w:rFonts w:ascii="Arial" w:cs="Arial" w:eastAsia="Arial" w:hAnsi="Arial"/>
          <w:sz w:val="18"/>
          <w:szCs w:val="18"/>
          <w:color w:val="auto"/>
        </w:rPr>
        <w:t>. Trading in the Securities shall not have been suspended on the NYSE.</w:t>
      </w:r>
    </w:p>
    <w:p>
      <w:pPr>
        <w:spacing w:after="0" w:line="171" w:lineRule="exact"/>
        <w:rPr>
          <w:rFonts w:ascii="Arial" w:cs="Arial" w:eastAsia="Arial" w:hAnsi="Arial"/>
          <w:sz w:val="18"/>
          <w:szCs w:val="18"/>
          <w:color w:val="auto"/>
        </w:rPr>
      </w:pPr>
    </w:p>
    <w:p>
      <w:pPr>
        <w:ind w:left="-160" w:firstLine="464"/>
        <w:spacing w:after="0" w:line="256" w:lineRule="auto"/>
        <w:tabs>
          <w:tab w:leader="none" w:pos="50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Wells Fargo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43" w:lineRule="exact"/>
        <w:rPr>
          <w:rFonts w:ascii="Arial" w:cs="Arial" w:eastAsia="Arial" w:hAnsi="Arial"/>
          <w:sz w:val="18"/>
          <w:szCs w:val="18"/>
          <w:color w:val="auto"/>
        </w:rPr>
      </w:pPr>
    </w:p>
    <w:p>
      <w:pPr>
        <w:ind w:left="-160" w:right="40" w:firstLine="464"/>
        <w:spacing w:after="0" w:line="332" w:lineRule="auto"/>
        <w:tabs>
          <w:tab w:leader="none" w:pos="54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w:t>
      </w:r>
      <w:r>
        <w:rPr>
          <w:rFonts w:ascii="Arial" w:cs="Arial" w:eastAsia="Arial" w:hAnsi="Arial"/>
          <w:sz w:val="16"/>
          <w:szCs w:val="16"/>
          <w:i w:val="1"/>
          <w:iCs w:val="1"/>
          <w:color w:val="auto"/>
        </w:rPr>
        <w:t xml:space="preserve"> </w:t>
      </w:r>
      <w:r>
        <w:rPr>
          <w:rFonts w:ascii="Arial" w:cs="Arial" w:eastAsia="Arial" w:hAnsi="Arial"/>
          <w:sz w:val="16"/>
          <w:szCs w:val="16"/>
          <w:color w:val="auto"/>
        </w:rPr>
        <w:t>any Placement Notice hereunder shall have been made within the applicable time period prescribed for such filing by Rule 424.</w:t>
      </w:r>
    </w:p>
    <w:p>
      <w:pPr>
        <w:spacing w:after="0" w:line="85" w:lineRule="exact"/>
        <w:rPr>
          <w:rFonts w:ascii="Arial" w:cs="Arial" w:eastAsia="Arial" w:hAnsi="Arial"/>
          <w:sz w:val="16"/>
          <w:szCs w:val="16"/>
          <w:color w:val="auto"/>
        </w:rPr>
      </w:pPr>
    </w:p>
    <w:p>
      <w:pPr>
        <w:jc w:val="both"/>
        <w:ind w:left="-160" w:right="40" w:firstLine="464"/>
        <w:spacing w:after="0" w:line="256" w:lineRule="auto"/>
        <w:tabs>
          <w:tab w:leader="none" w:pos="50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Wells Fargo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400" w:top="280" w:right="37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Company. </w:t>
      </w:r>
      <w:r>
        <w:rPr>
          <w:rFonts w:ascii="Arial" w:cs="Arial" w:eastAsia="Arial" w:hAnsi="Arial"/>
          <w:sz w:val="16"/>
          <w:szCs w:val="16"/>
          <w:color w:val="auto"/>
        </w:rPr>
        <w:t>The Company will indemnify and hold harmless Wells Fargo, its affiliates, its directors, its officers and each person, if</w:t>
      </w:r>
      <w:r>
        <w:rPr>
          <w:rFonts w:ascii="Arial" w:cs="Arial" w:eastAsia="Arial" w:hAnsi="Arial"/>
          <w:sz w:val="16"/>
          <w:szCs w:val="16"/>
          <w:i w:val="1"/>
          <w:iCs w:val="1"/>
          <w:color w:val="auto"/>
        </w:rPr>
        <w:t xml:space="preserve"> </w:t>
      </w:r>
      <w:r>
        <w:rPr>
          <w:rFonts w:ascii="Arial" w:cs="Arial" w:eastAsia="Arial" w:hAnsi="Arial"/>
          <w:sz w:val="16"/>
          <w:szCs w:val="16"/>
          <w:color w:val="auto"/>
        </w:rPr>
        <w:t>any, who controls Wells Fargo within the meaning of Section 15 of the Securities Act or Section 20 of the Exchange Act, against any losses, claims, damages or liabilities, joint or several, to which Wells Fargo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Wells Fargo for any legal or other expenses reasonably incurred by Wells Fargo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in the Prospectus as amended or supplemented relating to such Securities.</w:t>
      </w:r>
    </w:p>
    <w:p>
      <w:pPr>
        <w:spacing w:after="0" w:line="124" w:lineRule="exact"/>
        <w:rPr>
          <w:rFonts w:ascii="Arial" w:cs="Arial" w:eastAsia="Arial" w:hAnsi="Arial"/>
          <w:sz w:val="16"/>
          <w:szCs w:val="16"/>
          <w:color w:val="auto"/>
        </w:rPr>
      </w:pPr>
    </w:p>
    <w:p>
      <w:pPr>
        <w:ind w:firstLine="464"/>
        <w:spacing w:after="0" w:line="286"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Indemnification by Wells Fargo</w:t>
      </w:r>
      <w:r>
        <w:rPr>
          <w:rFonts w:ascii="Arial" w:cs="Arial" w:eastAsia="Arial" w:hAnsi="Arial"/>
          <w:sz w:val="16"/>
          <w:szCs w:val="16"/>
          <w:color w:val="auto"/>
        </w:rPr>
        <w:t>. Wells Fargo will indemnify and hold harmless the Company, its trustees, its officers who signed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4"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Actions against Parties; Notification. </w:t>
      </w:r>
      <w:r>
        <w:rPr>
          <w:rFonts w:ascii="Arial" w:cs="Arial" w:eastAsia="Arial" w:hAnsi="Arial"/>
          <w:sz w:val="18"/>
          <w:szCs w:val="18"/>
          <w:color w:val="auto"/>
        </w:rPr>
        <w:t>Promptly after receipt by an indemnified party under subsection (a) or (b) above of notice of the commencement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action,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3" w:name="page34"/>
    <w:bookmarkEnd w:id="33"/>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2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Wells Fargo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10(c) above, then each indemnifying party shall contribute to such amount paid or payable by such indemnified party in such proportion as is appropriate to reflect not only such relative benefits but also the relative fault of the Company on the one hand and Wells Fargo on the other in connection with the statements or omissions which resulted in such losses, claims, damages or liabilities (or actions in respect thereof), as well as any other relevant equitable considerations. The relative benefits received by the Company on the one hand and Wells Fargo on the other shall be deemed to be in the same proportion as the total net proceeds from the offering of Securities pursuant to this Agreement (before deducting expenses) received by the Company bear to the total commissions received by Wells Fargo. The relative fault shall be determined by reference to, among other things, whether the untrue or alleged untrue statement of a material fact or the omission or alleged omission to state a material fact relates to information supplied by the Company on the one hand or Wells Fargo on the other and the parties’ relative intent, knowledge, access to information and opportunity to correct or prevent such statement or omission. The Company and Wells Fargo agree that it would not be just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4" w:name="page35"/>
    <w:bookmarkEnd w:id="3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Wells Fargo shall not be required to contribute any amount in excess of the amount by which the total price at which the Securities sold by it and distributed to the public were offered to the public exceeds the amount of any damages which Wells Fargo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Wells Fargo within the meaning of the Securities Act; and the obligations of Wells Fargo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subsidiary submitted pursuant hereto, shall remain operative and in full force and effect, regardless of any investigation made by or on behalf of Wells Fargo or any controlling person, or by or on behalf of the Company or any controlling person, and shall survive delivery of the Securities to Wells Fargo.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8"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Wells Fargo may terminate this Agreement, by notice to the Company, as hereinafter specified at any time (i) if there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Wells Fargo,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5" w:name="page36"/>
    <w:bookmarkEnd w:id="35"/>
    <w:p>
      <w:pPr>
        <w:ind w:righ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07" w:lineRule="exact"/>
        <w:rPr>
          <w:sz w:val="20"/>
          <w:szCs w:val="20"/>
          <w:color w:val="auto"/>
        </w:rPr>
      </w:pPr>
    </w:p>
    <w:p>
      <w:pPr>
        <w:ind w:right="50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31" w:lineRule="exact"/>
        <w:rPr>
          <w:rFonts w:ascii="Arial" w:cs="Arial" w:eastAsia="Arial" w:hAnsi="Arial"/>
          <w:sz w:val="18"/>
          <w:szCs w:val="18"/>
          <w:color w:val="auto"/>
        </w:rPr>
      </w:pPr>
    </w:p>
    <w:p>
      <w:pPr>
        <w:ind w:right="74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Wells Fargo. </w:t>
      </w:r>
      <w:r>
        <w:rPr>
          <w:rFonts w:ascii="Arial" w:cs="Arial" w:eastAsia="Arial" w:hAnsi="Arial"/>
          <w:sz w:val="18"/>
          <w:szCs w:val="18"/>
          <w:color w:val="auto"/>
        </w:rPr>
        <w:t>Wells Fargo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31" w:lineRule="exact"/>
        <w:rPr>
          <w:rFonts w:ascii="Arial" w:cs="Arial" w:eastAsia="Arial" w:hAnsi="Arial"/>
          <w:sz w:val="18"/>
          <w:szCs w:val="18"/>
          <w:color w:val="auto"/>
        </w:rPr>
      </w:pPr>
    </w:p>
    <w:p>
      <w:pPr>
        <w:ind w:right="140"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 sale</w:t>
      </w:r>
      <w:r>
        <w:rPr>
          <w:rFonts w:ascii="Arial" w:cs="Arial" w:eastAsia="Arial" w:hAnsi="Arial"/>
          <w:sz w:val="18"/>
          <w:szCs w:val="18"/>
          <w:i w:val="1"/>
          <w:iCs w:val="1"/>
          <w:color w:val="auto"/>
        </w:rPr>
        <w:t xml:space="preserve"> </w:t>
      </w:r>
      <w:r>
        <w:rPr>
          <w:rFonts w:ascii="Arial" w:cs="Arial" w:eastAsia="Arial" w:hAnsi="Arial"/>
          <w:sz w:val="18"/>
          <w:szCs w:val="18"/>
          <w:color w:val="auto"/>
        </w:rPr>
        <w:t>of Placement Securities through Wells Fargo on the terms and subject to the conditions set forth herein with an aggregate offering price equal to the Maximum Amount set forth in Section 1 of this Agreement.</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Continued Force and Effect. </w:t>
      </w:r>
      <w:r>
        <w:rPr>
          <w:rFonts w:ascii="Arial" w:cs="Arial" w:eastAsia="Arial" w:hAnsi="Arial"/>
          <w:sz w:val="18"/>
          <w:szCs w:val="18"/>
          <w:color w:val="auto"/>
        </w:rPr>
        <w:t>This Agreement shall remain in full force and effect unless terminated pursuant to Sections 13(a), (b), (c), or (d) above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by mutual agreement of the parties.</w:t>
      </w:r>
    </w:p>
    <w:p>
      <w:pPr>
        <w:spacing w:after="0" w:line="131" w:lineRule="exact"/>
        <w:rPr>
          <w:rFonts w:ascii="Arial" w:cs="Arial" w:eastAsia="Arial" w:hAnsi="Arial"/>
          <w:sz w:val="18"/>
          <w:szCs w:val="18"/>
          <w:color w:val="auto"/>
        </w:rPr>
      </w:pPr>
    </w:p>
    <w:p>
      <w:pPr>
        <w:ind w:firstLine="464"/>
        <w:spacing w:after="0" w:line="256" w:lineRule="auto"/>
        <w:tabs>
          <w:tab w:leader="none" w:pos="67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Wells Fargo or the Company, as the case may be. If such termination shall occur prior to the Settlement Date for any sale of Placement Securities, such Placement Securities shall settle in accordance with the provisions of this Agreement.</w:t>
      </w:r>
    </w:p>
    <w:p>
      <w:pPr>
        <w:spacing w:after="0" w:line="143"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 provided in Section 8 hereof, and except that, in the case of any termination of this Agreement, Section 5, Section 10, Section 11, Section 12, and Section 21 hereof shall survive such termination and remain in full force and effect.</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in this Agreement, all notices and other communications hereunder shall be in writing and shall be deemed to have been duly given if mailed or transmitted by any standard form of telecommunication. Notices to Wells Fargo shall be directed to Wells Fargo Securities, LLC, 375 Park Avenue, New York, New York 10152, Attention: Equity Syndicate Department, fax no. 212-214-5918; notices to the Company shall be directed to it at 1626 East Jefferson Street, Rockville, Maryland 20852, Attention: General Counsel, fax no. (301) 998-3715.</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inure to the benefit of and be binding upon Wells Fargo, the Company and their respective successors. Nothing expressed or mentioned in this Agreement is intended or shall be construed to give any person, firm or corporation, other than Wells Fargo, the Company and their respective successors and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6" w:name="page37"/>
    <w:bookmarkEnd w:id="3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Wells Fargo, the Company and their respective successors, and said controlling persons and officers, trustees and directors and their heirs and legal representatives, and for the benefit of no other person, firm or corporation. No purchaser of Securities from Wells Fargo shall be deemed to be a successor by reason merely of such purchase.</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Exhibit headings herein are for convenience only and shall not affect the construction hereof.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17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in each case in the form furnished (electronically or otherwise) to Wells Fargo for use in connection with the offering of the Securities.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7" w:name="page38"/>
    <w:bookmarkEnd w:id="37"/>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Wells Fargo outside of the United States.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Wells Fargo, and Wells Fargo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Wells Fargo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171" w:lineRule="exact"/>
        <w:rPr>
          <w:sz w:val="20"/>
          <w:szCs w:val="20"/>
          <w:color w:val="auto"/>
        </w:rPr>
      </w:pPr>
    </w:p>
    <w:p>
      <w:pPr>
        <w:ind w:right="20" w:firstLine="464"/>
        <w:spacing w:after="0" w:line="291"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Wells Fargo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Wells Fargo, on the other hand, has been or will be created in respect of any of the transactions contemplated by this Agreement, irrespective of whether or not Wells Fargo has advised or is advising the Company on other matters, and Wells Fargo has no obligation to the Company with respect to the transactions contemplated by this Agreement except the obligations expressly set forth in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8" w:name="page39"/>
    <w:bookmarkEnd w:id="38"/>
    <w:p>
      <w:pPr>
        <w:ind w:left="640" w:hanging="25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public offering or minimum market price of the Securities set forth in this Agreement was not established by Wells Fargo;</w:t>
      </w:r>
    </w:p>
    <w:p>
      <w:pPr>
        <w:spacing w:after="0" w:line="171" w:lineRule="exact"/>
        <w:rPr>
          <w:rFonts w:ascii="Arial" w:cs="Arial" w:eastAsia="Arial" w:hAnsi="Arial"/>
          <w:sz w:val="18"/>
          <w:szCs w:val="18"/>
          <w:color w:val="auto"/>
        </w:rPr>
      </w:pPr>
    </w:p>
    <w:p>
      <w:pPr>
        <w:ind w:left="-80" w:right="340" w:firstLine="464"/>
        <w:spacing w:after="0" w:line="268" w:lineRule="auto"/>
        <w:tabs>
          <w:tab w:leader="none" w:pos="6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31" w:lineRule="exact"/>
        <w:rPr>
          <w:rFonts w:ascii="Arial" w:cs="Arial" w:eastAsia="Arial" w:hAnsi="Arial"/>
          <w:sz w:val="18"/>
          <w:szCs w:val="18"/>
          <w:color w:val="auto"/>
        </w:rPr>
      </w:pPr>
    </w:p>
    <w:p>
      <w:pPr>
        <w:ind w:left="-80" w:firstLine="464"/>
        <w:spacing w:after="0" w:line="268" w:lineRule="auto"/>
        <w:tabs>
          <w:tab w:leader="none" w:pos="6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Wells Fargo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31" w:lineRule="exact"/>
        <w:rPr>
          <w:rFonts w:ascii="Arial" w:cs="Arial" w:eastAsia="Arial" w:hAnsi="Arial"/>
          <w:sz w:val="18"/>
          <w:szCs w:val="18"/>
          <w:color w:val="auto"/>
        </w:rPr>
      </w:pPr>
    </w:p>
    <w:p>
      <w:pPr>
        <w:ind w:left="-80" w:right="100" w:firstLine="464"/>
        <w:spacing w:after="0" w:line="259" w:lineRule="auto"/>
        <w:tabs>
          <w:tab w:leader="none" w:pos="6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aware that Wells Fargo and its respective affiliates are engaged in a broad range of transactions which may involve interests that differ from those of the Company and Wells Fargo has no obligation to disclose such interests and transactions to the Company by virtue of any fiduciary, advisory or agency relationship or otherwise; and</w:t>
      </w:r>
    </w:p>
    <w:p>
      <w:pPr>
        <w:spacing w:after="0" w:line="140" w:lineRule="exact"/>
        <w:rPr>
          <w:rFonts w:ascii="Arial" w:cs="Arial" w:eastAsia="Arial" w:hAnsi="Arial"/>
          <w:sz w:val="18"/>
          <w:szCs w:val="18"/>
          <w:color w:val="auto"/>
        </w:rPr>
      </w:pPr>
    </w:p>
    <w:p>
      <w:pPr>
        <w:ind w:left="-80" w:right="120" w:firstLine="464"/>
        <w:spacing w:after="0" w:line="306" w:lineRule="auto"/>
        <w:tabs>
          <w:tab w:leader="none" w:pos="5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waives, to the fullest extent permitted by law, any claims it may have against Wells Fargo for breach of fiduciary duty or alleged breach of fiduciary duty and agrees that Wells Fargo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320" w:top="280" w:right="319" w:bottom="1440" w:gutter="0" w:footer="0" w:header="0"/>
        </w:sectPr>
      </w:pPr>
    </w:p>
    <w:bookmarkStart w:id="39" w:name="page40"/>
    <w:bookmarkEnd w:id="39"/>
    <w:p>
      <w:pPr>
        <w:jc w:val="both"/>
        <w:ind w:right="26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Wells Fargo Securities, LLC and the Company in accordance with its terms.</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Andrew P. Blocher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President-Chief</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Financial Officer and Treasurer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written: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Flouhouse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Christopher Flouhouse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PLACEMENT NOTICE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From:</w:t>
            </w:r>
          </w:p>
        </w:tc>
        <w:tc>
          <w:tcPr>
            <w:tcW w:w="7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Cc:</w:t>
            </w:r>
          </w:p>
        </w:tc>
        <w:tc>
          <w:tcPr>
            <w:tcW w:w="7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To:</w:t>
            </w:r>
          </w:p>
        </w:tc>
        <w:tc>
          <w:tcPr>
            <w:tcW w:w="7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and subject to the conditions contained in the Equity Distribution Agreement between Federal Realty Investment Trust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Wells Fargo Securities, LLC (“</w:t>
      </w:r>
      <w:r>
        <w:rPr>
          <w:rFonts w:ascii="Arial" w:cs="Arial" w:eastAsia="Arial" w:hAnsi="Arial"/>
          <w:sz w:val="16"/>
          <w:szCs w:val="16"/>
          <w:u w:val="single" w:color="auto"/>
          <w:color w:val="auto"/>
        </w:rPr>
        <w:t>Wells Fargo</w:t>
      </w:r>
      <w:r>
        <w:rPr>
          <w:rFonts w:ascii="Arial" w:cs="Arial" w:eastAsia="Arial" w:hAnsi="Arial"/>
          <w:sz w:val="16"/>
          <w:szCs w:val="16"/>
          <w:color w:val="auto"/>
        </w:rPr>
        <w:t>”) dated February 24, 2011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 of the Company that Wells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Fargo sell up to [*]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of the Company’s common shares of beneficial interest, par value $.01 per share, at a minimum market price of $[*]</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per share, and agree that the Company will pay Wells Fargo, as compensation for such sales, [*]% of the gross sales price of Placement Securities sold pursuant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Placement Notice.</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WELLS FARGO, AND/OR THE CAPACITY IN WHICH WELLS FARGO MAY ACT IN SELLING SHARES (AS PRINCIPAL, AGENT, OR BOTH)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420"/>
          </w:cols>
          <w:pgMar w:left="240" w:top="280" w:right="239" w:bottom="1440" w:gutter="0" w:footer="0" w:header="0"/>
        </w:sectPr>
      </w:pPr>
    </w:p>
    <w:bookmarkStart w:id="41" w:name="page42"/>
    <w:bookmarkEnd w:id="41"/>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Wells Fargo Securities, LLC</w:t>
      </w:r>
    </w:p>
    <w:p>
      <w:pPr>
        <w:spacing w:after="0" w:line="214"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Name</w:t>
            </w:r>
          </w:p>
        </w:tc>
        <w:tc>
          <w:tcPr>
            <w:tcW w:w="15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Email</w:t>
            </w:r>
          </w:p>
        </w:tc>
        <w:tc>
          <w:tcPr>
            <w:tcW w:w="1260" w:type="dxa"/>
            <w:vAlign w:val="bottom"/>
            <w:gridSpan w:val="6"/>
          </w:tcPr>
          <w:p>
            <w:pPr>
              <w:spacing w:after="0"/>
              <w:rPr>
                <w:sz w:val="14"/>
                <w:szCs w:val="14"/>
                <w:color w:val="auto"/>
              </w:rPr>
            </w:pPr>
          </w:p>
        </w:tc>
      </w:tr>
      <w:tr>
        <w:trPr>
          <w:trHeight w:val="316"/>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Jim Taylor</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8"/>
          </w:tcPr>
          <w:p>
            <w:pPr>
              <w:jc w:val="center"/>
              <w:ind w:right="460"/>
              <w:spacing w:after="0"/>
              <w:rPr>
                <w:sz w:val="20"/>
                <w:szCs w:val="20"/>
                <w:color w:val="auto"/>
              </w:rPr>
            </w:pPr>
            <w:r>
              <w:rPr>
                <w:rFonts w:ascii="Arial" w:cs="Arial" w:eastAsia="Arial" w:hAnsi="Arial"/>
                <w:sz w:val="18"/>
                <w:szCs w:val="18"/>
                <w:color w:val="auto"/>
                <w:w w:val="86"/>
              </w:rPr>
              <w:t>jtaylor@eastdilsecured.com</w:t>
            </w:r>
          </w:p>
        </w:tc>
      </w:tr>
      <w:tr>
        <w:trPr>
          <w:trHeight w:val="324"/>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97"/>
              </w:rPr>
              <w:t>Billy Wright</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9"/>
          </w:tcPr>
          <w:p>
            <w:pPr>
              <w:jc w:val="center"/>
              <w:ind w:right="420"/>
              <w:spacing w:after="0"/>
              <w:rPr>
                <w:sz w:val="20"/>
                <w:szCs w:val="20"/>
                <w:color w:val="auto"/>
              </w:rPr>
            </w:pPr>
            <w:r>
              <w:rPr>
                <w:rFonts w:ascii="Arial" w:cs="Arial" w:eastAsia="Arial" w:hAnsi="Arial"/>
                <w:sz w:val="18"/>
                <w:szCs w:val="18"/>
                <w:color w:val="auto"/>
                <w:w w:val="88"/>
              </w:rPr>
              <w:t>bwright@eastdilsecured.com</w:t>
            </w:r>
          </w:p>
        </w:tc>
      </w:tr>
      <w:tr>
        <w:trPr>
          <w:trHeight w:val="324"/>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91"/>
              </w:rPr>
              <w:t>Eric Tracy</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8"/>
          </w:tcPr>
          <w:p>
            <w:pPr>
              <w:jc w:val="center"/>
              <w:ind w:right="460"/>
              <w:spacing w:after="0"/>
              <w:rPr>
                <w:sz w:val="20"/>
                <w:szCs w:val="20"/>
                <w:color w:val="auto"/>
              </w:rPr>
            </w:pPr>
            <w:r>
              <w:rPr>
                <w:rFonts w:ascii="Arial" w:cs="Arial" w:eastAsia="Arial" w:hAnsi="Arial"/>
                <w:sz w:val="18"/>
                <w:szCs w:val="18"/>
                <w:color w:val="auto"/>
                <w:w w:val="86"/>
              </w:rPr>
              <w:t>etracy@eastdilsecured.com</w:t>
            </w:r>
          </w:p>
        </w:tc>
      </w:tr>
      <w:tr>
        <w:trPr>
          <w:trHeight w:val="324"/>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88"/>
              </w:rPr>
              <w:t>Ryan Downs</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9"/>
          </w:tcPr>
          <w:p>
            <w:pPr>
              <w:jc w:val="center"/>
              <w:ind w:right="400"/>
              <w:spacing w:after="0"/>
              <w:rPr>
                <w:sz w:val="20"/>
                <w:szCs w:val="20"/>
                <w:color w:val="auto"/>
              </w:rPr>
            </w:pPr>
            <w:r>
              <w:rPr>
                <w:rFonts w:ascii="Arial" w:cs="Arial" w:eastAsia="Arial" w:hAnsi="Arial"/>
                <w:sz w:val="18"/>
                <w:szCs w:val="18"/>
                <w:color w:val="auto"/>
                <w:w w:val="87"/>
              </w:rPr>
              <w:t>rdowns@eastdilsecured.com</w:t>
            </w:r>
          </w:p>
        </w:tc>
      </w:tr>
      <w:tr>
        <w:trPr>
          <w:trHeight w:val="286"/>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Aaron Ratner</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8"/>
          </w:tcPr>
          <w:p>
            <w:pPr>
              <w:jc w:val="center"/>
              <w:ind w:right="440"/>
              <w:spacing w:after="0"/>
              <w:rPr>
                <w:sz w:val="20"/>
                <w:szCs w:val="20"/>
                <w:color w:val="auto"/>
              </w:rPr>
            </w:pPr>
            <w:r>
              <w:rPr>
                <w:rFonts w:ascii="Arial" w:cs="Arial" w:eastAsia="Arial" w:hAnsi="Arial"/>
                <w:sz w:val="18"/>
                <w:szCs w:val="18"/>
                <w:color w:val="auto"/>
                <w:w w:val="84"/>
              </w:rPr>
              <w:t>aratner@eastdilsecured.com</w:t>
            </w:r>
          </w:p>
        </w:tc>
      </w:tr>
      <w:tr>
        <w:trPr>
          <w:trHeight w:val="20"/>
        </w:trPr>
        <w:tc>
          <w:tcPr>
            <w:tcW w:w="24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3"/>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Barrett Kollme</w:t>
            </w:r>
          </w:p>
        </w:tc>
        <w:tc>
          <w:tcPr>
            <w:tcW w:w="5580" w:type="dxa"/>
            <w:vAlign w:val="bottom"/>
            <w:gridSpan w:val="13"/>
          </w:tcPr>
          <w:p>
            <w:pPr>
              <w:jc w:val="center"/>
              <w:ind w:left="2612"/>
              <w:spacing w:after="0"/>
              <w:rPr>
                <w:sz w:val="20"/>
                <w:szCs w:val="20"/>
                <w:color w:val="auto"/>
              </w:rPr>
            </w:pPr>
            <w:r>
              <w:rPr>
                <w:rFonts w:ascii="Arial" w:cs="Arial" w:eastAsia="Arial" w:hAnsi="Arial"/>
                <w:sz w:val="18"/>
                <w:szCs w:val="18"/>
                <w:color w:val="auto"/>
                <w:w w:val="89"/>
              </w:rPr>
              <w:t>Barrett.kollme@WellsFargo.com</w:t>
            </w:r>
          </w:p>
        </w:tc>
      </w:tr>
      <w:tr>
        <w:trPr>
          <w:trHeight w:val="324"/>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87"/>
              </w:rPr>
              <w:t>Christopher Flouhouse</w:t>
            </w:r>
          </w:p>
        </w:tc>
        <w:tc>
          <w:tcPr>
            <w:tcW w:w="5580" w:type="dxa"/>
            <w:vAlign w:val="bottom"/>
            <w:gridSpan w:val="13"/>
          </w:tcPr>
          <w:p>
            <w:pPr>
              <w:jc w:val="center"/>
              <w:ind w:left="2632"/>
              <w:spacing w:after="0"/>
              <w:rPr>
                <w:sz w:val="20"/>
                <w:szCs w:val="20"/>
                <w:color w:val="auto"/>
              </w:rPr>
            </w:pPr>
            <w:r>
              <w:rPr>
                <w:rFonts w:ascii="Arial" w:cs="Arial" w:eastAsia="Arial" w:hAnsi="Arial"/>
                <w:sz w:val="18"/>
                <w:szCs w:val="18"/>
                <w:color w:val="auto"/>
                <w:w w:val="88"/>
              </w:rPr>
              <w:t>Christopher.flouhouse@WellsFargo.com</w:t>
            </w:r>
          </w:p>
        </w:tc>
      </w:tr>
      <w:tr>
        <w:trPr>
          <w:trHeight w:val="324"/>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88"/>
              </w:rPr>
              <w:t>Lee Lam</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8"/>
          </w:tcPr>
          <w:p>
            <w:pPr>
              <w:jc w:val="center"/>
              <w:ind w:right="480"/>
              <w:spacing w:after="0"/>
              <w:rPr>
                <w:sz w:val="20"/>
                <w:szCs w:val="20"/>
                <w:color w:val="auto"/>
              </w:rPr>
            </w:pPr>
            <w:r>
              <w:rPr>
                <w:rFonts w:ascii="Arial" w:cs="Arial" w:eastAsia="Arial" w:hAnsi="Arial"/>
                <w:sz w:val="18"/>
                <w:szCs w:val="18"/>
                <w:color w:val="auto"/>
                <w:w w:val="89"/>
              </w:rPr>
              <w:t>Lee.lam@wellsfargo.com</w:t>
            </w:r>
          </w:p>
        </w:tc>
      </w:tr>
      <w:tr>
        <w:trPr>
          <w:trHeight w:val="286"/>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93"/>
              </w:rPr>
              <w:t>Shirley Kuo</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9"/>
          </w:tcPr>
          <w:p>
            <w:pPr>
              <w:jc w:val="center"/>
              <w:ind w:right="420"/>
              <w:spacing w:after="0"/>
              <w:rPr>
                <w:sz w:val="20"/>
                <w:szCs w:val="20"/>
                <w:color w:val="auto"/>
              </w:rPr>
            </w:pPr>
            <w:r>
              <w:rPr>
                <w:rFonts w:ascii="Arial" w:cs="Arial" w:eastAsia="Arial" w:hAnsi="Arial"/>
                <w:sz w:val="18"/>
                <w:szCs w:val="18"/>
                <w:color w:val="auto"/>
                <w:w w:val="89"/>
              </w:rPr>
              <w:t>Shirley.kuo@wellsfargo.com</w:t>
            </w:r>
          </w:p>
        </w:tc>
      </w:tr>
      <w:tr>
        <w:trPr>
          <w:trHeight w:val="20"/>
        </w:trPr>
        <w:tc>
          <w:tcPr>
            <w:tcW w:w="24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3"/>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88"/>
              </w:rPr>
              <w:t>Jaci Bernstein</w:t>
            </w:r>
          </w:p>
        </w:tc>
        <w:tc>
          <w:tcPr>
            <w:tcW w:w="5580" w:type="dxa"/>
            <w:vAlign w:val="bottom"/>
            <w:gridSpan w:val="13"/>
          </w:tcPr>
          <w:p>
            <w:pPr>
              <w:jc w:val="center"/>
              <w:ind w:left="2632"/>
              <w:spacing w:after="0"/>
              <w:rPr>
                <w:sz w:val="20"/>
                <w:szCs w:val="20"/>
                <w:color w:val="auto"/>
              </w:rPr>
            </w:pPr>
            <w:r>
              <w:rPr>
                <w:rFonts w:ascii="Arial" w:cs="Arial" w:eastAsia="Arial" w:hAnsi="Arial"/>
                <w:sz w:val="18"/>
                <w:szCs w:val="18"/>
                <w:color w:val="auto"/>
                <w:w w:val="88"/>
              </w:rPr>
              <w:t>Jaclyn.bernstein@wellsfargo.com</w:t>
            </w:r>
          </w:p>
        </w:tc>
      </w:tr>
      <w:tr>
        <w:trPr>
          <w:trHeight w:val="286"/>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94"/>
              </w:rPr>
              <w:t>Mike Collins</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8"/>
                <w:szCs w:val="18"/>
                <w:color w:val="auto"/>
                <w:w w:val="91"/>
              </w:rPr>
              <w:t>Mike.collins@wellsfargo.com</w:t>
            </w:r>
          </w:p>
        </w:tc>
        <w:tc>
          <w:tcPr>
            <w:tcW w:w="360" w:type="dxa"/>
            <w:vAlign w:val="bottom"/>
            <w:gridSpan w:val="2"/>
          </w:tcPr>
          <w:p>
            <w:pPr>
              <w:spacing w:after="0"/>
              <w:rPr>
                <w:sz w:val="24"/>
                <w:szCs w:val="24"/>
                <w:color w:val="auto"/>
              </w:rPr>
            </w:pPr>
          </w:p>
        </w:tc>
      </w:tr>
      <w:tr>
        <w:trPr>
          <w:trHeight w:val="304"/>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84"/>
              </w:rPr>
              <w:t>Tom Yates</w:t>
            </w:r>
          </w:p>
        </w:tc>
        <w:tc>
          <w:tcPr>
            <w:tcW w:w="5580" w:type="dxa"/>
            <w:vAlign w:val="bottom"/>
            <w:gridSpan w:val="13"/>
          </w:tcPr>
          <w:p>
            <w:pPr>
              <w:jc w:val="center"/>
              <w:ind w:left="2632"/>
              <w:spacing w:after="0"/>
              <w:rPr>
                <w:sz w:val="20"/>
                <w:szCs w:val="20"/>
                <w:color w:val="auto"/>
              </w:rPr>
            </w:pPr>
            <w:r>
              <w:rPr>
                <w:rFonts w:ascii="Arial" w:cs="Arial" w:eastAsia="Arial" w:hAnsi="Arial"/>
                <w:sz w:val="18"/>
                <w:szCs w:val="18"/>
                <w:color w:val="auto"/>
                <w:w w:val="88"/>
              </w:rPr>
              <w:t>Thomas.yates@wellsfargo.com</w:t>
            </w:r>
          </w:p>
        </w:tc>
      </w:tr>
      <w:tr>
        <w:trPr>
          <w:trHeight w:val="304"/>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Lynn Yap</w:t>
            </w:r>
          </w:p>
        </w:tc>
        <w:tc>
          <w:tcPr>
            <w:tcW w:w="30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940" w:type="dxa"/>
            <w:vAlign w:val="bottom"/>
            <w:tcBorders>
              <w:top w:val="single" w:sz="8" w:color="auto"/>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Lynn.yap@wellsfargo.com</w:t>
            </w:r>
          </w:p>
        </w:tc>
        <w:tc>
          <w:tcPr>
            <w:tcW w:w="120" w:type="dxa"/>
            <w:vAlign w:val="bottom"/>
            <w:tcBorders>
              <w:top w:val="single" w:sz="8" w:color="auto"/>
            </w:tcBorders>
            <w:gridSpan w:val="4"/>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Bo Diamond</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11"/>
          </w:tcPr>
          <w:p>
            <w:pPr>
              <w:jc w:val="center"/>
              <w:ind w:right="360"/>
              <w:spacing w:after="0"/>
              <w:rPr>
                <w:sz w:val="20"/>
                <w:szCs w:val="20"/>
                <w:color w:val="auto"/>
              </w:rPr>
            </w:pPr>
            <w:r>
              <w:rPr>
                <w:rFonts w:ascii="Arial" w:cs="Arial" w:eastAsia="Arial" w:hAnsi="Arial"/>
                <w:sz w:val="18"/>
                <w:szCs w:val="18"/>
                <w:color w:val="auto"/>
                <w:w w:val="89"/>
              </w:rPr>
              <w:t>Bo.diamond@wellsfargo.com</w:t>
            </w:r>
          </w:p>
        </w:tc>
      </w:tr>
      <w:tr>
        <w:trPr>
          <w:trHeight w:val="304"/>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Max Leykin</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6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color w:val="auto"/>
                <w:w w:val="92"/>
              </w:rPr>
              <w:t>Max.leykin@wellsfargo.com</w:t>
            </w:r>
          </w:p>
        </w:tc>
        <w:tc>
          <w:tcPr>
            <w:tcW w:w="20" w:type="dxa"/>
            <w:vAlign w:val="bottom"/>
            <w:tcBorders>
              <w:top w:val="single" w:sz="8" w:color="auto"/>
            </w:tcBorders>
          </w:tcPr>
          <w:p>
            <w:pPr>
              <w:spacing w:after="0"/>
              <w:rPr>
                <w:sz w:val="24"/>
                <w:szCs w:val="24"/>
                <w:color w:val="auto"/>
              </w:rPr>
            </w:pPr>
          </w:p>
        </w:tc>
        <w:tc>
          <w:tcPr>
            <w:tcW w:w="380" w:type="dxa"/>
            <w:vAlign w:val="bottom"/>
            <w:gridSpan w:val="3"/>
          </w:tcPr>
          <w:p>
            <w:pPr>
              <w:spacing w:after="0"/>
              <w:rPr>
                <w:sz w:val="24"/>
                <w:szCs w:val="24"/>
                <w:color w:val="auto"/>
              </w:rPr>
            </w:pPr>
          </w:p>
        </w:tc>
      </w:tr>
      <w:tr>
        <w:trPr>
          <w:trHeight w:val="343"/>
        </w:trPr>
        <w:tc>
          <w:tcPr>
            <w:tcW w:w="2480" w:type="dxa"/>
            <w:vAlign w:val="bottom"/>
            <w:gridSpan w:val="3"/>
          </w:tcPr>
          <w:p>
            <w:pPr>
              <w:jc w:val="center"/>
              <w:ind w:right="860"/>
              <w:spacing w:after="0"/>
              <w:rPr>
                <w:sz w:val="20"/>
                <w:szCs w:val="20"/>
                <w:color w:val="auto"/>
              </w:rPr>
            </w:pPr>
            <w:r>
              <w:rPr>
                <w:rFonts w:ascii="Arial" w:cs="Arial" w:eastAsia="Arial" w:hAnsi="Arial"/>
                <w:sz w:val="18"/>
                <w:szCs w:val="18"/>
                <w:color w:val="auto"/>
                <w:w w:val="91"/>
              </w:rPr>
              <w:t>Michael Golden</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8"/>
          </w:tcPr>
          <w:p>
            <w:pPr>
              <w:jc w:val="center"/>
              <w:ind w:right="440"/>
              <w:spacing w:after="0"/>
              <w:rPr>
                <w:sz w:val="20"/>
                <w:szCs w:val="20"/>
                <w:color w:val="auto"/>
              </w:rPr>
            </w:pPr>
            <w:r>
              <w:rPr>
                <w:rFonts w:ascii="Arial" w:cs="Arial" w:eastAsia="Arial" w:hAnsi="Arial"/>
                <w:sz w:val="18"/>
                <w:szCs w:val="18"/>
                <w:color w:val="auto"/>
                <w:w w:val="87"/>
              </w:rPr>
              <w:t>M.golden@WellsFargo.com</w:t>
            </w:r>
          </w:p>
        </w:tc>
      </w:tr>
      <w:tr>
        <w:trPr>
          <w:trHeight w:val="324"/>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88"/>
              </w:rPr>
              <w:t>Jennifer Lynch</w:t>
            </w:r>
          </w:p>
        </w:tc>
        <w:tc>
          <w:tcPr>
            <w:tcW w:w="5580" w:type="dxa"/>
            <w:vAlign w:val="bottom"/>
            <w:gridSpan w:val="13"/>
          </w:tcPr>
          <w:p>
            <w:pPr>
              <w:jc w:val="center"/>
              <w:ind w:left="2632"/>
              <w:spacing w:after="0"/>
              <w:rPr>
                <w:sz w:val="20"/>
                <w:szCs w:val="20"/>
                <w:color w:val="auto"/>
              </w:rPr>
            </w:pPr>
            <w:r>
              <w:rPr>
                <w:rFonts w:ascii="Arial" w:cs="Arial" w:eastAsia="Arial" w:hAnsi="Arial"/>
                <w:sz w:val="18"/>
                <w:szCs w:val="18"/>
                <w:color w:val="auto"/>
                <w:w w:val="88"/>
              </w:rPr>
              <w:t>Jennifer.lynch@WellsFargo.com</w:t>
            </w:r>
          </w:p>
        </w:tc>
      </w:tr>
      <w:tr>
        <w:trPr>
          <w:trHeight w:val="324"/>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William O’Connell</w:t>
            </w:r>
          </w:p>
        </w:tc>
        <w:tc>
          <w:tcPr>
            <w:tcW w:w="5580" w:type="dxa"/>
            <w:vAlign w:val="bottom"/>
            <w:gridSpan w:val="13"/>
          </w:tcPr>
          <w:p>
            <w:pPr>
              <w:jc w:val="center"/>
              <w:ind w:left="2612"/>
              <w:spacing w:after="0"/>
              <w:rPr>
                <w:sz w:val="20"/>
                <w:szCs w:val="20"/>
                <w:color w:val="auto"/>
              </w:rPr>
            </w:pPr>
            <w:r>
              <w:rPr>
                <w:rFonts w:ascii="Arial" w:cs="Arial" w:eastAsia="Arial" w:hAnsi="Arial"/>
                <w:sz w:val="18"/>
                <w:szCs w:val="18"/>
                <w:color w:val="auto"/>
                <w:w w:val="90"/>
              </w:rPr>
              <w:t>William.oconnell@WellsFargo.com</w:t>
            </w:r>
          </w:p>
        </w:tc>
      </w:tr>
      <w:tr>
        <w:trPr>
          <w:trHeight w:val="324"/>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Andy Sanford</w:t>
            </w:r>
          </w:p>
        </w:tc>
        <w:tc>
          <w:tcPr>
            <w:tcW w:w="5580" w:type="dxa"/>
            <w:vAlign w:val="bottom"/>
            <w:gridSpan w:val="13"/>
          </w:tcPr>
          <w:p>
            <w:pPr>
              <w:jc w:val="center"/>
              <w:ind w:left="2632"/>
              <w:spacing w:after="0"/>
              <w:rPr>
                <w:sz w:val="20"/>
                <w:szCs w:val="20"/>
                <w:color w:val="auto"/>
              </w:rPr>
            </w:pPr>
            <w:r>
              <w:rPr>
                <w:rFonts w:ascii="Arial" w:cs="Arial" w:eastAsia="Arial" w:hAnsi="Arial"/>
                <w:sz w:val="18"/>
                <w:szCs w:val="18"/>
                <w:color w:val="auto"/>
                <w:w w:val="88"/>
              </w:rPr>
              <w:t>Andy.sanford@WellsFargo.com</w:t>
            </w:r>
          </w:p>
        </w:tc>
      </w:tr>
      <w:tr>
        <w:trPr>
          <w:trHeight w:val="324"/>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Michael Cummings</w:t>
            </w:r>
          </w:p>
        </w:tc>
        <w:tc>
          <w:tcPr>
            <w:tcW w:w="5580" w:type="dxa"/>
            <w:vAlign w:val="bottom"/>
            <w:gridSpan w:val="13"/>
          </w:tcPr>
          <w:p>
            <w:pPr>
              <w:jc w:val="center"/>
              <w:ind w:left="2632"/>
              <w:spacing w:after="0"/>
              <w:rPr>
                <w:sz w:val="20"/>
                <w:szCs w:val="20"/>
                <w:color w:val="auto"/>
              </w:rPr>
            </w:pPr>
            <w:r>
              <w:rPr>
                <w:rFonts w:ascii="Arial" w:cs="Arial" w:eastAsia="Arial" w:hAnsi="Arial"/>
                <w:sz w:val="18"/>
                <w:szCs w:val="18"/>
                <w:color w:val="auto"/>
                <w:w w:val="89"/>
              </w:rPr>
              <w:t>Mike.cummings@WellsFargo.com</w:t>
            </w:r>
          </w:p>
        </w:tc>
      </w:tr>
      <w:tr>
        <w:trPr>
          <w:trHeight w:val="324"/>
        </w:trPr>
        <w:tc>
          <w:tcPr>
            <w:tcW w:w="2480" w:type="dxa"/>
            <w:vAlign w:val="bottom"/>
            <w:gridSpan w:val="3"/>
          </w:tcPr>
          <w:p>
            <w:pPr>
              <w:jc w:val="center"/>
              <w:ind w:right="880"/>
              <w:spacing w:after="0"/>
              <w:rPr>
                <w:sz w:val="20"/>
                <w:szCs w:val="20"/>
                <w:color w:val="auto"/>
              </w:rPr>
            </w:pPr>
            <w:r>
              <w:rPr>
                <w:rFonts w:ascii="Arial" w:cs="Arial" w:eastAsia="Arial" w:hAnsi="Arial"/>
                <w:sz w:val="18"/>
                <w:szCs w:val="18"/>
                <w:color w:val="auto"/>
                <w:w w:val="90"/>
              </w:rPr>
              <w:t>David Herman</w:t>
            </w:r>
          </w:p>
        </w:tc>
        <w:tc>
          <w:tcPr>
            <w:tcW w:w="5580" w:type="dxa"/>
            <w:vAlign w:val="bottom"/>
            <w:gridSpan w:val="13"/>
          </w:tcPr>
          <w:p>
            <w:pPr>
              <w:jc w:val="center"/>
              <w:ind w:left="2632"/>
              <w:spacing w:after="0"/>
              <w:rPr>
                <w:sz w:val="20"/>
                <w:szCs w:val="20"/>
                <w:color w:val="auto"/>
              </w:rPr>
            </w:pPr>
            <w:r>
              <w:rPr>
                <w:rFonts w:ascii="Arial" w:cs="Arial" w:eastAsia="Arial" w:hAnsi="Arial"/>
                <w:sz w:val="18"/>
                <w:szCs w:val="18"/>
                <w:color w:val="auto"/>
                <w:w w:val="88"/>
              </w:rPr>
              <w:t>David.herman@WellsFargo.com</w:t>
            </w:r>
          </w:p>
        </w:tc>
      </w:tr>
      <w:tr>
        <w:trPr>
          <w:trHeight w:val="365"/>
        </w:trPr>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580" w:type="dxa"/>
            <w:vAlign w:val="bottom"/>
            <w:gridSpan w:val="13"/>
          </w:tcPr>
          <w:p>
            <w:pPr>
              <w:ind w:left="860"/>
              <w:spacing w:after="0"/>
              <w:rPr>
                <w:sz w:val="20"/>
                <w:szCs w:val="20"/>
                <w:color w:val="auto"/>
              </w:rPr>
            </w:pPr>
            <w:r>
              <w:rPr>
                <w:rFonts w:ascii="Arial" w:cs="Arial" w:eastAsia="Arial" w:hAnsi="Arial"/>
                <w:sz w:val="18"/>
                <w:szCs w:val="18"/>
                <w:color w:val="auto"/>
              </w:rPr>
              <w:t>Exh. B-1</w:t>
            </w:r>
          </w:p>
        </w:tc>
      </w:tr>
    </w:tbl>
    <w:p>
      <w:pPr>
        <w:sectPr>
          <w:pgSz w:w="11900" w:h="16838" w:orient="portrait"/>
          <w:cols w:equalWidth="0" w:num="1">
            <w:col w:w="10219"/>
          </w:cols>
          <w:pgMar w:left="240" w:top="280"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4"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Name</w:t>
            </w:r>
          </w:p>
        </w:tc>
        <w:tc>
          <w:tcPr>
            <w:tcW w:w="1340" w:type="dxa"/>
            <w:vAlign w:val="bottom"/>
            <w:gridSpan w:val="4"/>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Email</w:t>
            </w:r>
          </w:p>
        </w:tc>
        <w:tc>
          <w:tcPr>
            <w:tcW w:w="820" w:type="dxa"/>
            <w:vAlign w:val="bottom"/>
            <w:gridSpan w:val="3"/>
          </w:tcPr>
          <w:p>
            <w:pPr>
              <w:spacing w:after="0"/>
              <w:rPr>
                <w:sz w:val="14"/>
                <w:szCs w:val="1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tcPr>
          <w:p>
            <w:pPr>
              <w:jc w:val="center"/>
              <w:ind w:right="1140"/>
              <w:spacing w:after="0"/>
              <w:rPr>
                <w:sz w:val="20"/>
                <w:szCs w:val="20"/>
                <w:color w:val="auto"/>
              </w:rPr>
            </w:pPr>
            <w:r>
              <w:rPr>
                <w:rFonts w:ascii="Arial" w:cs="Arial" w:eastAsia="Arial" w:hAnsi="Arial"/>
                <w:sz w:val="18"/>
                <w:szCs w:val="18"/>
                <w:color w:val="auto"/>
                <w:w w:val="89"/>
              </w:rPr>
              <w:t>Don Wood</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5"/>
          </w:tcPr>
          <w:p>
            <w:pPr>
              <w:jc w:val="center"/>
              <w:ind w:right="60"/>
              <w:spacing w:after="0"/>
              <w:rPr>
                <w:sz w:val="20"/>
                <w:szCs w:val="20"/>
                <w:color w:val="auto"/>
              </w:rPr>
            </w:pPr>
            <w:r>
              <w:rPr>
                <w:rFonts w:ascii="Arial" w:cs="Arial" w:eastAsia="Arial" w:hAnsi="Arial"/>
                <w:sz w:val="18"/>
                <w:szCs w:val="18"/>
                <w:color w:val="auto"/>
                <w:w w:val="88"/>
              </w:rPr>
              <w:t>dwood@federalrealty.com</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000" w:type="dxa"/>
            <w:vAlign w:val="bottom"/>
            <w:gridSpan w:val="7"/>
          </w:tcPr>
          <w:p>
            <w:pPr>
              <w:jc w:val="center"/>
              <w:ind w:right="1040"/>
              <w:spacing w:after="0"/>
              <w:rPr>
                <w:sz w:val="20"/>
                <w:szCs w:val="20"/>
                <w:color w:val="auto"/>
              </w:rPr>
            </w:pPr>
            <w:r>
              <w:rPr>
                <w:rFonts w:ascii="Arial" w:cs="Arial" w:eastAsia="Arial" w:hAnsi="Arial"/>
                <w:sz w:val="18"/>
                <w:szCs w:val="18"/>
                <w:color w:val="auto"/>
                <w:w w:val="89"/>
              </w:rPr>
              <w:t>Dawn Becker</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6"/>
          </w:tcPr>
          <w:p>
            <w:pPr>
              <w:jc w:val="center"/>
              <w:ind w:right="20"/>
              <w:spacing w:after="0"/>
              <w:rPr>
                <w:sz w:val="20"/>
                <w:szCs w:val="20"/>
                <w:color w:val="auto"/>
              </w:rPr>
            </w:pPr>
            <w:r>
              <w:rPr>
                <w:rFonts w:ascii="Arial" w:cs="Arial" w:eastAsia="Arial" w:hAnsi="Arial"/>
                <w:sz w:val="18"/>
                <w:szCs w:val="18"/>
                <w:color w:val="auto"/>
                <w:w w:val="88"/>
              </w:rPr>
              <w:t>dbecker@federalrealty.com</w:t>
            </w:r>
          </w:p>
        </w:tc>
      </w:tr>
      <w:tr>
        <w:trPr>
          <w:trHeight w:val="20"/>
        </w:trPr>
        <w:tc>
          <w:tcPr>
            <w:tcW w:w="20" w:type="dxa"/>
            <w:vAlign w:val="bottom"/>
          </w:tcPr>
          <w:p>
            <w:pPr>
              <w:spacing w:after="0" w:line="20" w:lineRule="exact"/>
              <w:rPr>
                <w:sz w:val="1"/>
                <w:szCs w:val="1"/>
                <w:color w:val="auto"/>
              </w:rPr>
            </w:pPr>
          </w:p>
        </w:tc>
        <w:tc>
          <w:tcPr>
            <w:tcW w:w="96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gridSpan w:val="7"/>
          </w:tcPr>
          <w:p>
            <w:pPr>
              <w:jc w:val="center"/>
              <w:spacing w:after="0"/>
              <w:rPr>
                <w:sz w:val="20"/>
                <w:szCs w:val="20"/>
                <w:color w:val="auto"/>
              </w:rPr>
            </w:pPr>
            <w:r>
              <w:rPr>
                <w:rFonts w:ascii="Arial" w:cs="Arial" w:eastAsia="Arial" w:hAnsi="Arial"/>
                <w:sz w:val="18"/>
                <w:szCs w:val="18"/>
                <w:color w:val="auto"/>
                <w:w w:val="93"/>
              </w:rPr>
              <w:t>Andy Blocher</w:t>
            </w:r>
          </w:p>
        </w:tc>
        <w:tc>
          <w:tcPr>
            <w:tcW w:w="1020" w:type="dxa"/>
            <w:vAlign w:val="bottom"/>
          </w:tcPr>
          <w:p>
            <w:pPr>
              <w:spacing w:after="0"/>
              <w:rPr>
                <w:sz w:val="24"/>
                <w:szCs w:val="24"/>
                <w:color w:val="auto"/>
              </w:rPr>
            </w:pPr>
          </w:p>
        </w:tc>
        <w:tc>
          <w:tcPr>
            <w:tcW w:w="5300" w:type="dxa"/>
            <w:vAlign w:val="bottom"/>
            <w:gridSpan w:val="8"/>
          </w:tcPr>
          <w:p>
            <w:pPr>
              <w:jc w:val="center"/>
              <w:ind w:left="3232"/>
              <w:spacing w:after="0"/>
              <w:rPr>
                <w:sz w:val="20"/>
                <w:szCs w:val="20"/>
                <w:color w:val="auto"/>
              </w:rPr>
            </w:pPr>
            <w:r>
              <w:rPr>
                <w:rFonts w:ascii="Arial" w:cs="Arial" w:eastAsia="Arial" w:hAnsi="Arial"/>
                <w:sz w:val="18"/>
                <w:szCs w:val="18"/>
                <w:color w:val="auto"/>
                <w:w w:val="87"/>
              </w:rPr>
              <w:t>ablocher@federalrealty.com</w:t>
            </w:r>
          </w:p>
        </w:tc>
      </w:tr>
      <w:tr>
        <w:trPr>
          <w:trHeight w:val="383"/>
        </w:trPr>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320" w:type="dxa"/>
            <w:vAlign w:val="bottom"/>
          </w:tcPr>
          <w:p>
            <w:pPr>
              <w:ind w:left="1020"/>
              <w:spacing w:after="0"/>
              <w:rPr>
                <w:sz w:val="20"/>
                <w:szCs w:val="20"/>
                <w:color w:val="auto"/>
              </w:rPr>
            </w:pPr>
            <w:r>
              <w:rPr>
                <w:rFonts w:ascii="Arial" w:cs="Arial" w:eastAsia="Arial" w:hAnsi="Arial"/>
                <w:sz w:val="18"/>
                <w:szCs w:val="18"/>
                <w:color w:val="auto"/>
              </w:rPr>
              <w:t>Exh. B-2</w:t>
            </w:r>
          </w:p>
        </w:tc>
        <w:tc>
          <w:tcPr>
            <w:tcW w:w="1980" w:type="dxa"/>
            <w:vAlign w:val="bottom"/>
            <w:tcBorders>
              <w:top w:val="single" w:sz="8" w:color="auto"/>
            </w:tcBorders>
            <w:gridSpan w:val="7"/>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43" w:name="page44"/>
    <w:bookmarkEnd w:id="43"/>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u w:val="single" w:color="auto"/>
          <w:color w:val="auto"/>
        </w:rPr>
        <w:t>COMPENSATION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Wells Fargo shall be paid compensation at a mutually agreed rate not to exceed 2.00% of the gross sales price of Securities sold pursuant to the terms of this Agreement.</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140"/>
          </w:cols>
          <w:pgMar w:left="240" w:top="280" w:right="5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 filed with this Current Report]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D-1</w:t>
      </w:r>
    </w:p>
    <w:p>
      <w:pPr>
        <w:sectPr>
          <w:pgSz w:w="11900" w:h="16838" w:orient="portrait"/>
          <w:cols w:equalWidth="0" w:num="1">
            <w:col w:w="9019"/>
          </w:cols>
          <w:pgMar w:left="1440" w:top="28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 filed with this Current Report]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D-2</w:t>
      </w:r>
    </w:p>
    <w:p>
      <w:pPr>
        <w:sectPr>
          <w:pgSz w:w="11900" w:h="16838" w:orient="portrait"/>
          <w:cols w:equalWidth="0" w:num="1">
            <w:col w:w="9019"/>
          </w:cols>
          <w:pgMar w:left="1440" w:top="280" w:right="1440"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OFFICERS’ CERTIFICATE</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undersigned, [*], the duly qualified and elected [*] of Federal Realty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a Maryland real estate investment trust, does hereby certify on behalf of the Company, pursuant to Section 7(o) of the Equity Distribution Agreement dated February 24, 2011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the Company and Wells Fargo Securities, LLC, that to the knowledge of the undersigned:</w:t>
      </w:r>
    </w:p>
    <w:p>
      <w:pPr>
        <w:spacing w:after="0" w:line="140" w:lineRule="exact"/>
        <w:rPr>
          <w:sz w:val="20"/>
          <w:szCs w:val="20"/>
          <w:color w:val="auto"/>
        </w:rPr>
      </w:pPr>
    </w:p>
    <w:p>
      <w:pPr>
        <w:ind w:right="20" w:firstLine="464"/>
        <w:spacing w:after="0" w:line="314" w:lineRule="auto"/>
        <w:tabs>
          <w:tab w:leader="none" w:pos="663"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04" w:lineRule="exact"/>
        <w:rPr>
          <w:rFonts w:ascii="Arial" w:cs="Arial" w:eastAsia="Arial" w:hAnsi="Arial"/>
          <w:sz w:val="15"/>
          <w:szCs w:val="15"/>
          <w:color w:val="auto"/>
        </w:rPr>
      </w:pPr>
    </w:p>
    <w:p>
      <w:pPr>
        <w:ind w:firstLine="464"/>
        <w:spacing w:after="0" w:line="268" w:lineRule="auto"/>
        <w:tabs>
          <w:tab w:leader="none" w:pos="7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their part to be performed or satisfied pursuant to the Agreement at or prior to the date hereof (other than those conditions waived by Wells Fargo Securities, LLC).</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380"/>
          </w:cols>
          <w:pgMar w:left="240" w:top="280" w:right="27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F-1</w:t>
      </w:r>
    </w:p>
    <w:p>
      <w:pPr>
        <w:sectPr>
          <w:pgSz w:w="11900" w:h="16838" w:orient="portrait"/>
          <w:cols w:equalWidth="0" w:num="1">
            <w:col w:w="9019"/>
          </w:cols>
          <w:pgMar w:left="1440" w:top="28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Securities registered under Registration Statement on Form S-3 (333-160009)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acting as special counsel for Federal Realty Investment Trust, a Maryland real estate investment trust (the “Company”), in connection with the issuance and sale by the Company, from time to time (the “Offering”), of common shares of beneficial interest, par value $0.01 per share, having an aggregate offering price of up to $300,000,000 (the “Shares”), pursuant to the Equity Distribution Agreement dated as of February 24, 2011 between the Company and Wells Fargo Securities, LLC (the “Agreement”). This opinion is being delivered in connection with (1) the Registration Statement on Form S-3 (File No. 333-160009) (the “Registration Statement”) filed by the Company to register the Shares with the Securities and Exchange Commission (the “Commission”) under the Securities Act of 1933 (the “Act”) on June 16, 2009 and (2) the Prospectus Supplement dated February 24, 2011 relating to the offer and sale of the Shares, which supplements the prospectus contained in the Registration Statement (the “Prospectus” and, as so supplemented, the “Prospectus Supplement”), filed by the Company with the Commission pursuant to Rule 424(b) under the Act.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reviewed (a) the Agreement, (b) the Registration Statement and (c) the Prospectus Supplement. We have also reviewed such other agreements, documents, records, certificates and other materials, and have satisfied ourselves as to such other matters, as we have considered relevant or necessary as a basis for this opinion.</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Based upon the foregoing and subject to the assumptions, qualifications and limitations stated herein, we are of the opinion that, upon issuance and delivery of any of the Shares against payment therefor in accordance with the Agreement, such Shares will be legally issued, fully paid and nonassessable.</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assumed that (a) at or prior to the time of the issuance or sale of any of the Shares, (i) the Registration Statement, including any amendments thereto, will be effective under the Act and any supplements to the Prospectus other than the Prospectus Supplement applicable to the offer and sale of such Securities will have been prepared and filed with the Commission pursuant to Rule 424(b) under the Act and (ii) the Board shall not have rescinded or otherwise modified its authorization of such Shares and (b) at the time of the issuance of any of the Shares, the Company will have a sufficient number of authorized but unissued shares therefor under its Declaration of Trust, as amended.</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opinion is limited to Title 8 of the Corporations and Associations Article of the Annotated Code of Maryland. We express no opinion with respect to any other law of the State of Maryland or the laws of the United States of America or of any other jurisdiction.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hereby consent to the filing of this opinion as an exhibit to the Company’s Current Report on Form 8-K pertaining to the Offering filed by the Company with the Commission on the date hereof and the incorporation</w:t>
      </w:r>
    </w:p>
    <w:p>
      <w:pPr>
        <w:sectPr>
          <w:pgSz w:w="11900" w:h="16838" w:orient="portrait"/>
          <w:cols w:equalWidth="0" w:num="1">
            <w:col w:w="11420"/>
          </w:cols>
          <w:pgMar w:left="240" w:top="125" w:right="239" w:bottom="1440" w:gutter="0" w:footer="0" w:header="0"/>
        </w:sectPr>
      </w:pPr>
    </w:p>
    <w:bookmarkStart w:id="49" w:name="page50"/>
    <w:bookmarkEnd w:id="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in the Registration Statement and to the use of our name under the caption “Legal Matters” in each of the Prospectus and the Prospectus Supplement. In giving such consent, we do not thereby admit that we are included in the category of persons whose consent is required under Section 7 of the Act or the rules and regulations of the Commission promulgated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50" w:name="page51"/>
    <w:bookmarkEnd w:id="50"/>
    <w:p>
      <w:pPr>
        <w:ind w:left="10600"/>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2300 N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95045" cy="600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5045" cy="60007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5"/>
          <w:szCs w:val="15"/>
          <w:color w:val="auto"/>
        </w:rPr>
        <w:t>Washington, DC 20037-1122</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www.pillsburylaw.com</w:t>
      </w:r>
    </w:p>
    <w:p>
      <w:pPr>
        <w:spacing w:after="0" w:line="200" w:lineRule="exact"/>
        <w:rPr>
          <w:sz w:val="20"/>
          <w:szCs w:val="20"/>
          <w:color w:val="auto"/>
        </w:rPr>
      </w:pPr>
    </w:p>
    <w:p>
      <w:pPr>
        <w:sectPr>
          <w:pgSz w:w="11900" w:h="16838" w:orient="portrait"/>
          <w:cols w:equalWidth="0" w:num="2">
            <w:col w:w="8660" w:space="460"/>
            <w:col w:w="2300"/>
          </w:cols>
          <w:pgMar w:left="240" w:top="125" w:right="239" w:bottom="1440" w:gutter="0" w:footer="0" w:header="0"/>
          <w:type w:val="continuous"/>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February 24,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February 24, 2011 (the “Prospectus Supplement”) to a prospectus (the “Base Prospectus”) filed as part of a registration statement on Form S-3 (File No. 333-160009, the “Registration Statement,” which term includes the Base Prospectus, Prospectus Supplement,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69469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2011;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(2011) taxable year and for future taxable years, and (iii) the discussions in (x) the Base Prospectus under the caption “Material Federal Income Tax Considerations,” (y) the Prospectus Supplement under the caption “Supplemental Material Federal Income Tax Considerations,” and (z) the Company’s Annual Report on Form 10-K for the year ended December 31, 2010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24"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400"/>
          </w:cols>
          <w:pgMar w:left="240" w:top="1387"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69469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assurance can be given as to whether, for any given taxable year, the actual ownership of the Company’s stock and its actual operating results and distributions satisfy the tests necessary to achieve and maintain its status as a REIT.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400"/>
      </w:cols>
      <w:pgMar w:left="240" w:top="13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1"/>
    </w:lvl>
    <w:lvl w:ilvl="1">
      <w:lvlJc w:val="left"/>
      <w:lvlText w:val="(%2)"/>
      <w:numFmt w:val="decimal"/>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1)"/>
      <w:numFmt w:val="decimal"/>
      <w:start w:val="4"/>
    </w:lvl>
  </w:abstractNum>
  <w:abstractNum w:abstractNumId="4">
    <w:nsid w:val="2443A858"/>
    <w:multiLevelType w:val="hybridMultilevel"/>
    <w:lvl w:ilvl="0">
      <w:lvlJc w:val="left"/>
      <w:lvlText w:val="%1"/>
      <w:numFmt w:val="lowerRoman"/>
      <w:start w:val="1"/>
    </w:lvl>
    <w:lvl w:ilvl="1">
      <w:lvlJc w:val="left"/>
      <w:lvlText w:val="(%2)"/>
      <w:numFmt w:val="decimal"/>
      <w:start w:val="8"/>
    </w:lvl>
  </w:abstractNum>
  <w:abstractNum w:abstractNumId="5">
    <w:nsid w:val="2D1D5AE9"/>
    <w:multiLevelType w:val="hybridMultilevel"/>
    <w:lvl w:ilvl="0">
      <w:lvlJc w:val="left"/>
      <w:lvlText w:val="(%1)"/>
      <w:numFmt w:val="lowerRoman"/>
      <w:start w:val="2"/>
    </w:lvl>
    <w:lvl w:ilvl="1">
      <w:lvlJc w:val="left"/>
      <w:lvlText w:val="(%2)"/>
      <w:numFmt w:val="decimal"/>
      <w:start w:val="9"/>
    </w:lvl>
  </w:abstractNum>
  <w:abstractNum w:abstractNumId="6">
    <w:nsid w:val="6763845E"/>
    <w:multiLevelType w:val="hybridMultilevel"/>
    <w:lvl w:ilvl="0">
      <w:lvlJc w:val="left"/>
      <w:lvlText w:val="(%1)"/>
      <w:numFmt w:val="decimal"/>
      <w:start w:val="10"/>
    </w:lvl>
  </w:abstractNum>
  <w:abstractNum w:abstractNumId="7">
    <w:nsid w:val="75A2A8D4"/>
    <w:multiLevelType w:val="hybridMultilevel"/>
    <w:lvl w:ilvl="0">
      <w:lvlJc w:val="left"/>
      <w:lvlText w:val="(%1)"/>
      <w:numFmt w:val="decimal"/>
      <w:start w:val="16"/>
    </w:lvl>
  </w:abstractNum>
  <w:abstractNum w:abstractNumId="8">
    <w:nsid w:val="8EDBDAB"/>
    <w:multiLevelType w:val="hybridMultilevel"/>
    <w:lvl w:ilvl="0">
      <w:lvlJc w:val="left"/>
      <w:lvlText w:val="(%1)"/>
      <w:numFmt w:val="decimal"/>
      <w:start w:val="20"/>
    </w:lvl>
  </w:abstractNum>
  <w:abstractNum w:abstractNumId="9">
    <w:nsid w:val="79838CB2"/>
    <w:multiLevelType w:val="hybridMultilevel"/>
    <w:lvl w:ilvl="0">
      <w:lvlJc w:val="left"/>
      <w:lvlText w:val="%1"/>
      <w:numFmt w:val="lowerRoman"/>
      <w:start w:val="1"/>
    </w:lvl>
    <w:lvl w:ilvl="1">
      <w:lvlJc w:val="left"/>
      <w:lvlText w:val="(%2)"/>
      <w:numFmt w:val="decimal"/>
      <w:start w:val="24"/>
    </w:lvl>
  </w:abstractNum>
  <w:abstractNum w:abstractNumId="10">
    <w:nsid w:val="4353D0CD"/>
    <w:multiLevelType w:val="hybridMultilevel"/>
    <w:lvl w:ilvl="0">
      <w:lvlJc w:val="left"/>
      <w:lvlText w:val="(%1)"/>
      <w:numFmt w:val="lowerRoman"/>
      <w:start w:val="2"/>
    </w:lvl>
    <w:lvl w:ilvl="1">
      <w:lvlJc w:val="left"/>
      <w:lvlText w:val="%2"/>
      <w:numFmt w:val="decimal"/>
      <w:start w:val="1"/>
    </w:lvl>
  </w:abstractNum>
  <w:abstractNum w:abstractNumId="11">
    <w:nsid w:val="B03E0C6"/>
    <w:multiLevelType w:val="hybridMultilevel"/>
    <w:lvl w:ilvl="0">
      <w:lvlJc w:val="left"/>
      <w:lvlText w:val="(%1)"/>
      <w:numFmt w:val="lowerLetter"/>
      <w:start w:val="2"/>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2"/>
    </w:lvl>
  </w:abstractNum>
  <w:abstractNum w:abstractNumId="14">
    <w:nsid w:val="71F32454"/>
    <w:multiLevelType w:val="hybridMultilevel"/>
    <w:lvl w:ilvl="0">
      <w:lvlJc w:val="left"/>
      <w:lvlText w:val="%1"/>
      <w:numFmt w:val="upperLetter"/>
      <w:start w:val="1"/>
    </w:lvl>
    <w:lvl w:ilvl="1">
      <w:lvlJc w:val="left"/>
      <w:lvlText w:val="(%2)"/>
      <w:numFmt w:val="lowerLetter"/>
      <w:start w:val="4"/>
    </w:lvl>
  </w:abstractNum>
  <w:abstractNum w:abstractNumId="15">
    <w:nsid w:val="2CA88611"/>
    <w:multiLevelType w:val="hybridMultilevel"/>
    <w:lvl w:ilvl="0">
      <w:lvlJc w:val="left"/>
      <w:lvlText w:val="(%1)"/>
      <w:numFmt w:val="upperLetter"/>
      <w:start w:val="2"/>
    </w:lvl>
    <w:lvl w:ilvl="1">
      <w:lvlJc w:val="left"/>
      <w:lvlText w:val="(%2)"/>
      <w:numFmt w:val="lowerLetter"/>
      <w:start w:val="6"/>
    </w:lvl>
  </w:abstractNum>
  <w:abstractNum w:abstractNumId="16">
    <w:nsid w:val="836C40E"/>
    <w:multiLevelType w:val="hybridMultilevel"/>
    <w:lvl w:ilvl="0">
      <w:lvlJc w:val="left"/>
      <w:lvlText w:val="(%1)"/>
      <w:numFmt w:val="lowerLetter"/>
      <w:start w:val="8"/>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Roman"/>
      <w:start w:val="4"/>
    </w:lvl>
    <w:lvl w:ilvl="1">
      <w:lvlJc w:val="left"/>
      <w:lvlText w:val="(%2)"/>
      <w:numFmt w:val="lowerLetter"/>
      <w:start w:val="2"/>
    </w:lvl>
  </w:abstractNum>
  <w:abstractNum w:abstractNumId="19">
    <w:nsid w:val="8138641"/>
    <w:multiLevelType w:val="hybridMultilevel"/>
    <w:lvl w:ilvl="0">
      <w:lvlJc w:val="left"/>
      <w:lvlText w:val="(%1)"/>
      <w:numFmt w:val="lowerLetter"/>
      <w:start w:val="5"/>
    </w:lvl>
  </w:abstractNum>
  <w:abstractNum w:abstractNumId="20">
    <w:nsid w:val="1E7FF521"/>
    <w:multiLevelType w:val="hybridMultilevel"/>
    <w:lvl w:ilvl="0">
      <w:lvlJc w:val="left"/>
      <w:lvlText w:val="(%1)"/>
      <w:numFmt w:val="lowerLetter"/>
      <w:start w:val="8"/>
    </w:lvl>
  </w:abstractNum>
  <w:abstractNum w:abstractNumId="21">
    <w:nsid w:val="7C3DBD3D"/>
    <w:multiLevelType w:val="hybridMultilevel"/>
    <w:lvl w:ilvl="0">
      <w:lvlJc w:val="left"/>
      <w:lvlText w:val="(%1)"/>
      <w:numFmt w:val="lowerLetter"/>
      <w:start w:val="14"/>
    </w:lvl>
    <w:lvl w:ilvl="1">
      <w:lvlJc w:val="left"/>
      <w:lvlText w:val="(%2)"/>
      <w:numFmt w:val="decimal"/>
      <w:start w:val="1"/>
    </w:lvl>
    <w:lvl w:ilvl="2">
      <w:lvlJc w:val="left"/>
      <w:lvlText w:val="(%3)"/>
      <w:numFmt w:val="lowerRoman"/>
      <w:start w:val="1"/>
    </w:lvl>
  </w:abstractNum>
  <w:abstractNum w:abstractNumId="22">
    <w:nsid w:val="737B8DDC"/>
    <w:multiLevelType w:val="hybridMultilevel"/>
    <w:lvl w:ilvl="0">
      <w:lvlJc w:val="left"/>
      <w:lvlText w:val="(%1)"/>
      <w:numFmt w:val="decimal"/>
      <w:start w:val="3"/>
    </w:lvl>
  </w:abstractNum>
  <w:abstractNum w:abstractNumId="23">
    <w:nsid w:val="6CEAF087"/>
    <w:multiLevelType w:val="hybridMultilevel"/>
    <w:lvl w:ilvl="0">
      <w:lvlJc w:val="left"/>
      <w:lvlText w:val="%1"/>
      <w:numFmt w:val="decimal"/>
      <w:start w:val="1"/>
    </w:lvl>
    <w:lvl w:ilvl="1">
      <w:lvlJc w:val="left"/>
      <w:lvlText w:val="(%2)"/>
      <w:numFmt w:val="lowerLetter"/>
      <w:start w:val="16"/>
    </w:lvl>
  </w:abstractNum>
  <w:abstractNum w:abstractNumId="24">
    <w:nsid w:val="22221A70"/>
    <w:multiLevelType w:val="hybridMultilevel"/>
    <w:lvl w:ilvl="0">
      <w:lvlJc w:val="left"/>
      <w:lvlText w:val="(%1)"/>
      <w:numFmt w:val="decimal"/>
      <w:start w:val="3"/>
    </w:lvl>
    <w:lvl w:ilvl="1">
      <w:lvlJc w:val="left"/>
      <w:lvlText w:val="%2"/>
      <w:numFmt w:val="lowerLetter"/>
      <w:start w:val="1"/>
    </w:lvl>
  </w:abstractNum>
  <w:abstractNum w:abstractNumId="25">
    <w:nsid w:val="4516DDE9"/>
    <w:multiLevelType w:val="hybridMultilevel"/>
    <w:lvl w:ilvl="0">
      <w:lvlJc w:val="left"/>
      <w:lvlText w:val="(%1)"/>
      <w:numFmt w:val="lowerLetter"/>
      <w:start w:val="19"/>
    </w:lvl>
  </w:abstractNum>
  <w:abstractNum w:abstractNumId="26">
    <w:nsid w:val="3006C83E"/>
    <w:multiLevelType w:val="hybridMultilevel"/>
    <w:lvl w:ilvl="0">
      <w:lvlJc w:val="left"/>
      <w:lvlText w:val="(%1)"/>
      <w:numFmt w:val="lowerLetter"/>
      <w:start w:val="26"/>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1"/>
    </w:lvl>
    <w:lvl w:ilvl="1">
      <w:lvlJc w:val="left"/>
      <w:lvlText w:val="(%2)"/>
      <w:numFmt w:val="lowerLetter"/>
      <w:start w:val="1"/>
    </w:lvl>
  </w:abstractNum>
  <w:abstractNum w:abstractNumId="29">
    <w:nsid w:val="5577F8E1"/>
    <w:multiLevelType w:val="hybridMultilevel"/>
    <w:lvl w:ilvl="0">
      <w:lvlJc w:val="left"/>
      <w:lvlText w:val="(%1)"/>
      <w:numFmt w:val="lowerLetter"/>
      <w:start w:val="35"/>
    </w:lvl>
    <w:lvl w:ilvl="1">
      <w:lvlJc w:val="left"/>
      <w:lvlText w:val="%2"/>
      <w:numFmt w:val="lowerLetter"/>
      <w:start w:val="1"/>
    </w:lvl>
  </w:abstractNum>
  <w:abstractNum w:abstractNumId="30">
    <w:nsid w:val="440BADFC"/>
    <w:multiLevelType w:val="hybridMultilevel"/>
    <w:lvl w:ilvl="0">
      <w:lvlJc w:val="left"/>
      <w:lvlText w:val="(%1)"/>
      <w:numFmt w:val="lowerLetter"/>
      <w:start w:val="2"/>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3"/>
    </w:lvl>
  </w:abstractNum>
  <w:abstractNum w:abstractNumId="33">
    <w:nsid w:val="77465F01"/>
    <w:multiLevelType w:val="hybridMultilevel"/>
    <w:lvl w:ilvl="0">
      <w:lvlJc w:val="left"/>
      <w:lvlText w:val="(%1)"/>
      <w:numFmt w:val="lowerLetter"/>
      <w:start w:val="9"/>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2"/>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2"/>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2019-12-10T00:49:19Z</dcterms:created>
  <dcterms:modified xsi:type="dcterms:W3CDTF">2019-12-10T00:49:19Z</dcterms:modified>
</cp:coreProperties>
</file>