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May 7,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6"/>
              </w:rPr>
              <w:t>Maryland</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52-0782497</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909 Rose Ave.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909 Rose Ave.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Justin J. Bintrim, Esq.</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Approximate date of commencement of proposed sale of the securities to the public: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From time to time following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left="120" w:right="40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1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10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3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6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140"/>
          </w:cols>
          <w:pgMar w:left="320" w:top="230" w:right="439" w:bottom="0" w:gutter="0" w:footer="0" w:header="0"/>
        </w:sectPr>
      </w:pPr>
    </w:p>
    <w:bookmarkStart w:id="1" w:name="page2"/>
    <w:bookmarkEnd w:id="1"/>
    <w:p>
      <w:pPr>
        <w:ind w:left="4" w:right="24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130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50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40" w:type="dxa"/>
            <w:vAlign w:val="bottom"/>
          </w:tcPr>
          <w:p>
            <w:pPr>
              <w:ind w:left="130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50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82"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Per Unit(1)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Fee(2)</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of Beneficial Interest, $0.01 par value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834,091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$110.80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$92,417,283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$10,083</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200" w:hanging="424"/>
        <w:spacing w:after="0" w:line="258"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based upon the average of the high and low prices of the common shares as reported on the New York Stock Exchange on May 5, 2021.</w:t>
      </w:r>
    </w:p>
    <w:p>
      <w:pPr>
        <w:ind w:left="424" w:right="120" w:hanging="424"/>
        <w:spacing w:after="0" w:line="277"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457(p) under the Securities Act, the Registrant is offsetting the registration fee of $10,083 by $8,108, which represents the portion of the registration fee previously paid by the Registrant with respect to 670,769 unsold common shares of beneficial interest registered on the Registration Statement on Form S-3 (File No. 333-224807) and offered by means of a prospectus dated May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170180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5"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171450</wp:posOffset>
            </wp:positionV>
            <wp:extent cx="191135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1135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834,091 Common Shares of Beneficial Interest</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(par value $0.01 per share)</w:t>
      </w:r>
    </w:p>
    <w:p>
      <w:pPr>
        <w:spacing w:after="0" w:line="206"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This prospectus relates to the offer and sale from time to time by the selling shareholders named in this prospectus or their pledgees of up to 834,091 of our common shares of beneficial interest, par value $0.01 per share, which we refer to as our common shares, comprised of (i) common shares issuable upon conversion of our 5.417% Series 1 Cumulative Convertible Preferred Shares of Beneficial Interest, par value $0.01 per share and liquidation preference $25.00 per share, which we refer to as our preferred shares, if and to the extent that selling shareholders tender preferred shares for conversion and offer or sell any of the common shares issued in respect thereof and (ii) common shares issuable upon redemption of units of (A) NVI-Avenue, LLC, a Maryland limited liability company, (B) Route 35 Shrewsbury Limited Partnership, a New Jersey limited partnership,</w:t>
      </w:r>
    </w:p>
    <w:p>
      <w:pPr>
        <w:spacing w:after="0" w:line="4" w:lineRule="exact"/>
        <w:rPr>
          <w:sz w:val="20"/>
          <w:szCs w:val="20"/>
          <w:color w:val="auto"/>
        </w:rPr>
      </w:pPr>
    </w:p>
    <w:p>
      <w:pPr>
        <w:ind w:left="120" w:right="80" w:hanging="4"/>
        <w:spacing w:after="0" w:line="295" w:lineRule="auto"/>
        <w:tabs>
          <w:tab w:leader="none" w:pos="405" w:val="left"/>
        </w:tabs>
        <w:numPr>
          <w:ilvl w:val="0"/>
          <w:numId w:val="2"/>
        </w:numPr>
        <w:rPr>
          <w:rFonts w:ascii="Arial" w:cs="Arial" w:eastAsia="Arial" w:hAnsi="Arial"/>
          <w:sz w:val="16"/>
          <w:szCs w:val="16"/>
          <w:color w:val="auto"/>
        </w:rPr>
      </w:pPr>
      <w:r>
        <w:rPr>
          <w:rFonts w:ascii="Arial" w:cs="Arial" w:eastAsia="Arial" w:hAnsi="Arial"/>
          <w:sz w:val="16"/>
          <w:szCs w:val="16"/>
          <w:color w:val="auto"/>
        </w:rPr>
        <w:t>Shrewsbury Commons L.P., a Washington limited partnership, (D) Sea Girt Limited Partnership, a Washington limited partnership, (E) 35 West, LLC, a Washington limited liability company, and (F) Federal Realty Partners L.P., a Delaware limited partnership, if and to the extent that redeeming unitholders tender such units for redemption, receive common shares for such redemption and offer or sell any of the common shares issued in respect thereof. We refer to the entities named in items (A) through (F) above as the downREIT entities and the units therein as downREIT units.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not receive any proceeds from the sale of common shares by the selling shareholders or their pledgees.</w:t>
      </w:r>
    </w:p>
    <w:p>
      <w:pPr>
        <w:spacing w:after="0" w:line="225"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The holders of preferred shares may convert their outstanding preferred shares into a number of common shares determined by dividing (i) the product obtained by multiplying (A) the number of preferred shares being converted by (B) the liquidation price of $25.00 per preferred share; by (ii) the optional conversion price (which conversion price is calculated as provided for in the Articles Supplementary Establishing and Fixing the Rights and Preferences of the preferred shares, which we refer to as the Articles Supplementary) as in effect immediately prior to the close of business on the date of conversion. Conversions are subject to (a) limitations on real estate investment trust share ownership, (b) a minimum conversion amount,</w:t>
      </w:r>
    </w:p>
    <w:p>
      <w:pPr>
        <w:spacing w:after="0" w:line="2" w:lineRule="exact"/>
        <w:rPr>
          <w:sz w:val="20"/>
          <w:szCs w:val="20"/>
          <w:color w:val="auto"/>
        </w:rPr>
      </w:pPr>
    </w:p>
    <w:p>
      <w:pPr>
        <w:ind w:left="120" w:right="40" w:hanging="4"/>
        <w:spacing w:after="0" w:line="269" w:lineRule="auto"/>
        <w:tabs>
          <w:tab w:leader="none" w:pos="36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conversion frequency limits and (d) black-out periods after public offerings of the registrant. At any time at which the trailing 200 consecutive trading day average closing price of the common shares as reported on the New York Stock Exchange is greater than the mandatory conversion trigger price (which price is calculated as provided for in the Articles Supplementary), the registrant may convert all or any outstanding preferred shares into a number of fully paid and nonassessable common shares determined by dividing (i) the product obtained by multiplying (A) the number of preferred shares being converted by (B) the liquidation price of $25.00 per preferred share; by (ii) the optional conversion price (which conversion price is calculated as provided for in the Articles Supplementary) as in effect immediately prior to the close of business on the conversion date set by the registrant in accordance with the Articles Supplementary.</w:t>
      </w:r>
    </w:p>
    <w:p>
      <w:pPr>
        <w:spacing w:after="0" w:line="180"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Each holder of downREIT units has the right to require the applicable downREIT entity to redeem his, her or its downREIT units for cash. At the registrant’s election, the downREIT units tendered for redemption may be redeemed for common shares instead of cash.</w:t>
      </w:r>
    </w:p>
    <w:p>
      <w:pPr>
        <w:spacing w:after="0" w:line="146"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 some cases, we are registering the common shares being offered under this prospectus pursuant to contractual obligations under registration rights agreements in order to permit the selling shareholders or their permissible transferees to offer or sell such shares without restriction, in the open market or otherwise. However, the registration of such common shares does not necessarily mean that any of the preferred shares will be tendered for conversion, that any of the downREIT units will be tendered for redemption, that any common shares will be issued upon redemption of downREIT units, or that the selling shareholders or their permissible transferees will offer or sell any common shares.</w:t>
      </w:r>
    </w:p>
    <w:p>
      <w:pPr>
        <w:spacing w:after="0" w:line="176"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We will pay all expenses incident to the registration of the common shares offered herein (other than brokerage fees and sales commissions, fees and disbursements of the selling shareholders’ counsel, accountants and other advisors and transfer taxes, if any, relating to the sale or disposition of the offered shares).</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common shares of beneficial interest and depositary shares representing interests in our Series C preferred shares of beneficial interest are listed on the New York Stock Exchange under the symbols “FRT” and “FRTPRC,” respectively. On [May 6, 2021], the last reported sales price of our common shares, as reported on the New York Stock Exchange, was $113.98 per share.</w:t>
      </w:r>
    </w:p>
    <w:p>
      <w:pPr>
        <w:spacing w:after="0" w:line="170" w:lineRule="exact"/>
        <w:rPr>
          <w:sz w:val="20"/>
          <w:szCs w:val="20"/>
          <w:color w:val="auto"/>
        </w:rPr>
      </w:pPr>
    </w:p>
    <w:p>
      <w:pPr>
        <w:ind w:left="120" w:right="160"/>
        <w:spacing w:after="0" w:line="300" w:lineRule="auto"/>
        <w:rPr>
          <w:rFonts w:ascii="Arial" w:cs="Arial" w:eastAsia="Arial" w:hAnsi="Arial"/>
          <w:sz w:val="19"/>
          <w:szCs w:val="19"/>
          <w:b w:val="1"/>
          <w:bCs w:val="1"/>
          <w:color w:val="auto"/>
        </w:rPr>
      </w:pPr>
      <w:r>
        <w:rPr>
          <w:rFonts w:ascii="Arial" w:cs="Arial" w:eastAsia="Arial" w:hAnsi="Arial"/>
          <w:sz w:val="19"/>
          <w:szCs w:val="19"/>
          <w:b w:val="1"/>
          <w:bCs w:val="1"/>
          <w:color w:val="auto"/>
        </w:rPr>
        <w:t>Please read this prospectus and any supplement hereto carefully before you invest. Investing in our common shares involves risks. See “</w:t>
      </w:r>
      <w:hyperlink w:anchor="page6">
        <w:r>
          <w:rPr>
            <w:rFonts w:ascii="Arial" w:cs="Arial" w:eastAsia="Arial" w:hAnsi="Arial"/>
            <w:sz w:val="19"/>
            <w:szCs w:val="19"/>
            <w:b w:val="1"/>
            <w:bCs w:val="1"/>
            <w:u w:val="single" w:color="auto"/>
            <w:color w:val="0000EE"/>
          </w:rPr>
          <w:t>Risk Factors</w:t>
        </w:r>
        <w:r>
          <w:rPr>
            <w:rFonts w:ascii="Arial" w:cs="Arial" w:eastAsia="Arial" w:hAnsi="Arial"/>
            <w:sz w:val="19"/>
            <w:szCs w:val="19"/>
            <w:b w:val="1"/>
            <w:bCs w:val="1"/>
            <w:u w:val="single" w:color="auto"/>
            <w:color w:val="auto"/>
          </w:rPr>
          <w:t xml:space="preserve"> </w:t>
        </w:r>
      </w:hyperlink>
      <w:r>
        <w:rPr>
          <w:rFonts w:ascii="Arial" w:cs="Arial" w:eastAsia="Arial" w:hAnsi="Arial"/>
          <w:sz w:val="19"/>
          <w:szCs w:val="19"/>
          <w:b w:val="1"/>
          <w:bCs w:val="1"/>
          <w:color w:val="auto"/>
        </w:rPr>
        <w:t>” beginning on page 8 of our Annual Report on Form 10-K for the fiscal year ended December 31, 2020, and on page 3 of this prospectus, for risks relating to an investment in our common shares.</w:t>
      </w:r>
    </w:p>
    <w:p>
      <w:pPr>
        <w:spacing w:after="0" w:line="135" w:lineRule="exact"/>
        <w:rPr>
          <w:sz w:val="20"/>
          <w:szCs w:val="20"/>
          <w:color w:val="auto"/>
        </w:rPr>
      </w:pPr>
    </w:p>
    <w:p>
      <w:pPr>
        <w:ind w:left="120" w:right="48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194945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320" w:top="459" w:right="55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auto"/>
        </w:rPr>
        <w:t>The date of this prospectus is May 7, 2021</w:t>
      </w:r>
    </w:p>
    <w:p>
      <w:pPr>
        <w:sectPr>
          <w:pgSz w:w="11900" w:h="16838" w:orient="portrait"/>
          <w:cols w:equalWidth="0" w:num="1">
            <w:col w:w="11020"/>
          </w:cols>
          <w:pgMar w:left="320" w:top="459" w:right="5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100" w:type="dxa"/>
            <w:vAlign w:val="bottom"/>
            <w:gridSpan w:val="3"/>
          </w:tcPr>
          <w:p>
            <w:pPr>
              <w:ind w:left="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580" w:type="dxa"/>
            <w:vAlign w:val="bottom"/>
            <w:gridSpan w:val="8"/>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w:t>
              </w:r>
            </w:hyperlink>
          </w:p>
        </w:tc>
        <w:tc>
          <w:tcPr>
            <w:tcW w:w="2300" w:type="dxa"/>
            <w:vAlign w:val="bottom"/>
            <w:gridSpan w:val="4"/>
            <w:vMerge w:val="restart"/>
          </w:tcPr>
          <w:p>
            <w:pPr>
              <w:spacing w:after="0"/>
              <w:rPr>
                <w:sz w:val="24"/>
                <w:szCs w:val="24"/>
                <w:color w:val="auto"/>
              </w:rPr>
            </w:pPr>
          </w:p>
        </w:tc>
        <w:tc>
          <w:tcPr>
            <w:tcW w:w="678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0"/>
        </w:trPr>
        <w:tc>
          <w:tcPr>
            <w:tcW w:w="1580" w:type="dxa"/>
            <w:vAlign w:val="bottom"/>
            <w:tcBorders>
              <w:bottom w:val="single" w:sz="8" w:color="0000EE"/>
            </w:tcBorders>
            <w:gridSpan w:val="8"/>
            <w:vMerge w:val="continue"/>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7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Forward-Looking Information</w:t>
              </w:r>
            </w:hyperlink>
          </w:p>
        </w:tc>
        <w:tc>
          <w:tcPr>
            <w:tcW w:w="1700" w:type="dxa"/>
            <w:vAlign w:val="bottom"/>
            <w:gridSpan w:val="3"/>
          </w:tcPr>
          <w:p>
            <w:pPr>
              <w:spacing w:after="0"/>
              <w:rPr>
                <w:sz w:val="18"/>
                <w:szCs w:val="18"/>
                <w:color w:val="auto"/>
              </w:rPr>
            </w:pPr>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880" w:type="dxa"/>
            <w:vAlign w:val="bottom"/>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71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The Trust</w:t>
              </w:r>
            </w:hyperlink>
          </w:p>
        </w:tc>
        <w:tc>
          <w:tcPr>
            <w:tcW w:w="200" w:type="dxa"/>
            <w:vAlign w:val="bottom"/>
            <w:tcBorders>
              <w:top w:val="single" w:sz="8" w:color="0000EE"/>
            </w:tcBorders>
          </w:tcPr>
          <w:p>
            <w:pPr>
              <w:spacing w:after="0"/>
              <w:rPr>
                <w:sz w:val="17"/>
                <w:szCs w:val="17"/>
                <w:color w:val="auto"/>
              </w:rPr>
            </w:pPr>
          </w:p>
        </w:tc>
        <w:tc>
          <w:tcPr>
            <w:tcW w:w="2980" w:type="dxa"/>
            <w:vAlign w:val="bottom"/>
            <w:gridSpan w:val="9"/>
          </w:tcPr>
          <w:p>
            <w:pPr>
              <w:spacing w:after="0"/>
              <w:rPr>
                <w:sz w:val="17"/>
                <w:szCs w:val="17"/>
                <w:color w:val="auto"/>
              </w:rPr>
            </w:pPr>
          </w:p>
        </w:tc>
        <w:tc>
          <w:tcPr>
            <w:tcW w:w="71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880" w:type="dxa"/>
            <w:vAlign w:val="bottom"/>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Use of Proceeds</w:t>
              </w:r>
            </w:hyperlink>
          </w:p>
        </w:tc>
        <w:tc>
          <w:tcPr>
            <w:tcW w:w="71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Selling Shareholders</w:t>
              </w:r>
            </w:hyperlink>
          </w:p>
        </w:tc>
        <w:tc>
          <w:tcPr>
            <w:tcW w:w="2380" w:type="dxa"/>
            <w:vAlign w:val="bottom"/>
            <w:gridSpan w:val="5"/>
          </w:tcPr>
          <w:p>
            <w:pPr>
              <w:spacing w:after="0"/>
              <w:rPr>
                <w:sz w:val="17"/>
                <w:szCs w:val="17"/>
                <w:color w:val="auto"/>
              </w:rPr>
            </w:pPr>
          </w:p>
        </w:tc>
        <w:tc>
          <w:tcPr>
            <w:tcW w:w="71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Material Federal Income Tax Considerations</w:t>
              </w:r>
            </w:hyperlink>
          </w:p>
        </w:tc>
        <w:tc>
          <w:tcPr>
            <w:tcW w:w="660" w:type="dxa"/>
            <w:vAlign w:val="bottom"/>
          </w:tcPr>
          <w:p>
            <w:pPr>
              <w:spacing w:after="0"/>
              <w:rPr>
                <w:sz w:val="17"/>
                <w:szCs w:val="17"/>
                <w:color w:val="auto"/>
              </w:rPr>
            </w:pPr>
          </w:p>
        </w:tc>
        <w:tc>
          <w:tcPr>
            <w:tcW w:w="71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880" w:type="dxa"/>
            <w:vAlign w:val="bottom"/>
            <w:gridSpan w:val="1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Plan of Distribution</w:t>
              </w:r>
            </w:hyperlink>
          </w:p>
        </w:tc>
        <w:tc>
          <w:tcPr>
            <w:tcW w:w="71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Experts</w:t>
              </w:r>
            </w:hyperlink>
          </w:p>
        </w:tc>
        <w:tc>
          <w:tcPr>
            <w:tcW w:w="2460" w:type="dxa"/>
            <w:vAlign w:val="bottom"/>
            <w:gridSpan w:val="6"/>
          </w:tcPr>
          <w:p>
            <w:pPr>
              <w:spacing w:after="0"/>
              <w:rPr>
                <w:sz w:val="17"/>
                <w:szCs w:val="17"/>
                <w:color w:val="auto"/>
              </w:rPr>
            </w:pPr>
          </w:p>
        </w:tc>
        <w:tc>
          <w:tcPr>
            <w:tcW w:w="71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1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Legal Matters</w:t>
              </w:r>
            </w:hyperlink>
          </w:p>
        </w:tc>
        <w:tc>
          <w:tcPr>
            <w:tcW w:w="71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000" w:type="dxa"/>
            <w:vAlign w:val="bottom"/>
            <w:gridSpan w:val="4"/>
            <w:shd w:val="clear" w:color="auto" w:fill="0000EE"/>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1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Where You Can Find More Information</w:t>
              </w:r>
            </w:hyperlink>
          </w:p>
        </w:tc>
        <w:tc>
          <w:tcPr>
            <w:tcW w:w="71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process, selling shareholders or their pledgees may sell the securities described in this prospectus either separately or in units, in one or more offerings. Our prospectus provides you with a general description of these securities.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95"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You should read this prospectus together with any additional information you may need to make your investment decision. You should also read and carefully consider the information in the documents we have referred you to in “Where to Find Additional Information” below. Information incorporated by reference after the date of this prospectus may add, update or change information contained in this prospectus. Any information in such subsequent filings that is inconsistent with this prospectus will supersede the information in this prospectus or any earlier prospectus supplement.</w:t>
      </w:r>
    </w:p>
    <w:p>
      <w:pPr>
        <w:spacing w:after="0" w:line="157"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References to “we,” “us” or “our” refer to Federal Realty Investment Trust and its directly or indirectly owned subsidiaries, unless the context otherwise requires. References to the “Trust” refer to Federal Realty Investment Trust. The term “you” refers to a prospective investor.</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This prospectus and the documents incorporated by reference into this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“Exchange Act,” and the Private Securities Litigation Reform Act of 1995. In particular, the risk factors included and incorporated by reference into this prospectus describe forward-looking information. The risk factors, including those in our Annual Report on Form 10-K for the year ended December 31, 2020, filed with the SEC on February 11, 2021,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93" w:lineRule="exact"/>
        <w:rPr>
          <w:sz w:val="20"/>
          <w:szCs w:val="20"/>
          <w:color w:val="auto"/>
        </w:rPr>
      </w:pPr>
    </w:p>
    <w:p>
      <w:pPr>
        <w:ind w:left="1080" w:right="15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9"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9"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29" w:lineRule="exact"/>
        <w:rPr>
          <w:rFonts w:ascii="Arial" w:cs="Arial" w:eastAsia="Arial" w:hAnsi="Arial"/>
          <w:sz w:val="16"/>
          <w:szCs w:val="16"/>
          <w:color w:val="auto"/>
        </w:rPr>
      </w:pPr>
    </w:p>
    <w:p>
      <w:pPr>
        <w:ind w:left="1080" w:right="16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89"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into this prospectus. We also make no promise to update any of the forward-looking statements, or to publicly release the results if we revise any of them.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Investing in our securities involves risks. Before making an investment decision, please consider the risks described under the caption “Risk Factors” in our Annual Report on Form 10-K for the fiscal year ended December 31, 2020,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are an equity real estate investment trust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As of March 31, 2021, we owned or had a majority interest in community and neighborhood shopping centers and mixed-use properties which are operated as 101 predominantly retail real estate projects comprising approximately 23.3 million square feet. In total, the real estate projects were 91.8% leased and 89.5% occupied at March 31, 20121. We have paid quarterly dividends to our shareholders continuously since our founding in 1962 and have increased our dividends per common share for 53 consecutive years.</w:t>
      </w:r>
    </w:p>
    <w:p>
      <w:pPr>
        <w:spacing w:after="0" w:line="19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have qualified for taxation as a REIT pursuant to the Internal Revenue Code of 1986, as amended, or the Code, since we were founded, and we intend to operate in a manner that will allow us to maintain such qualification.</w:t>
      </w:r>
    </w:p>
    <w:p>
      <w:pPr>
        <w:spacing w:after="0" w:line="170" w:lineRule="exact"/>
        <w:rPr>
          <w:sz w:val="20"/>
          <w:szCs w:val="20"/>
          <w:color w:val="auto"/>
        </w:rPr>
      </w:pPr>
    </w:p>
    <w:p>
      <w:pPr>
        <w:ind w:left="120" w:right="480" w:firstLine="440"/>
        <w:spacing w:after="0" w:line="291" w:lineRule="auto"/>
        <w:rPr>
          <w:sz w:val="20"/>
          <w:szCs w:val="20"/>
          <w:color w:val="auto"/>
        </w:rPr>
      </w:pPr>
      <w:r>
        <w:rPr>
          <w:rFonts w:ascii="Arial" w:cs="Arial" w:eastAsia="Arial" w:hAnsi="Arial"/>
          <w:sz w:val="16"/>
          <w:szCs w:val="16"/>
          <w:color w:val="auto"/>
        </w:rPr>
        <w:t>We were founded in 1962 as a REIT under the laws of the District of Columbia and re-formed as a real estate investment trust in the state of Maryland in 1999. Our principal executive offices are located at 909 Rose Ave., Suite 200, North Bethesda, MD 20852. Our telephone number is</w:t>
      </w:r>
    </w:p>
    <w:p>
      <w:pPr>
        <w:ind w:left="120" w:right="420" w:hanging="4"/>
        <w:spacing w:after="0" w:line="260" w:lineRule="auto"/>
        <w:tabs>
          <w:tab w:leader="none" w:pos="55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right="200"/>
        <w:spacing w:after="0" w:line="259" w:lineRule="auto"/>
        <w:rPr>
          <w:sz w:val="20"/>
          <w:szCs w:val="20"/>
          <w:color w:val="auto"/>
        </w:rPr>
      </w:pPr>
      <w:r>
        <w:rPr>
          <w:rFonts w:ascii="Arial" w:cs="Arial" w:eastAsia="Arial" w:hAnsi="Arial"/>
          <w:sz w:val="18"/>
          <w:szCs w:val="18"/>
          <w:color w:val="auto"/>
        </w:rPr>
        <w:t>We will not receive any proceeds from the sale of the common shares by the selling shareholders or their pledgees. We will pay all costs and expenses incident to the registration of the offered shares, other than brokerage fees and sales commissions, fees and disbursements of the selling shareholders’ counsel, accountants and other advisors, and share transfer and other taxes attributable the sale of the offered shares, which will be paid by the selling shareholders. See “Selling Shareholders.”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selling shareholders hold an aggregate of 399,896 preferred shares and 738,601 downREIT units, which they acquired in exchange for their interests in certain entities owning real properties. We may issue the common shares to the selling shareholders or their pledgees in exchange for (i) the preferred shares if and to the extent that the selling shareholders or their pledgees tender their preferred shares for conversion or (ii) the downREIT units if and to the extent that the selling shareholders or their pledgees tender their downREIT units for redemption and the registrant elects to issue common shares in exchange for such downREIT units. The common shares offered by this prospectus may be offered from time to time by the selling shareholders named below and by any additional selling shareholders who may be named in a supplement to this prospectus. The following table sets forth the name of each selling shareholder and the number of our common shares that may be offered by each selling shareholder. The selling shareholders may pledge common shares, preferred shares or downREIT units to secure financing or for other purposes. As a result, pledgees or other permitted transferees of the selling shareholders may use this registration statement to sell common shares issued to them in connection with such pledges in the event the selling shareholder defaults.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None of the selling shareholders has had any position, office or other material relationship with us, or any of our predecessors or affiliates, during the past three years. Since the selling shareholders may sell all, some or none of the common shares covered by this prospectus, no estimate can be made of the number of common shares that will be sold by the selling shareholders pursuant to this prospectus or that will be owned by the selling shareholders upon completion of the offering. Assuming the conversion (upon the election of the preferred shareholders) of all outstanding preferred shares and the redemption (upon the election of the holders of downREIT units to tender their downREIT units for redemption and the election of the registrant to issue common shares in exchange for all such tendered downREIT units) of all outstanding downREIT units owned by all of the selling shareholders as of the date hereof, no selling shareholder would hold 1% or more of the total number of our common shares outstanding as of May 5, 2021.</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Number of</w:t>
            </w: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1220" w:type="dxa"/>
            <w:vAlign w:val="bottom"/>
          </w:tcPr>
          <w:p>
            <w:pPr>
              <w:spacing w:after="0"/>
              <w:rPr>
                <w:sz w:val="14"/>
                <w:szCs w:val="14"/>
                <w:color w:val="auto"/>
              </w:rPr>
            </w:pPr>
          </w:p>
        </w:tc>
        <w:tc>
          <w:tcPr>
            <w:tcW w:w="13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Number of Common</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Common</w:t>
            </w:r>
          </w:p>
        </w:tc>
        <w:tc>
          <w:tcPr>
            <w:tcW w:w="138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Shares Beneficially</w:t>
            </w: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2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Selling Shareholder</w:t>
            </w:r>
          </w:p>
        </w:tc>
        <w:tc>
          <w:tcPr>
            <w:tcW w:w="3420" w:type="dxa"/>
            <w:vAlign w:val="bottom"/>
            <w:vMerge w:val="restart"/>
          </w:tcPr>
          <w:p>
            <w:pPr>
              <w:spacing w:after="0"/>
              <w:rPr>
                <w:sz w:val="12"/>
                <w:szCs w:val="12"/>
                <w:color w:val="auto"/>
              </w:rPr>
            </w:pPr>
          </w:p>
        </w:tc>
        <w:tc>
          <w:tcPr>
            <w:tcW w:w="18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Owned</w:t>
            </w: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Being Offered</w:t>
            </w:r>
          </w:p>
        </w:tc>
        <w:tc>
          <w:tcPr>
            <w:tcW w:w="122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186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7"/>
              </w:rPr>
              <w:t>Prior to Offering (1)</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(2)</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After the Offering (3)</w:t>
            </w:r>
          </w:p>
        </w:tc>
        <w:tc>
          <w:tcPr>
            <w:tcW w:w="0" w:type="dxa"/>
            <w:vAlign w:val="bottom"/>
          </w:tcPr>
          <w:p>
            <w:pPr>
              <w:spacing w:after="0"/>
              <w:rPr>
                <w:sz w:val="1"/>
                <w:szCs w:val="1"/>
                <w:color w:val="auto"/>
              </w:rPr>
            </w:pPr>
          </w:p>
        </w:tc>
      </w:tr>
      <w:tr>
        <w:trPr>
          <w:trHeight w:val="203"/>
        </w:trPr>
        <w:tc>
          <w:tcPr>
            <w:tcW w:w="5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 Thomas Campbell</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8,489</w:t>
            </w:r>
          </w:p>
        </w:tc>
        <w:tc>
          <w:tcPr>
            <w:tcW w:w="3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jc w:val="right"/>
              <w:ind w:right="470"/>
              <w:spacing w:after="0" w:line="203" w:lineRule="exact"/>
              <w:rPr>
                <w:sz w:val="20"/>
                <w:szCs w:val="20"/>
                <w:color w:val="auto"/>
              </w:rPr>
            </w:pPr>
            <w:r>
              <w:rPr>
                <w:rFonts w:ascii="Arial" w:cs="Arial" w:eastAsia="Arial" w:hAnsi="Arial"/>
                <w:sz w:val="18"/>
                <w:szCs w:val="18"/>
                <w:color w:val="auto"/>
              </w:rPr>
              <w:t>(4)</w:t>
            </w: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Bruce S. Campbell, III</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16,780</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(5)</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S. Campbell, IV</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1,025</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Carol C. Haislip</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8,490</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(7)</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Caroline Campbell Hill</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656</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Carolyn C. Beall</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1,672</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7,442</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(9)</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Charlton G. Campbell Hughes</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33,585</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Douglas Franklin Campbell</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1,101</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6,020</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(11)</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Gregg T. Campbell</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3,008</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36,515</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Judith F. Campbell</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232</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(13)</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Campbell Ackerman</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656</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Madeline C. Modica</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90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7,679</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(15)</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Marcie C. McHale</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1,090</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6,020</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(16)</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Robert Bruce Campbell</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7,177</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(17)</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Tyler Campbell</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6,020</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(18)</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S. James Campbell, Jr.</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8,489</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(19)</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Sarah T. Campbell</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1025</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Taber C. Hook</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9,007</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(21)</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M. Campbell</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20,822</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(22)</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Trustee of the Richard L. Campbell, Jr. Residuary Trust</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2,566</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(23)</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of the Laurence Thomsen Trust u/a 10/16/67</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25,467</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(24)</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Paul D. Dollenberg, Jr.</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1,500</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(25)</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Jamie N. Campbell</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21,339</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(26)</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Virginia T. Campbell</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6,136</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(27)</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B. Dollenberg</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1,201</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(28)</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Brett Campbell Alcarese</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1,756</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(29)</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Kristin D. Chottiner</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3,548</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(30)</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Douglas F. Campbell, Custodian for Connor M. Campbell under</w:t>
            </w:r>
          </w:p>
        </w:tc>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OR-UGMA</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386</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(31)</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5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Douglas F. Campbell, Custodian for Mitchell W. Campbell</w:t>
            </w:r>
          </w:p>
        </w:tc>
        <w:tc>
          <w:tcPr>
            <w:tcW w:w="1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under OR-UGMA</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386</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(32)</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Douglas F. Campbell, Custodian for Sarah A. Campbell under</w:t>
            </w:r>
          </w:p>
        </w:tc>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OR-UGMA</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386</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(33)</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 Mills Dancy</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348</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(34)</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Rebecca Beall DiSabato</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64</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(35)</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Alban, IV</w:t>
            </w: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348</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(36)</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Jessica C. Hughes</w:t>
            </w: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9,647</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(37)</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0"/>
        </w:trPr>
        <w:tc>
          <w:tcPr>
            <w:tcW w:w="17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60" w:type="dxa"/>
            <w:vAlign w:val="bottom"/>
          </w:tcPr>
          <w:p>
            <w:pPr>
              <w:jc w:val="right"/>
              <w:ind w:right="812"/>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380" w:type="dxa"/>
            <w:vAlign w:val="bottom"/>
            <w:gridSpan w:val="3"/>
          </w:tcPr>
          <w:p>
            <w:pPr>
              <w:jc w:val="right"/>
              <w:ind w:right="5020"/>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1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18"/>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5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Marcie C. McHale, Custodian for Claire J. McHale under WA-UGMA</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386</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Marcie C. McHale, Custodian for Madeline C. McHale under WA-UGMA</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386</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(39)</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Marcie C. McHale, Custodian for Samuel H. McHale under WA-UGMA</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386</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Meredith McLean Alcarese</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1,756</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(41)</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W. Hook</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348</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Natal Modica</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348</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(43)</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Hook, IV</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174</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Russell T. Campbell, Custodian for Jessica J. Campbell under OR-UGMA</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290</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(45)</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T. Campbell, Custodian for Kelsey N. Campbell under OR-UGMA</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290</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Russell T. Campbell, Custodian for Lindsey M. Campbell under OR-UGMA</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290</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(47)</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T. Campbell, Custodian for Tyler W. Campbell under OR-UGMA</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290</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Trustees u/a dated 4/23/85 (Richard E. Hook, IV, Grantor)</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348</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(49)</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Taber A. Frederick</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348</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P. Douglas Dollenberg, Sr.</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1,200</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(51)</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Terranomics</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3,834</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Survivor’s Trust Established under the Merritt &amp; Pamela Sher Living Trust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56,942</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(53)</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Sher</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115,433</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Richard B. Kabat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36,148</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(55)</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VT Trust (J. Victor Fandel, Trustee)</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13,711</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James C. Castillo</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2,569</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(57)</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Cori Linn</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2,377</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Kenneth A. Bloch</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4,360</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(59)</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D. Blum</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864</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Thomas Bomar</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864</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(61)</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 Culbertson Revocable Trust (B.L. Culbertson, Trustee)</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864</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The Fazekas Living Trust (Thomas Fazekas, Trustee)</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864</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(63)</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&amp; S.M. Javaras Trust (A.N. Javaras, Trustee)</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864</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Peter &amp; Sarah Morse 2016 Trust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2,292</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(65)</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Naggar</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864</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Bruce C. Spikell Trust, UDT 9/13/10 (Bruce C. Spikell, Trustee)</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864</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(67)</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&amp; P Steuart Trust dated 9/13/11 (William &amp; Pamela Steuart, Co-Trustees)</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1,836</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Sandra Williamson</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3,749</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(69)</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Lynne Bremer</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216</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Sher GP, Inc.</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1,964</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(71)</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Lacey Sher</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8,060</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Mark L. Seiler</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718</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(73)</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Colton M. Rodoski</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6,048</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Rebecca Wellington</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6,048</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(75)</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Nigel Sher</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1,849</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Seiler Family Revocable Trust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718</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(77)</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Circe Sher</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8,060</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365"/>
        </w:trPr>
        <w:tc>
          <w:tcPr>
            <w:tcW w:w="6380" w:type="dxa"/>
            <w:vAlign w:val="bottom"/>
            <w:gridSpan w:val="3"/>
          </w:tcPr>
          <w:p>
            <w:pPr>
              <w:jc w:val="right"/>
              <w:ind w:right="720"/>
              <w:spacing w:after="0"/>
              <w:rPr>
                <w:sz w:val="20"/>
                <w:szCs w:val="20"/>
                <w:color w:val="auto"/>
              </w:rPr>
            </w:pPr>
            <w:r>
              <w:rPr>
                <w:rFonts w:ascii="Arial" w:cs="Arial" w:eastAsia="Arial" w:hAnsi="Arial"/>
                <w:sz w:val="18"/>
                <w:szCs w:val="18"/>
                <w:color w:val="auto"/>
              </w:rPr>
              <w:t>5</w:t>
            </w: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140"/>
          </w:cols>
          <w:pgMar w:left="320" w:top="446"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50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18"/>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5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V. Palevich and Kathleen J. Palevich Trust</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1,473</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Alexander R. Buck</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1,600</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(80)</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Jeremy Buck</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2,500</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Lindsay Buck</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2,852</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(82)</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120" w:type="dxa"/>
            <w:vAlign w:val="bottom"/>
          </w:tcPr>
          <w:p>
            <w:pPr>
              <w:spacing w:after="0"/>
              <w:rPr>
                <w:sz w:val="17"/>
                <w:szCs w:val="17"/>
                <w:color w:val="auto"/>
              </w:rPr>
            </w:pPr>
          </w:p>
        </w:tc>
        <w:tc>
          <w:tcPr>
            <w:tcW w:w="6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Dorothy Beer Lodato as Trustee of The Frank J. Lodato Bypass Trust created</w:t>
            </w:r>
          </w:p>
        </w:tc>
        <w:tc>
          <w:tcPr>
            <w:tcW w:w="1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6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under the terms of The Frank J. Lodato Trust dated March 30, 1976, as</w:t>
            </w: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6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amended</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16,769</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120" w:type="dxa"/>
            <w:vAlign w:val="bottom"/>
          </w:tcPr>
          <w:p>
            <w:pPr>
              <w:spacing w:after="0"/>
              <w:rPr>
                <w:sz w:val="17"/>
                <w:szCs w:val="17"/>
                <w:color w:val="auto"/>
              </w:rPr>
            </w:pPr>
          </w:p>
        </w:tc>
        <w:tc>
          <w:tcPr>
            <w:tcW w:w="6380" w:type="dxa"/>
            <w:vAlign w:val="bottom"/>
            <w:gridSpan w:val="2"/>
          </w:tcPr>
          <w:p>
            <w:pPr>
              <w:spacing w:after="0" w:line="201" w:lineRule="exact"/>
              <w:rPr>
                <w:sz w:val="20"/>
                <w:szCs w:val="20"/>
                <w:color w:val="auto"/>
              </w:rPr>
            </w:pPr>
            <w:r>
              <w:rPr>
                <w:rFonts w:ascii="Arial" w:cs="Arial" w:eastAsia="Arial" w:hAnsi="Arial"/>
                <w:sz w:val="18"/>
                <w:szCs w:val="18"/>
                <w:color w:val="auto"/>
                <w:w w:val="99"/>
              </w:rPr>
              <w:t>Jane Bush Miller, Trustee of the Jane Buch Miiler Trust dated August 7, 1990 as</w:t>
            </w: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6380" w:type="dxa"/>
            <w:vAlign w:val="bottom"/>
            <w:gridSpan w:val="2"/>
          </w:tcPr>
          <w:p>
            <w:pPr>
              <w:ind w:left="180"/>
              <w:spacing w:after="0"/>
              <w:rPr>
                <w:sz w:val="20"/>
                <w:szCs w:val="20"/>
                <w:color w:val="auto"/>
              </w:rPr>
            </w:pPr>
            <w:r>
              <w:rPr>
                <w:rFonts w:ascii="Arial" w:cs="Arial" w:eastAsia="Arial" w:hAnsi="Arial"/>
                <w:sz w:val="18"/>
                <w:szCs w:val="18"/>
                <w:color w:val="auto"/>
              </w:rPr>
              <w:t>amended on December 23, 1996</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16,769</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(84)</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120" w:type="dxa"/>
            <w:vAlign w:val="bottom"/>
          </w:tcPr>
          <w:p>
            <w:pPr>
              <w:spacing w:after="0"/>
              <w:rPr>
                <w:sz w:val="17"/>
                <w:szCs w:val="17"/>
                <w:color w:val="auto"/>
              </w:rPr>
            </w:pPr>
          </w:p>
        </w:tc>
        <w:tc>
          <w:tcPr>
            <w:tcW w:w="6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Janet M. gunn and Karl Isacson, Co-Trustees of the Charles H. Gunn Revocable</w:t>
            </w:r>
          </w:p>
        </w:tc>
        <w:tc>
          <w:tcPr>
            <w:tcW w:w="1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6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Trust</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21,769</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Elizabeth M. McCarthy, a married women, as her separate property</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11,238</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(86)</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Lindley H. Miller, III, as Trustee udner Declaration of Trust dated May 10, 1996</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11,238</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Ernest M. Carter</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1,000</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(88)</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Benjamin Weiner</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30,508</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Elaine Price</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2,026</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(90)</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11011 Lee Highway, LLC</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102,692</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120" w:type="dxa"/>
            <w:vAlign w:val="bottom"/>
          </w:tcPr>
          <w:p>
            <w:pPr>
              <w:spacing w:after="0"/>
              <w:rPr>
                <w:sz w:val="20"/>
                <w:szCs w:val="20"/>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Lee Highway, LLLP</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60,630</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(92)</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14" w:lineRule="exact"/>
        <w:rPr>
          <w:sz w:val="20"/>
          <w:szCs w:val="20"/>
          <w:color w:val="auto"/>
        </w:rPr>
      </w:pPr>
    </w:p>
    <w:p>
      <w:pPr>
        <w:ind w:left="540" w:right="160" w:hanging="424"/>
        <w:spacing w:after="0" w:line="25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set forth in this column is partially based on information in the records of the transfer agent and registrar for the common shares on or about May 7, 2021 with respect to the common shares held of record by certain of the selling shareholders. The amount of common shares beneficially owned by each selling shareholder is unknown and not reasonably available, and obtaining such information would require unreasonable effort.</w:t>
      </w:r>
    </w:p>
    <w:p>
      <w:pPr>
        <w:spacing w:after="0" w:line="2"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the common shares issuable upon (i) conversion (upon the election of the preferred shareholders) as of the date hereof of all outstanding preferred shares and (ii) redemption (upon the election of the downREIT holders and the election of the registrant to acquire all tendered downREIT units in exchange for common shares) as of the date hereof of all outstanding downREIT units, at the conversion price and redemption price in effect as of the date hereof.</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Assuming the sale of all of the common shares being offered under this registration statement.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8,489 downREIT units of NVI-Avenue, LLC.</w:t>
      </w:r>
    </w:p>
    <w:p>
      <w:pPr>
        <w:spacing w:after="0" w:line="20" w:lineRule="exact"/>
        <w:rPr>
          <w:rFonts w:ascii="Arial" w:cs="Arial" w:eastAsia="Arial" w:hAnsi="Arial"/>
          <w:sz w:val="17"/>
          <w:szCs w:val="17"/>
          <w:color w:val="auto"/>
        </w:rPr>
      </w:pPr>
    </w:p>
    <w:p>
      <w:pPr>
        <w:ind w:left="540" w:right="480" w:hanging="424"/>
        <w:spacing w:after="0" w:line="265"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9,757 common shares that are issuable to the selling shareholder upon conversion of 40,860 preferred shares, and 7,023 common shares that are issuable to the selling shareholder upon redemption of 7,023 downREIT units of NVI-Avenue, LLC.</w:t>
      </w:r>
    </w:p>
    <w:p>
      <w:pPr>
        <w:ind w:left="540" w:right="20" w:hanging="424"/>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369 common shares that are issuable to the selling shareholder upon conversion of 1,547 preferred shares, and 656 common shares that are issuable to the selling shareholder upon redemption of 656 downREIT units of NVI-Avenue, LLC.</w:t>
      </w:r>
    </w:p>
    <w:p>
      <w:pPr>
        <w:ind w:left="540" w:hanging="424"/>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8,490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656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7,442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conversion of 140,644 preferred shares.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6,020 downREIT units of NVI-Avenue, LLC.</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46"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80" w:hanging="424"/>
        <w:spacing w:after="0" w:line="274"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26,868 common shares that are issuable to the selling shareholder upon conversion of 112,515 preferred shares, and 9,647 common shares that are issuable to the selling shareholder upon redemption of 9,647 downREIT units of NVI-Avenue, LLC.</w:t>
      </w: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232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656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7,679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6,020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7,177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6,020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8,489 downREIT units of NVI-Avenue, LLC.</w:t>
      </w:r>
    </w:p>
    <w:p>
      <w:pPr>
        <w:spacing w:after="0" w:line="20" w:lineRule="exact"/>
        <w:rPr>
          <w:rFonts w:ascii="Arial" w:cs="Arial" w:eastAsia="Arial" w:hAnsi="Arial"/>
          <w:sz w:val="17"/>
          <w:szCs w:val="17"/>
          <w:color w:val="auto"/>
        </w:rPr>
      </w:pPr>
    </w:p>
    <w:p>
      <w:pPr>
        <w:ind w:left="54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369 common shares that are issuable to the selling shareholder upon conversion of 1,547 preferred shares, and 656 common shares that are issuable to the selling shareholder upon redemption of 656 downREIT units of NVI-Avenue, LLC.</w:t>
      </w:r>
    </w:p>
    <w:p>
      <w:pPr>
        <w:ind w:left="540" w:right="4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1,675 common shares that are issuable to the selling shareholder upon conversion of 7,018 preferred shares, and 7,332 common shares that are issuable to the selling shareholder upon redemption of 7,332 downREIT units of NVI-Avenue, LLC.</w:t>
      </w:r>
    </w:p>
    <w:p>
      <w:pPr>
        <w:ind w:left="540" w:right="380" w:hanging="424"/>
        <w:spacing w:after="0" w:line="265"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11,175 common shares that are issuable to the selling shareholder upon conversion of 46,800 preferred shares, and 9,647 common shares that are issuable to the selling shareholder upon redemption of 9,647 downREIT units of NVI-Avenue, LLC.</w:t>
      </w: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2,566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25,467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1,500 downREIT units of NVI-Avenue, LLC.</w:t>
      </w:r>
    </w:p>
    <w:p>
      <w:pPr>
        <w:spacing w:after="0" w:line="20" w:lineRule="exact"/>
        <w:rPr>
          <w:rFonts w:ascii="Arial" w:cs="Arial" w:eastAsia="Arial" w:hAnsi="Arial"/>
          <w:sz w:val="17"/>
          <w:szCs w:val="17"/>
          <w:color w:val="auto"/>
        </w:rPr>
      </w:pPr>
    </w:p>
    <w:p>
      <w:pPr>
        <w:ind w:left="540" w:right="380" w:hanging="424"/>
        <w:spacing w:after="0" w:line="265"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11,692 common shares that are issuable to the selling shareholder upon conversion of 48,965 preferred shares, and 9,647 common shares that are issuable to the selling shareholder upon redemption of 9,647 downREIT units of NVI-Avenue, LLC.</w:t>
      </w: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6,136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1,201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1,756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3,548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386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386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386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348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64 downREIT units of NVI-Avenue, LLC.</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348 downREIT units of NVI-Avenue, LLC.</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9,647 downREIT units of NVI-Avenue, LLC.</w:t>
      </w:r>
    </w:p>
    <w:p>
      <w:pPr>
        <w:spacing w:after="0" w:line="34"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386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386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386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1,756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348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348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174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290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290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290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290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348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348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1,200 downREIT units of NVI-Avenue, LLC.</w:t>
      </w:r>
    </w:p>
    <w:p>
      <w:pPr>
        <w:spacing w:after="0" w:line="20" w:lineRule="exact"/>
        <w:rPr>
          <w:rFonts w:ascii="Arial" w:cs="Arial" w:eastAsia="Arial" w:hAnsi="Arial"/>
          <w:sz w:val="17"/>
          <w:szCs w:val="17"/>
          <w:color w:val="auto"/>
        </w:rPr>
      </w:pPr>
    </w:p>
    <w:p>
      <w:pPr>
        <w:ind w:left="540" w:right="48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3,834 downREIT units of Route 35 Shrewsbury Limited Partnership.</w:t>
      </w:r>
    </w:p>
    <w:p>
      <w:pPr>
        <w:ind w:left="540" w:right="6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34,086 downREIT units of Route 35 Shrewsbury Limited Partnership, (ii) 8,119 downREIT units of Shrewsbury Commons L.P., (iii) 13,619 downREIT units of Sea Girt Limited Partnership and (iv) 1,118 downREIT units of 35 West, LLC.</w:t>
      </w:r>
    </w:p>
    <w:p>
      <w:pPr>
        <w:spacing w:after="0" w:line="1"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65,433 downREIT units of Route 35 Shrewsbury Limited Partnership and (ii) 50,000 downREIT units of Sea Girt Limited Partnership.</w:t>
      </w:r>
    </w:p>
    <w:p>
      <w:pPr>
        <w:ind w:left="540" w:right="38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36,148 downREIT units of Route 35 Shrewsbury Limited Partnership.</w:t>
      </w:r>
    </w:p>
    <w:p>
      <w:pPr>
        <w:ind w:left="540" w:right="40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13,711 downREIT units of Route 35 Shrewsbury Limited Partnership.</w:t>
      </w:r>
    </w:p>
    <w:p>
      <w:pPr>
        <w:ind w:left="540" w:right="48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2,569 downREIT units of Route 35 Shrewsbury Limited Partnership.</w:t>
      </w:r>
    </w:p>
    <w:p>
      <w:pPr>
        <w:ind w:left="540" w:right="48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2,377 downREIT units of Route 35 Shrewsbury Limited Partnership.</w:t>
      </w:r>
    </w:p>
    <w:p>
      <w:pPr>
        <w:ind w:left="540" w:right="40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432 downREIT units of Route 35 Shrewsbury Limited Partnership and (ii) 3,928 downREIT units of Sea Girt Limited Partnership.</w:t>
      </w:r>
    </w:p>
    <w:p>
      <w:pPr>
        <w:ind w:left="54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4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40" w:hanging="424"/>
        <w:spacing w:after="0" w:line="26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320" w:top="459" w:right="5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hanging="424"/>
        <w:spacing w:after="0" w:line="25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spacing w:after="0" w:line="1"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40" w:right="56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1,728 downREIT units of Route 35 Shrewsbury Limited Partnership and (ii) 564 downREIT units of Sea Girt Limited Partnership.</w:t>
      </w:r>
    </w:p>
    <w:p>
      <w:pPr>
        <w:ind w:left="540" w:right="8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40" w:right="8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40" w:right="56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1,836 downREIT units of Route 35 Shrewsbury Limited Partnership.</w:t>
      </w:r>
    </w:p>
    <w:p>
      <w:pPr>
        <w:ind w:left="540" w:right="360" w:hanging="424"/>
        <w:spacing w:after="0" w:line="281"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(i) 432 downREIT units of Route 35 Shrewsbury Limited Partnership, (ii) 359 downREIT units of Shrewsbury Commons L.P., (iii) 1,964 downREIT units of Sea Girt Limited Partnership and</w:t>
      </w:r>
    </w:p>
    <w:p>
      <w:pPr>
        <w:spacing w:after="0" w:line="1" w:lineRule="exact"/>
        <w:rPr>
          <w:rFonts w:ascii="Arial" w:cs="Arial" w:eastAsia="Arial" w:hAnsi="Arial"/>
          <w:sz w:val="16"/>
          <w:szCs w:val="16"/>
          <w:color w:val="auto"/>
        </w:rPr>
      </w:pPr>
    </w:p>
    <w:p>
      <w:pPr>
        <w:ind w:left="860" w:hanging="312"/>
        <w:spacing w:after="0"/>
        <w:tabs>
          <w:tab w:leader="none" w:pos="860" w:val="left"/>
        </w:tabs>
        <w:numPr>
          <w:ilvl w:val="1"/>
          <w:numId w:val="9"/>
        </w:numPr>
        <w:rPr>
          <w:rFonts w:ascii="Arial" w:cs="Arial" w:eastAsia="Arial" w:hAnsi="Arial"/>
          <w:sz w:val="18"/>
          <w:szCs w:val="18"/>
          <w:color w:val="auto"/>
        </w:rPr>
      </w:pPr>
      <w:r>
        <w:rPr>
          <w:rFonts w:ascii="Arial" w:cs="Arial" w:eastAsia="Arial" w:hAnsi="Arial"/>
          <w:sz w:val="18"/>
          <w:szCs w:val="18"/>
          <w:color w:val="auto"/>
        </w:rPr>
        <w:t>994 downREIT units of 35 West, LLC.</w:t>
      </w:r>
    </w:p>
    <w:p>
      <w:pPr>
        <w:spacing w:after="0" w:line="9"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216 downREIT units of Route 35 Shrewsbury Limited Partnership.</w:t>
      </w:r>
    </w:p>
    <w:p>
      <w:pPr>
        <w:ind w:left="540" w:hanging="424"/>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1,964 downREIT units of Sea Girt Limited Partnership.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(i) 897 downREIT units of Shrewsbury Commons L.P.,</w:t>
      </w:r>
    </w:p>
    <w:p>
      <w:pPr>
        <w:spacing w:after="0" w:line="32" w:lineRule="exact"/>
        <w:rPr>
          <w:rFonts w:ascii="Arial" w:cs="Arial" w:eastAsia="Arial" w:hAnsi="Arial"/>
          <w:sz w:val="16"/>
          <w:szCs w:val="16"/>
          <w:color w:val="auto"/>
        </w:rPr>
      </w:pPr>
    </w:p>
    <w:p>
      <w:pPr>
        <w:ind w:left="820" w:hanging="272"/>
        <w:spacing w:after="0"/>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3,437 downREIT units of Sea Girt Limited Partnership and (iii) 3,726 downREIT units of 35 West, LLC.</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718 downREIT units of Shrewsbury Commons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(i) 359 downREIT units of Shrewsbury Commons L.P.,</w:t>
      </w:r>
    </w:p>
    <w:p>
      <w:pPr>
        <w:spacing w:after="0" w:line="32" w:lineRule="exact"/>
        <w:rPr>
          <w:rFonts w:ascii="Arial" w:cs="Arial" w:eastAsia="Arial" w:hAnsi="Arial"/>
          <w:sz w:val="16"/>
          <w:szCs w:val="16"/>
          <w:color w:val="auto"/>
        </w:rPr>
      </w:pPr>
    </w:p>
    <w:p>
      <w:pPr>
        <w:ind w:left="820" w:hanging="272"/>
        <w:spacing w:after="0"/>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4,199 downREIT units of Sea Girt Limited Partnership and (iii) 1,490 downREIT units of 35 West, LLC.</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(i) 359 downREIT units of Shrewsbury Commons L.P.,</w:t>
      </w:r>
    </w:p>
    <w:p>
      <w:pPr>
        <w:spacing w:after="0" w:line="32" w:lineRule="exact"/>
        <w:rPr>
          <w:rFonts w:ascii="Arial" w:cs="Arial" w:eastAsia="Arial" w:hAnsi="Arial"/>
          <w:sz w:val="16"/>
          <w:szCs w:val="16"/>
          <w:color w:val="auto"/>
        </w:rPr>
      </w:pPr>
    </w:p>
    <w:p>
      <w:pPr>
        <w:ind w:left="820" w:hanging="272"/>
        <w:spacing w:after="0"/>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4,199 downREIT units of Sea Girt Limited Partnership and (iii) 1,490 downREIT units of 35 West, LLC.</w:t>
      </w:r>
    </w:p>
    <w:p>
      <w:pPr>
        <w:spacing w:after="0" w:line="9"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359 downREIT units of Shrewsbury Commons L.P. and (ii) 1,490 downREIT units of 35 West, LLC.</w:t>
      </w:r>
    </w:p>
    <w:p>
      <w:pPr>
        <w:ind w:left="540" w:hanging="424"/>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718 downREIT units of Shrewsbury Commons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(i) 897 downREIT units of Shrewsbury Commons L.P.,</w:t>
      </w:r>
    </w:p>
    <w:p>
      <w:pPr>
        <w:spacing w:after="0" w:line="32" w:lineRule="exact"/>
        <w:rPr>
          <w:rFonts w:ascii="Arial" w:cs="Arial" w:eastAsia="Arial" w:hAnsi="Arial"/>
          <w:sz w:val="16"/>
          <w:szCs w:val="16"/>
          <w:color w:val="auto"/>
        </w:rPr>
      </w:pPr>
    </w:p>
    <w:p>
      <w:pPr>
        <w:ind w:left="820" w:hanging="272"/>
        <w:spacing w:after="0"/>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3,437 downREIT units of Sea Girt Limited Partnership and (iii) 3,726 downREIT units of 35 West, LLC.</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1,473 downREIT units of Sea Girt Limited Partnership.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1,600 downREIT units of Federal Realty Partners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2,500 downREIT units of Federal Realty Partners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2,852 downREIT units of Federal Realty Partners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16,769 downREIT units of Federal Realty Partners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16,769 downREIT units of Federal Realty Partners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21,769 downREIT units of Federal Realty Partners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11,238 downREIT units of Federal Realty Partners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11,238 downREIT units of Federal Realty Partners L.P.</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1,000 downREIT units of Federal Realty Partners L.P.</w:t>
      </w:r>
    </w:p>
    <w:p>
      <w:pPr>
        <w:spacing w:after="0" w:line="46" w:lineRule="exact"/>
        <w:rPr>
          <w:rFonts w:ascii="Arial" w:cs="Arial" w:eastAsia="Arial" w:hAnsi="Arial"/>
          <w:sz w:val="16"/>
          <w:szCs w:val="16"/>
          <w:color w:val="auto"/>
        </w:rPr>
      </w:pPr>
    </w:p>
    <w:p>
      <w:pPr>
        <w:ind w:left="540" w:hanging="424"/>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30,508 downREIT units of Federal Realty Partners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2,026 downREIT units of Federal Realty Partners L.P.</w:t>
      </w:r>
    </w:p>
    <w:p>
      <w:pPr>
        <w:spacing w:after="0" w:line="32" w:lineRule="exact"/>
        <w:rPr>
          <w:rFonts w:ascii="Arial" w:cs="Arial" w:eastAsia="Arial" w:hAnsi="Arial"/>
          <w:sz w:val="16"/>
          <w:szCs w:val="16"/>
          <w:color w:val="auto"/>
        </w:rPr>
      </w:pPr>
    </w:p>
    <w:p>
      <w:pPr>
        <w:ind w:left="540" w:right="220" w:hanging="424"/>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102,692 downREIT units of Federal Realty Partners L.P.</w:t>
      </w:r>
    </w:p>
    <w:p>
      <w:pPr>
        <w:ind w:left="540" w:hanging="424"/>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60,630 downREIT units of Federal Realty Partners L.P.</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60"/>
          </w:cols>
          <w:pgMar w:left="32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following section summarizes the material federal income tax issues that you may consider relevant relating to our taxation as a REIT under the Code, and the acquisition, ownership, and disposition of our common shares.</w:t>
      </w:r>
    </w:p>
    <w:p>
      <w:pPr>
        <w:spacing w:after="0" w:line="170"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Because this section is a summary, it does not address all of the tax issues that may be important to you. For example, the discussion of the tax treatment of our shareholders addresses only common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beneficial owners of shares subject to the special tax accounting rules under Section 451(b) of the Code, persons that are, or that hold their shares through, partnerships or other pass-through entities, United States persons within the meaning of Section 7701(a)(30) of the Code (“United States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80" w:lineRule="exact"/>
        <w:rPr>
          <w:sz w:val="20"/>
          <w:szCs w:val="20"/>
          <w:color w:val="auto"/>
        </w:rPr>
      </w:pPr>
    </w:p>
    <w:p>
      <w:pPr>
        <w:ind w:left="120" w:right="580"/>
        <w:spacing w:after="0" w:line="342" w:lineRule="auto"/>
        <w:rPr>
          <w:sz w:val="20"/>
          <w:szCs w:val="20"/>
          <w:color w:val="auto"/>
        </w:rPr>
      </w:pPr>
      <w:r>
        <w:rPr>
          <w:rFonts w:ascii="Arial" w:cs="Arial" w:eastAsia="Arial" w:hAnsi="Arial"/>
          <w:sz w:val="16"/>
          <w:szCs w:val="16"/>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24"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SHARES, OUR ELECTION TO BE TAXED AS A REIT AND THE EFFECT OF POTENTIAL CHANGES IN APPLICABLE TAX LAWS.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6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the opinion of our tax counsel, Pillsbury Winthrop Shaw Pittman LLP, (i) we qualified as a REIT under Sections 856 through 860 of the Code with respect to each of our taxable years ended through December 31, 2020; and (ii) we are organized in conformity with the requirements for qualification as a REIT under the Code and our current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7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92" w:lineRule="exact"/>
        <w:rPr>
          <w:sz w:val="20"/>
          <w:szCs w:val="20"/>
          <w:color w:val="auto"/>
        </w:rPr>
      </w:pPr>
    </w:p>
    <w:p>
      <w:pPr>
        <w:ind w:left="1080" w:right="4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70"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will pay a 100% excise tax on transactions with a “taxable REIT subsidiary” that are not conducted on an arm’s-length basis;</w:t>
      </w:r>
    </w:p>
    <w:p>
      <w:pPr>
        <w:spacing w:after="0" w:line="142" w:lineRule="exact"/>
        <w:rPr>
          <w:rFonts w:ascii="Arial" w:cs="Arial" w:eastAsia="Arial" w:hAnsi="Arial"/>
          <w:sz w:val="17"/>
          <w:szCs w:val="17"/>
          <w:color w:val="auto"/>
        </w:rPr>
      </w:pPr>
    </w:p>
    <w:p>
      <w:pPr>
        <w:ind w:left="1080" w:right="80" w:hanging="424"/>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satisfy the 75% gross income test or the 95% gross income test (as described below under “—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2" w:lineRule="exact"/>
        <w:rPr>
          <w:rFonts w:ascii="Arial" w:cs="Arial" w:eastAsia="Arial" w:hAnsi="Arial"/>
          <w:sz w:val="18"/>
          <w:szCs w:val="18"/>
          <w:color w:val="auto"/>
        </w:rPr>
      </w:pPr>
    </w:p>
    <w:p>
      <w:pPr>
        <w:ind w:left="1080" w:right="40" w:hanging="424"/>
        <w:spacing w:after="0" w:line="279"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76" w:lineRule="exact"/>
        <w:rPr>
          <w:rFonts w:ascii="Arial" w:cs="Arial" w:eastAsia="Arial" w:hAnsi="Arial"/>
          <w:sz w:val="17"/>
          <w:szCs w:val="17"/>
          <w:color w:val="auto"/>
        </w:rPr>
      </w:pPr>
    </w:p>
    <w:p>
      <w:pPr>
        <w:ind w:left="1080" w:right="100" w:hanging="424"/>
        <w:spacing w:after="0" w:line="286"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1080" w:right="60" w:hanging="424"/>
        <w:spacing w:after="0" w:line="273"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1080" w:right="94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w:t>
      </w:r>
    </w:p>
    <w:p>
      <w:pPr>
        <w:spacing w:after="0" w:line="4"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Section 401(a), and beneficiaries of such a trust will be treated as holding our shares in proportion to their actuarial interests in the trust for purposes of the 5/50 Rule.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our Annual Report on Form 10-K for the fiscal year ended December 31, 2020 under the caption “Risk Factors – To maintain our status as a REIT, we limit the amount of shares any one shareholder can own.”</w:t>
      </w:r>
    </w:p>
    <w:p>
      <w:pPr>
        <w:spacing w:after="0" w:line="15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A REIT is not treated as directly holding the assets of a taxable REIT subsidiary or as directly receiving any income that the taxable REIT subsidiary earns. Rather, the stock issued by each of our taxable REIT subsidiaries is an asset in our hands, and we generally recognize as income the dividends, if any, that we receive from our taxable REIT subsidiaries. A taxable REIT subsidiary is treated separately from us and will be subject to federal corporate income taxation. In contrast,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7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and the owners are treated as partners for such purposes. For purposes of this discussion as it relates to federal income tax status, references to “partnership” also include a limited liability company treated as a partnership for U.S. federal income tax purposes, and references to “partner” include a member in such a limited liability company. 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and items of income of any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 Under partnership audit changes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issued regulations providing details on many of these provisions, but it is still not entirely clear how all of these new rules will be implemented.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39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generally intend to control any partnerships in which we hold an interest and we intend to operate them in a manner consistent with the requirements for our qualification as a REIT. We may from time to time be a limited partner or non-managing member in some of our partnerships. If a partnership in which we own an interest but do not have control takes or expects to take actions that could jeopardize our status as a REIT or require us to pay tax, we may be forced to dispose of our interest in such entity. In addition, it is possible that a partnership could take an action which could cause us to fail a gross income or asset test and that we would not become aware of such action in time to dispose of our interest in the partnership or take other corrective action on a timely basis. In that case, we could fail to qualify as a REIT unless we were able to qualify for a statutory REIT savings provision, which could require us to pay a significant penalty tax to maintain our REIT qualification.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131" w:lineRule="exact"/>
        <w:rPr>
          <w:sz w:val="20"/>
          <w:szCs w:val="20"/>
          <w:color w:val="auto"/>
        </w:rPr>
      </w:pPr>
    </w:p>
    <w:p>
      <w:pPr>
        <w:ind w:left="1080" w:hanging="424"/>
        <w:spacing w:after="0" w:line="290"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1080" w:right="20" w:hanging="424"/>
        <w:spacing w:after="0" w:line="273"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 In general, interest from any of our taxable REIT subsidiaries is qualifying income for purposes of the 95% gross income test, but is not qualifying income for purposes of the 75% gross income test unless such interest derives from debt secured by real property.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9" w:lineRule="exact"/>
        <w:rPr>
          <w:sz w:val="20"/>
          <w:szCs w:val="20"/>
          <w:color w:val="auto"/>
        </w:rPr>
      </w:pPr>
    </w:p>
    <w:p>
      <w:pPr>
        <w:ind w:left="1080" w:right="20" w:hanging="424"/>
        <w:spacing w:after="0" w:line="255"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97" w:lineRule="exact"/>
        <w:rPr>
          <w:rFonts w:ascii="Arial" w:cs="Arial" w:eastAsia="Arial" w:hAnsi="Arial"/>
          <w:sz w:val="18"/>
          <w:szCs w:val="18"/>
          <w:color w:val="auto"/>
        </w:rPr>
      </w:pPr>
    </w:p>
    <w:p>
      <w:pPr>
        <w:ind w:left="1080" w:hanging="424"/>
        <w:spacing w:after="0" w:line="26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424"/>
        <w:spacing w:after="0" w:line="293"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69" w:lineRule="exact"/>
        <w:rPr>
          <w:rFonts w:ascii="Arial" w:cs="Arial" w:eastAsia="Arial" w:hAnsi="Arial"/>
          <w:sz w:val="16"/>
          <w:szCs w:val="16"/>
          <w:color w:val="auto"/>
        </w:rPr>
      </w:pPr>
    </w:p>
    <w:p>
      <w:pPr>
        <w:ind w:left="1080" w:right="60" w:hanging="424"/>
        <w:spacing w:after="0" w:line="270"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 and</w:t>
      </w:r>
    </w:p>
    <w:p>
      <w:pPr>
        <w:spacing w:after="0" w:line="86" w:lineRule="exact"/>
        <w:rPr>
          <w:rFonts w:ascii="Arial" w:cs="Arial" w:eastAsia="Arial" w:hAnsi="Arial"/>
          <w:sz w:val="17"/>
          <w:szCs w:val="17"/>
          <w:color w:val="auto"/>
        </w:rPr>
      </w:pPr>
    </w:p>
    <w:p>
      <w:pPr>
        <w:ind w:left="1080" w:hanging="424"/>
        <w:spacing w:after="0" w:line="269"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In general,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85"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4"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principal exceeds the value of the real estate that is security for the loan as of the date we agreed to acquire the loan.</w:t>
      </w:r>
    </w:p>
    <w:p>
      <w:pPr>
        <w:spacing w:after="0" w:line="178"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49" w:lineRule="exact"/>
        <w:rPr>
          <w:sz w:val="20"/>
          <w:szCs w:val="20"/>
          <w:color w:val="auto"/>
        </w:rPr>
      </w:pPr>
    </w:p>
    <w:p>
      <w:pPr>
        <w:ind w:left="120" w:right="480"/>
        <w:spacing w:after="0" w:line="311"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1080" w:right="28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9" w:lineRule="exact"/>
        <w:rPr>
          <w:sz w:val="20"/>
          <w:szCs w:val="20"/>
          <w:color w:val="auto"/>
        </w:rPr>
      </w:pPr>
    </w:p>
    <w:p>
      <w:pPr>
        <w:ind w:left="1080" w:right="5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9"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8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b w:val="1"/>
          <w:bCs w:val="1"/>
          <w:i w:val="1"/>
          <w:iCs w:val="1"/>
          <w:color w:val="auto"/>
        </w:rPr>
        <w:t>Tax on Prohibited Transactions</w:t>
      </w:r>
      <w:r>
        <w:rPr>
          <w:rFonts w:ascii="Arial" w:cs="Arial" w:eastAsia="Arial" w:hAnsi="Arial"/>
          <w:sz w:val="18"/>
          <w:szCs w:val="18"/>
          <w:color w:val="auto"/>
        </w:rPr>
        <w:t>. 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w:t>
      </w:r>
    </w:p>
    <w:p>
      <w:pPr>
        <w:spacing w:after="0" w:line="1" w:lineRule="exact"/>
        <w:rPr>
          <w:sz w:val="20"/>
          <w:szCs w:val="20"/>
          <w:color w:val="auto"/>
        </w:rPr>
      </w:pPr>
    </w:p>
    <w:p>
      <w:pPr>
        <w:ind w:left="120" w:right="20" w:hanging="4"/>
        <w:spacing w:after="0" w:line="285" w:lineRule="auto"/>
        <w:tabs>
          <w:tab w:leader="none" w:pos="4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 harbor provision and may sell or dispose of property that could be characterized as property held “primarily for sale to customers in the ordinary course of a trade or business.”</w:t>
      </w:r>
    </w:p>
    <w:p>
      <w:pPr>
        <w:spacing w:after="0" w:line="17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b w:val="1"/>
          <w:bCs w:val="1"/>
          <w:i w:val="1"/>
          <w:iCs w:val="1"/>
          <w:color w:val="auto"/>
        </w:rPr>
        <w:t xml:space="preserve">Tax and Deduction Limits on Certain Transactions with Taxable REIT Subsidiaries. </w:t>
      </w:r>
      <w:r>
        <w:rPr>
          <w:rFonts w:ascii="Arial" w:cs="Arial" w:eastAsia="Arial" w:hAnsi="Arial"/>
          <w:sz w:val="18"/>
          <w:szCs w:val="18"/>
          <w:color w:val="auto"/>
        </w:rPr>
        <w:t>A REIT will incur a 100% tax on certain transactions between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but recent changes to the interest deduction rules may affect interest deductions of our taxable REIT subsidiaries under some circumstances.</w:t>
      </w:r>
    </w:p>
    <w:p>
      <w:pPr>
        <w:spacing w:after="0" w:line="18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b w:val="1"/>
          <w:bCs w:val="1"/>
          <w:i w:val="1"/>
          <w:iCs w:val="1"/>
          <w:color w:val="auto"/>
        </w:rPr>
        <w:t xml:space="preserve">Hedging Transactions. </w:t>
      </w:r>
      <w:r>
        <w:rPr>
          <w:rFonts w:ascii="Arial" w:cs="Arial" w:eastAsia="Arial" w:hAnsi="Arial"/>
          <w:sz w:val="17"/>
          <w:szCs w:val="17"/>
          <w:color w:val="auto"/>
        </w:rPr>
        <w:t>Except to the extent provided by Treasury regulations, any income we derive from a hedging transaction (which may include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78"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b w:val="1"/>
          <w:bCs w:val="1"/>
          <w:i w:val="1"/>
          <w:iCs w:val="1"/>
          <w:color w:val="auto"/>
        </w:rPr>
        <w:t xml:space="preserve">Like-Kind Exchanges. </w:t>
      </w:r>
      <w:r>
        <w:rPr>
          <w:rFonts w:ascii="Arial" w:cs="Arial" w:eastAsia="Arial" w:hAnsi="Arial"/>
          <w:sz w:val="17"/>
          <w:szCs w:val="17"/>
          <w:color w:val="auto"/>
        </w:rPr>
        <w:t>We may dispose of properties in transactions intended to qualify as like-kind exchanges under the Code. Such like-kind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Legislative changes have eliminated like-kind exchanges for most personal property.</w:t>
      </w:r>
    </w:p>
    <w:p>
      <w:pPr>
        <w:spacing w:after="0" w:line="17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54" w:lineRule="exact"/>
        <w:rPr>
          <w:sz w:val="20"/>
          <w:szCs w:val="20"/>
          <w:color w:val="auto"/>
        </w:rPr>
      </w:pPr>
    </w:p>
    <w:p>
      <w:pPr>
        <w:ind w:left="1080" w:right="280" w:hanging="424"/>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51" w:lineRule="exact"/>
        <w:rPr>
          <w:rFonts w:ascii="Arial" w:cs="Arial" w:eastAsia="Arial" w:hAnsi="Arial"/>
          <w:sz w:val="17"/>
          <w:szCs w:val="17"/>
          <w:color w:val="auto"/>
        </w:rPr>
      </w:pPr>
    </w:p>
    <w:p>
      <w:pPr>
        <w:ind w:left="1540" w:right="140" w:hanging="331"/>
        <w:spacing w:after="0" w:line="279" w:lineRule="auto"/>
        <w:tabs>
          <w:tab w:leader="none" w:pos="15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our properties qualify as real estate assets.</w:t>
      </w:r>
    </w:p>
    <w:p>
      <w:pPr>
        <w:spacing w:after="0" w:line="76" w:lineRule="exact"/>
        <w:rPr>
          <w:rFonts w:ascii="Arial" w:cs="Arial" w:eastAsia="Arial" w:hAnsi="Arial"/>
          <w:sz w:val="17"/>
          <w:szCs w:val="17"/>
          <w:color w:val="auto"/>
        </w:rPr>
      </w:pPr>
    </w:p>
    <w:p>
      <w:pPr>
        <w:ind w:left="1540" w:right="160" w:hanging="331"/>
        <w:spacing w:after="0" w:line="263"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9" w:lineRule="exact"/>
        <w:rPr>
          <w:rFonts w:ascii="Arial" w:cs="Arial" w:eastAsia="Arial" w:hAnsi="Arial"/>
          <w:sz w:val="18"/>
          <w:szCs w:val="18"/>
          <w:color w:val="auto"/>
        </w:rPr>
      </w:pPr>
    </w:p>
    <w:p>
      <w:pPr>
        <w:ind w:left="1540" w:right="16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1080" w:hanging="424"/>
        <w:spacing w:after="0" w:line="284"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in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and (C) no more than 25% of the value of our total assets may consist of the securities of taxable REIT subsidiaries (unless they would otherwise be treated as real estate assets) and our assets that are not qualifying assets for purposes of the 75% asset test. For purposes of the 10% asset test that relates to value, the following are not treated as securities: (i) loans to individuals and estates,</w:t>
      </w:r>
    </w:p>
    <w:p>
      <w:pPr>
        <w:spacing w:after="0" w:line="2" w:lineRule="exact"/>
        <w:rPr>
          <w:rFonts w:ascii="Arial" w:cs="Arial" w:eastAsia="Arial" w:hAnsi="Arial"/>
          <w:sz w:val="16"/>
          <w:szCs w:val="16"/>
          <w:color w:val="auto"/>
        </w:rPr>
      </w:pPr>
    </w:p>
    <w:p>
      <w:pPr>
        <w:ind w:left="1080" w:right="100"/>
        <w:spacing w:after="0" w:line="281" w:lineRule="auto"/>
        <w:rPr>
          <w:rFonts w:ascii="Arial" w:cs="Arial" w:eastAsia="Arial" w:hAnsi="Arial"/>
          <w:sz w:val="16"/>
          <w:szCs w:val="16"/>
          <w:color w:val="auto"/>
        </w:rPr>
      </w:pPr>
      <w:r>
        <w:rPr>
          <w:rFonts w:ascii="Arial" w:cs="Arial" w:eastAsia="Arial" w:hAnsi="Arial"/>
          <w:sz w:val="16"/>
          <w:szCs w:val="16"/>
          <w:color w:val="auto"/>
        </w:rPr>
        <w:t>(ii) securities issued by REITs, (iii) accrued obligations to pay rent; (iv) certain debt meeting the definition of “straight debt” if neither we nor a taxable REIT subsidiary that we control hold more than 1% of the issuer’s securities that do not qualify as “straight debt,” and</w:t>
      </w:r>
    </w:p>
    <w:p>
      <w:pPr>
        <w:spacing w:after="0" w:line="1" w:lineRule="exact"/>
        <w:rPr>
          <w:rFonts w:ascii="Arial" w:cs="Arial" w:eastAsia="Arial" w:hAnsi="Arial"/>
          <w:sz w:val="16"/>
          <w:szCs w:val="16"/>
          <w:color w:val="auto"/>
        </w:rPr>
      </w:pPr>
    </w:p>
    <w:p>
      <w:pPr>
        <w:ind w:left="1080"/>
        <w:spacing w:after="0" w:line="253" w:lineRule="auto"/>
        <w:rPr>
          <w:rFonts w:ascii="Arial" w:cs="Arial" w:eastAsia="Arial" w:hAnsi="Arial"/>
          <w:sz w:val="16"/>
          <w:szCs w:val="16"/>
          <w:color w:val="auto"/>
        </w:rPr>
      </w:pPr>
      <w:r>
        <w:rPr>
          <w:rFonts w:ascii="Arial" w:cs="Arial" w:eastAsia="Arial" w:hAnsi="Arial"/>
          <w:sz w:val="18"/>
          <w:szCs w:val="18"/>
          <w:color w:val="auto"/>
        </w:rPr>
        <w:t>(v)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98"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value of our securities in one or more taxable REIT subsidiaries (unless they would otherwise be treated as real estate assets) may not exceed 20% of the value of our total assets.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value of our holdings in debt instruments of publicly offered REITs (unless they would otherwise be treated as real estate assets) may not exceed 25% of the value of our total assets.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such loan likely will not be a qualifying real estate asset. Under Revenue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8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b w:val="1"/>
          <w:bCs w:val="1"/>
          <w:i w:val="1"/>
          <w:iCs w:val="1"/>
          <w:color w:val="auto"/>
        </w:rPr>
        <w:t xml:space="preserve">Relief from Consequences of Failing to Meet Asset Tests. </w:t>
      </w:r>
      <w:r>
        <w:rPr>
          <w:rFonts w:ascii="Arial" w:cs="Arial" w:eastAsia="Arial" w:hAnsi="Arial"/>
          <w:sz w:val="17"/>
          <w:szCs w:val="17"/>
          <w:color w:val="auto"/>
        </w:rPr>
        <w:t>If we fail to satisfy one or more of the asset tests for any quarter of a taxable year,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2"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jc w:val="both"/>
        <w:ind w:left="120" w:right="100"/>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Further, with respect to our 2014 and prior taxable years, in order for distributions to have been counted as satisfying the annual distribution requirements for REITs and to provide us with a dividends paid deduction, our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our organizational documents. For taxable years beginning after December 31, 2014, the preferential dividend rule does not apply to publicly offered REITs. We are a publicly offered REIT. Thus, so long as we continue to qualify as a publicly offered REIT, the preferential dividend rule does not apply to our 2015 and subsequent taxable years. However, subsidiary REITs we may own from time to time may not be publicly offered REITs and the preferential dividend rules would apply to such subsidiary REITs, although the IRS has issued multiple private letter rulings, which may not be relied upon as precedent, that a subsidiary REIT that meets certain conditions may be treated as a publicly offered REIT for these purposes.</w:t>
      </w:r>
    </w:p>
    <w:p>
      <w:pPr>
        <w:spacing w:after="0" w:line="18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88"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6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provides that the IRS will treat distributions that, at the election of each shareholder, are paid partly in cash and partly in shares as dividends that satisfy the REIT annual distribution requirement and as distributions that qualify for the dividends paid deduction for federal income tax purposes, provided certain conditions are satisfied, including a requirement that at least 20% of the total dividend is available in cash. We have no current intention to make such an elective cash/shares distribution or a distribution of debt securities, but in the event of an elective cash/shares distribution we expect to structure it so as to comply with the revenue procedure. If we were to choose to make a cash/shares distribution, shareholders may be required to pay tax in excess of the cash that they receive or may be subject to withholding taxes, including with respect to all or a portion of such dividend that is payable in shares.</w:t>
      </w:r>
    </w:p>
    <w:p>
      <w:pPr>
        <w:spacing w:after="0" w:line="18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 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shares that for U.S. federal income tax purposes is:</w:t>
      </w:r>
    </w:p>
    <w:p>
      <w:pPr>
        <w:spacing w:after="0" w:line="76"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trust if (A) a U.S. court is able to exercise primary supervision over the administration of such trust and one or more United States persons have the authority to control all substantial decisions of the trust, or (B) it has a valid election in effect to be treated as a United States person.</w:t>
      </w:r>
    </w:p>
    <w:p>
      <w:pPr>
        <w:spacing w:after="0" w:line="18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prior to 2026, generally non-corporate shareholders are allowed to deduct 20% of the aggregate amount of ordinary dividends distributed by us,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w:t>
      </w:r>
    </w:p>
    <w:p>
      <w:pPr>
        <w:spacing w:after="0" w:line="196"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66"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A taxable U.S. shareholder will not incur tax on a distribution to the extent it exceeds our current and accumulated earnings and profits if such distribution does not exceed the adjusted basis of the taxable U.S. shareholder’s common shares. Instead, such distribution in excess of earnings and profits will reduce the adjusted basis of such common shares. To the extent a distribution exceeds both our current and accumulated earnings and profits and the taxable U.S. shareholder’s adjusted basis in its common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to the extent of our earnings and profits,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8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8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67"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shares will not be treated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shares generally will be treated as investment income for purposes of the investment income limitation.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 xml:space="preserve">Medicare Tax on Unearned Income. </w:t>
      </w:r>
      <w:r>
        <w:rPr>
          <w:rFonts w:ascii="Arial" w:cs="Arial" w:eastAsia="Arial" w:hAnsi="Arial"/>
          <w:sz w:val="18"/>
          <w:szCs w:val="18"/>
          <w:color w:val="auto"/>
        </w:rPr>
        <w:t>Certain taxable U.S. shareholders who are individuals, estates or trusts are subject to a 3.8% Medicare tax on all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portion of their “net investment income,” which may include all or a portion of their dividends on our common shares and net gains from the taxable disposition of their shares. Taxable U.S. shareholders that are individuals, estates or trusts should consult their tax advisors regarding the applicability of the Medicare tax to any of their income or gains in respect of our common shares.</w:t>
      </w:r>
    </w:p>
    <w:p>
      <w:pPr>
        <w:spacing w:after="0" w:line="18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b w:val="1"/>
          <w:bCs w:val="1"/>
          <w:i w:val="1"/>
          <w:iCs w:val="1"/>
          <w:color w:val="auto"/>
        </w:rPr>
        <w:t xml:space="preserve">Current Tax Rates. </w:t>
      </w:r>
      <w:r>
        <w:rPr>
          <w:rFonts w:ascii="Arial" w:cs="Arial" w:eastAsia="Arial" w:hAnsi="Arial"/>
          <w:sz w:val="17"/>
          <w:szCs w:val="17"/>
          <w:color w:val="auto"/>
        </w:rPr>
        <w:t>The maximum tax rate on the long-term capital gains of domestic non-corporate taxpayers is 20%. The maximum tax rate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prior to 2026, generally non-corporate shareholders are allowed to deduct 20% of the aggregate amount of ordinary dividends distributed by us for purposes of determining their U.S. federal income tax (but not for purposes of the 3.8% Medicare tax),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 Further, with respect to non-corporate taxpayers, the lower qualified dividend income/capital gains tax rate (at a maximum of 20%) does generally apply to:</w:t>
      </w:r>
    </w:p>
    <w:p>
      <w:pPr>
        <w:spacing w:after="0" w:line="87"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and supplemental unemployment benefit trusts that are exempt from taxation under paragraphs (7), (9), and (17),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77"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2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distribution does not exceed the adjusted basis of its common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7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9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92"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b w:val="1"/>
          <w:bCs w:val="1"/>
          <w:i w:val="1"/>
          <w:iCs w:val="1"/>
          <w:color w:val="auto"/>
        </w:rPr>
        <w:t>Capital Gain Dividends</w:t>
      </w:r>
      <w:r>
        <w:rPr>
          <w:rFonts w:ascii="Arial" w:cs="Arial" w:eastAsia="Arial" w:hAnsi="Arial"/>
          <w:sz w:val="17"/>
          <w:szCs w:val="17"/>
          <w:color w:val="auto"/>
        </w:rPr>
        <w:t>. 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4"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 respect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6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shares as long as we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“domestically controlled REIT.” A “domestically controlled REIT” is a REIT in which at all times during a specified testing period foreign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68" w:lineRule="exact"/>
        <w:rPr>
          <w:sz w:val="20"/>
          <w:szCs w:val="20"/>
          <w:color w:val="auto"/>
        </w:rPr>
      </w:pPr>
    </w:p>
    <w:p>
      <w:pPr>
        <w:ind w:left="120" w:right="160"/>
        <w:spacing w:after="0" w:line="287"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w:t>
      </w:r>
    </w:p>
    <w:p>
      <w:pPr>
        <w:spacing w:after="0" w:line="2" w:lineRule="exact"/>
        <w:rPr>
          <w:sz w:val="20"/>
          <w:szCs w:val="20"/>
          <w:color w:val="auto"/>
        </w:rPr>
      </w:pPr>
    </w:p>
    <w:p>
      <w:pPr>
        <w:ind w:left="120" w:hanging="4"/>
        <w:spacing w:after="0" w:line="252" w:lineRule="auto"/>
        <w:tabs>
          <w:tab w:leader="none" w:pos="3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94"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shares avoids a taxable distribution of 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United States person that is not an exempt recipient.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70"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derives 50% or more of its gross income for a specified three-year period from the conduct of a trade or business in the United States;</w:t>
      </w:r>
    </w:p>
    <w:p>
      <w:pPr>
        <w:spacing w:after="0" w:line="153"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United States persons or if it is engaged in the conduct of a trade or business in the United States,</w:t>
      </w:r>
    </w:p>
    <w:p>
      <w:pPr>
        <w:spacing w:after="0" w:line="170"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92"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Under sections 1471 through 1474 of the Code, Treasury regulations and related guidance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(commonly referred to as “FATCA”), a 30% U.S. withholding tax will be imposed in certain circumstances on payments of (i) dividends on the shares and (ii) subject to the proposed Treasury regulations discussed below, gross proceeds from the sale or other disposition of the shares. Treasury regulations proposed in December 2018 (and upon which taxpayers and withholding agents are entitled to rely) would, when finalized, eliminate FATCA withholding on the gross proceeds from a sale or other disposition of instruments, such as the shares, that produce withholdable payments.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U.S. person that directly or indirectly owns more than a specified percentage of such entity). If shares are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dividends on the shares or other payments in respect of the shares, we will withhold tax at the applicable statutory rate, and we will not pay any additional amounts in respect such withholding. Under certain circumstances, a holder may be eligible for refunds or credits of such withheld taxes. Prospective investors are urged to consult with their own tax advisors regarding the possible implications of FATCA on their investment in the shares.</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State and Local Taxes</w:t>
      </w:r>
      <w:r>
        <w:rPr>
          <w:rFonts w:ascii="Arial" w:cs="Arial" w:eastAsia="Arial" w:hAnsi="Arial"/>
          <w:sz w:val="18"/>
          <w:szCs w:val="18"/>
          <w:color w:val="auto"/>
        </w:rPr>
        <w:t>. We and/or you may be subject to state and local tax in various states and localities, including those states and localities in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8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b w:val="1"/>
          <w:bCs w:val="1"/>
          <w:i w:val="1"/>
          <w:iCs w:val="1"/>
          <w:color w:val="auto"/>
        </w:rPr>
        <w:t xml:space="preserve">Changes to Tax Laws and Regulations. </w:t>
      </w:r>
      <w:r>
        <w:rPr>
          <w:rFonts w:ascii="Arial" w:cs="Arial" w:eastAsia="Arial" w:hAnsi="Arial"/>
          <w:sz w:val="18"/>
          <w:szCs w:val="18"/>
          <w:color w:val="auto"/>
        </w:rPr>
        <w:t>The rules dealing with federal income taxation are subject to revision by the U.S. Congress, the IRS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Tax Cuts and Jobs Act of 2017. In addition, legislation, regulations and other guidance has been enacted to respond to the COVID-19 pandemic, including the 2020 CARES Act, and further legislative enactments and other IRS or Treasury action is possible.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shares.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not receive any of the proceeds from the sale of the common shares covered by this prospectus.</w:t>
      </w:r>
    </w:p>
    <w:p>
      <w:pPr>
        <w:spacing w:after="0" w:line="225"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sale or distribution of all or any portion of the common shares covered by this prospectus may be effected from time to time by the selling shareholders, or any of their permissible transferees or pledgees (including, but not limited to, Morgan Stanley Private Bank, National Association). The sales may be made directly, indirectly through brokers or dealers, or in a distribution by one or more underwriters on a firm commitment or best efforts basis, in the over-the-counter market, on any national securities exchange or automated quotation system on which the common shares covered by this prospectus may be listed or traded, in privately negotiated transactions, to or through a market maker, or through any other legally available means. In addition, the sales may be made at market prices prevailing at the time of sale, at prices related to such prevailing market prices or at negotiated prices.</w:t>
      </w:r>
    </w:p>
    <w:p>
      <w:pPr>
        <w:spacing w:after="0" w:line="164"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selling shareholders or their successors in interest may from time to time pledge or grant a security interest in some or all of the common shares, preferred shares or downREIT units, and, if the selling shareholders default in the performance of their secured obligations, the pledgees or secured parties may offer and sell the applicable common shares from time to time under this prospectus; however, in the event of a pledge or the default on the performance of a secured obligation by a selling shareholder, in order for the common shares to be sold under this registration statement, unless permitted by law, we must file an amendment to this registration statement under applicable provisions of the Securities Act amending the list of selling shareholders to include the pledgee, transferee, secured party or other successors in interest as a selling shareholder under this prospectus.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methods by which the common shares covered by this prospectus may be sold or distributed include any one or more of the following:</w:t>
      </w:r>
    </w:p>
    <w:p>
      <w:pPr>
        <w:spacing w:after="0" w:line="142" w:lineRule="exact"/>
        <w:rPr>
          <w:sz w:val="20"/>
          <w:szCs w:val="20"/>
          <w:color w:val="auto"/>
        </w:rPr>
      </w:pPr>
    </w:p>
    <w:p>
      <w:pPr>
        <w:ind w:left="1080" w:right="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broker or dealer so engaged will attempt to sell the common shares covered by this prospectus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account pursuant to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 rata distributions as part of the liquidation and winding up of the affairs of the selling shareholders or successor in interest that is an entity;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pledges to a lender as collateral to secure loans, credit or other financing arrangements and any subsequent foreclosure thereunder; or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left="120" w:right="240"/>
        <w:spacing w:after="0" w:line="286" w:lineRule="auto"/>
        <w:rPr>
          <w:sz w:val="20"/>
          <w:szCs w:val="20"/>
          <w:color w:val="auto"/>
        </w:rPr>
      </w:pPr>
      <w:r>
        <w:rPr>
          <w:rFonts w:ascii="Arial" w:cs="Arial" w:eastAsia="Arial" w:hAnsi="Arial"/>
          <w:sz w:val="17"/>
          <w:szCs w:val="17"/>
          <w:color w:val="auto"/>
        </w:rPr>
        <w:t>In effecting sales, brokers or dealers engaged by the selling shareholders may arrange for other brokers or dealers to participate. Any public offering price and any discount, concession or commission allowed or reallowed or paid to dealers may be changed from time to time and, as to any particular underwriter, broker, dealer or agent, may be in excess of those customary in the types of transactions involved.</w:t>
      </w:r>
    </w:p>
    <w:p>
      <w:pPr>
        <w:spacing w:after="0" w:line="16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selling shareholders may from time to time sell all or a portion of the common shares covered by this prospectus short and deliver those securities to cover the short sale or sales, or may deliver the common shares covered by this prospectus upon the exercise, settlement or closing of a call equivalent position or a put equivalent position. The selling shareholders also may enter into hedging transactions with brokers, dealers or other financial institutions, which may in turn engage in short sales of the common shares covered by this prospectus in the course of hedging the positions they assume.</w:t>
      </w:r>
    </w:p>
    <w:p>
      <w:pPr>
        <w:spacing w:after="0" w:line="188"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The selling shareholders and the brokers or dealers participating in the distribution of the common shares covered by this prospectus may be deemed “underwriters” within the meaning of the Securities Act. Any profit on the sale of the common shares covered by this prospectus by the selling shareholders and any discounts, concessions or commissions received by any such brokers or dealers may be regarded as underwriting commissions under the Securities Act.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connection with the sale or distribution of the common shares covered by this prospectus, the rules of the SEC permit any underwriter to engage in certain transactions that stabilize the price of the common shares covered by this prospectus. These transactions may consist of bids or purchases for the purpose of pegging, fixing or maintaining the price of the common shares covered by this prospectus.</w:t>
      </w:r>
    </w:p>
    <w:p>
      <w:pPr>
        <w:spacing w:after="0" w:line="1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Underwriters, brokers, dealers or agents may be entitled, under agreements with us, to indemnification against the contribution toward certain civil liabilities, including liabilities under the Securities Act.</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will pay all expenses in connection with the registration of the common shares covered by this prospectus. The selling shareholders will pay for any brokerage or underwriting commissions and taxes of any kind (including, without limitation, transfer taxes) with respect to any disposition, sale or transfer of the common shares covered by this prospectus.</w:t>
      </w:r>
    </w:p>
    <w:p>
      <w:pPr>
        <w:spacing w:after="0" w:line="184"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common shares covered by this prospectus not sold pursuant to the registration statement on Form S-3 of which this prospectus is a part may be subject to certain restrictions under the Securities Act and could be sold, if at all, only pursuant to Rule 144 or another exemption from the registration requirements of the Securities Act. In general, under Rule 144, a person who is not, and has not been within the preceding three months, an affiliate of ours and also has satisfied a six-month holding period may, under certain circumstances, sell the common shares covered by this prospectus. Therefore, both during and after the effectiveness of the registration statement, the selling shareholders may sell the common shares covered by this prospectus pursuant to Rule 144.</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validity of the offered common shares and the accuracy of the discussion under “Material Federal Income Tax Considerations” will be passed upon for us by Pillsbury Winthrop Shaw Pittman LLP, Washington, D.C.</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70"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5">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2020, filed with the SEC on February 11,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Our </w:t>
      </w:r>
      <w:hyperlink r:id="rId56">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2021 Annual Meeting of Shareholders, filed with the SEC on March 25,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57">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March 31, 2021, filed with the SEC on May 5, 2021;</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9"/>
        </w:numPr>
        <w:rPr>
          <w:rFonts w:ascii="Arial" w:cs="Arial" w:eastAsia="Arial" w:hAnsi="Arial"/>
          <w:sz w:val="18"/>
          <w:szCs w:val="18"/>
          <w:color w:val="0000EE"/>
        </w:rPr>
      </w:pPr>
      <w:hyperlink r:id="rId58">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12,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24,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19,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6, 2021</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May 7,</w:t>
        </w:r>
      </w:hyperlink>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0000EE"/>
          </w:rPr>
          <w:t>2021</w:t>
        </w:r>
        <w:r>
          <w:rPr>
            <w:rFonts w:ascii="Arial" w:cs="Arial" w:eastAsia="Arial" w:hAnsi="Arial"/>
            <w:sz w:val="18"/>
            <w:szCs w:val="18"/>
            <w:color w:val="000000"/>
          </w:rPr>
          <w:t>; and</w:t>
        </w:r>
      </w:hyperlink>
    </w:p>
    <w:p>
      <w:pPr>
        <w:spacing w:after="0" w:line="75" w:lineRule="exact"/>
        <w:rPr>
          <w:rFonts w:ascii="Arial" w:cs="Arial" w:eastAsia="Arial" w:hAnsi="Arial"/>
          <w:sz w:val="18"/>
          <w:szCs w:val="18"/>
          <w:color w:val="0000EE"/>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Description of our common shares contained in the Registration Statement on </w:t>
      </w:r>
      <w:hyperlink r:id="rId59">
        <w:r>
          <w:rPr>
            <w:rFonts w:ascii="Arial" w:cs="Arial" w:eastAsia="Arial" w:hAnsi="Arial"/>
            <w:sz w:val="17"/>
            <w:szCs w:val="17"/>
            <w:u w:val="single" w:color="auto"/>
            <w:color w:val="0000EE"/>
          </w:rPr>
          <w:t>Form 8-A/A</w:t>
        </w:r>
      </w:hyperlink>
      <w:r>
        <w:rPr>
          <w:rFonts w:ascii="Arial" w:cs="Arial" w:eastAsia="Arial" w:hAnsi="Arial"/>
          <w:sz w:val="17"/>
          <w:szCs w:val="17"/>
          <w:color w:val="auto"/>
        </w:rPr>
        <w:t>, filed with the SEC on June 6, 2002.</w:t>
      </w:r>
    </w:p>
    <w:p>
      <w:pPr>
        <w:spacing w:after="0" w:line="237" w:lineRule="exact"/>
        <w:rPr>
          <w:rFonts w:ascii="Arial" w:cs="Arial" w:eastAsia="Arial" w:hAnsi="Arial"/>
          <w:sz w:val="18"/>
          <w:szCs w:val="18"/>
          <w:color w:val="auto"/>
        </w:rPr>
      </w:pPr>
    </w:p>
    <w:p>
      <w:pPr>
        <w:ind w:left="120"/>
        <w:spacing w:after="0" w:line="254"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95" w:lineRule="exact"/>
        <w:rPr>
          <w:rFonts w:ascii="Arial" w:cs="Arial" w:eastAsia="Arial" w:hAnsi="Arial"/>
          <w:sz w:val="18"/>
          <w:szCs w:val="18"/>
          <w:color w:val="auto"/>
        </w:rPr>
      </w:pPr>
    </w:p>
    <w:p>
      <w:pPr>
        <w:ind w:left="120" w:right="60"/>
        <w:spacing w:after="0" w:line="311"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41"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909 Rose Ave. Suite 200</w:t>
      </w:r>
    </w:p>
    <w:p>
      <w:pPr>
        <w:spacing w:after="0" w:line="9"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North Bethesda, Maryland 20852</w:t>
      </w:r>
    </w:p>
    <w:p>
      <w:pPr>
        <w:spacing w:after="0" w:line="9"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(301) 998-8100</w:t>
      </w:r>
    </w:p>
    <w:p>
      <w:pPr>
        <w:spacing w:after="0" w:line="211" w:lineRule="exact"/>
        <w:rPr>
          <w:rFonts w:ascii="Arial" w:cs="Arial" w:eastAsia="Arial" w:hAnsi="Arial"/>
          <w:sz w:val="18"/>
          <w:szCs w:val="18"/>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648970</wp:posOffset>
            </wp:positionV>
            <wp:extent cx="1911350" cy="557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1911350" cy="5575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834,091 Common Shares of Beneficial Interest</w:t>
      </w:r>
    </w:p>
    <w:p>
      <w:pPr>
        <w:spacing w:after="0" w:line="72"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388620</wp:posOffset>
            </wp:positionV>
            <wp:extent cx="1474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May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22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211" w:lineRule="exact"/>
        <w:rPr>
          <w:sz w:val="20"/>
          <w:szCs w:val="20"/>
          <w:color w:val="auto"/>
        </w:rPr>
      </w:pPr>
    </w:p>
    <w:tbl>
      <w:tblPr>
        <w:tblLayout w:type="fixed"/>
        <w:tblInd w:w="1880" w:type="dxa"/>
        <w:tblCellMar>
          <w:top w:w="0" w:type="dxa"/>
          <w:left w:w="0" w:type="dxa"/>
          <w:bottom w:w="0" w:type="dxa"/>
          <w:right w:w="0" w:type="dxa"/>
        </w:tblCellMar>
      </w:tblPr>
      <w:tr>
        <w:trPr>
          <w:trHeight w:val="230"/>
        </w:trPr>
        <w:tc>
          <w:tcPr>
            <w:tcW w:w="6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20"/>
                <w:szCs w:val="20"/>
                <w:color w:val="auto"/>
              </w:rPr>
              <w:t>1,975</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Printing and Duplicating Costs</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6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9"/>
              </w:rPr>
              <w:t>10,000*</w:t>
            </w:r>
          </w:p>
        </w:tc>
      </w:tr>
      <w:tr>
        <w:trPr>
          <w:trHeight w:val="216"/>
        </w:trPr>
        <w:tc>
          <w:tcPr>
            <w:tcW w:w="6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37"/>
        </w:trPr>
        <w:tc>
          <w:tcPr>
            <w:tcW w:w="6700" w:type="dxa"/>
            <w:vAlign w:val="bottom"/>
          </w:tcPr>
          <w:p>
            <w:pPr>
              <w:ind w:left="36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8"/>
              </w:rPr>
              <w:t>25,475</w:t>
            </w:r>
          </w:p>
        </w:tc>
        <w:tc>
          <w:tcPr>
            <w:tcW w:w="120" w:type="dxa"/>
            <w:vAlign w:val="bottom"/>
          </w:tcPr>
          <w:p>
            <w:pPr>
              <w:jc w:val="right"/>
              <w:spacing w:after="0"/>
              <w:rPr>
                <w:sz w:val="20"/>
                <w:szCs w:val="20"/>
                <w:color w:val="auto"/>
              </w:rPr>
            </w:pPr>
            <w:r>
              <w:rPr>
                <w:rFonts w:ascii="Arial" w:cs="Arial" w:eastAsia="Arial" w:hAnsi="Arial"/>
                <w:sz w:val="20"/>
                <w:szCs w:val="20"/>
                <w:color w:val="auto"/>
                <w:w w:val="76"/>
              </w:rPr>
              <w:t>*</w:t>
            </w:r>
          </w:p>
        </w:tc>
      </w:tr>
      <w:tr>
        <w:trPr>
          <w:trHeight w:val="20"/>
        </w:trPr>
        <w:tc>
          <w:tcPr>
            <w:tcW w:w="67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Estimated</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Trustees and Officers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78"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or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95"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68" w:lineRule="exact"/>
        <w:rPr>
          <w:sz w:val="20"/>
          <w:szCs w:val="20"/>
          <w:color w:val="auto"/>
        </w:rPr>
      </w:pPr>
    </w:p>
    <w:p>
      <w:pPr>
        <w:ind w:left="120" w:right="520"/>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31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300" w:type="dxa"/>
            <w:vAlign w:val="bottom"/>
            <w:gridSpan w:val="10"/>
            <w:vMerge w:val="restart"/>
          </w:tcPr>
          <w:p>
            <w:pPr>
              <w:ind w:left="3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5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300" w:type="dxa"/>
            <w:vAlign w:val="bottom"/>
            <w:tcBorders>
              <w:bottom w:val="single" w:sz="8" w:color="auto"/>
            </w:tcBorders>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2"/>
                <w:szCs w:val="22"/>
                <w:color w:val="auto"/>
              </w:rPr>
            </w:pPr>
          </w:p>
        </w:tc>
        <w:tc>
          <w:tcPr>
            <w:tcW w:w="10040" w:type="dxa"/>
            <w:vAlign w:val="bottom"/>
            <w:gridSpan w:val="11"/>
          </w:tcPr>
          <w:p>
            <w:pPr>
              <w:spacing w:after="0"/>
              <w:rPr>
                <w:rFonts w:ascii="Arial" w:cs="Arial" w:eastAsia="Arial" w:hAnsi="Arial"/>
                <w:sz w:val="18"/>
                <w:szCs w:val="18"/>
                <w:color w:val="0000EE"/>
                <w:w w:val="93"/>
              </w:rPr>
            </w:pPr>
            <w:hyperlink r:id="rId71">
              <w:r>
                <w:rPr>
                  <w:rFonts w:ascii="Arial" w:cs="Arial" w:eastAsia="Arial" w:hAnsi="Arial"/>
                  <w:sz w:val="18"/>
                  <w:szCs w:val="18"/>
                  <w:color w:val="0000EE"/>
                  <w:w w:val="93"/>
                </w:rPr>
                <w:t>Declaration of Trust of Federal Realty Investment Trust dated May 5, 1999 as amended by the Articles of Amendment of Declaration of</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4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Trust of Federal Realty Investment Trust dated May 6, 2004, as corrected by the Certificate of Correction of Articles of Amendment of</w:t>
              </w:r>
            </w:hyperlink>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40" w:type="dxa"/>
            <w:vAlign w:val="bottom"/>
            <w:gridSpan w:val="11"/>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Declaration of Trust of Federal Realty Investment Trust dated June 17, 2004, as amended by the Articles of Amendment of Declaration of</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40" w:type="dxa"/>
            <w:vAlign w:val="bottom"/>
            <w:gridSpan w:val="11"/>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Trust of Federal Realty Investment Trust dated May 6, 2009 (previously filed as Exhibit 3.1 to the Trust’s Registration Statement on Form</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S-3, filed on June 16, 2009 (File No. 333-160009) and incorporated herein by reference)</w:t>
              </w:r>
            </w:hyperlink>
          </w:p>
        </w:tc>
        <w:tc>
          <w:tcPr>
            <w:tcW w:w="3560" w:type="dxa"/>
            <w:vAlign w:val="bottom"/>
            <w:tcBorders>
              <w:top w:val="single" w:sz="8" w:color="0000EE"/>
            </w:tcBorders>
            <w:gridSpan w:val="7"/>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10040" w:type="dxa"/>
            <w:vAlign w:val="bottom"/>
            <w:gridSpan w:val="11"/>
          </w:tcPr>
          <w:p>
            <w:pPr>
              <w:spacing w:after="0"/>
              <w:rPr>
                <w:rFonts w:ascii="Arial" w:cs="Arial" w:eastAsia="Arial" w:hAnsi="Arial"/>
                <w:sz w:val="18"/>
                <w:szCs w:val="18"/>
                <w:color w:val="0000EE"/>
                <w:w w:val="90"/>
              </w:rPr>
            </w:pPr>
            <w:hyperlink r:id="rId72">
              <w:r>
                <w:rPr>
                  <w:rFonts w:ascii="Arial" w:cs="Arial" w:eastAsia="Arial" w:hAnsi="Arial"/>
                  <w:sz w:val="18"/>
                  <w:szCs w:val="18"/>
                  <w:color w:val="0000EE"/>
                  <w:w w:val="90"/>
                </w:rPr>
                <w:t>Amended and Restated Bylaws of Federal Realty Investment Trust dated February 12, 2003, as amended October 29, 2003, May 5, 2004,</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80" w:type="dxa"/>
            <w:vAlign w:val="bottom"/>
            <w:tcBorders>
              <w:top w:val="single" w:sz="8" w:color="0000EE"/>
            </w:tcBorders>
            <w:gridSpan w:val="10"/>
          </w:tcPr>
          <w:p>
            <w:pPr>
              <w:spacing w:after="0" w:line="19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February 17, 2006, May 6, 2009, November 2, 2016, February 5, 2019, April 2, 2020 and February 10, 2021 (previously filed as Exhibit</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3.</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Trust’s Quarterly Report on Form 10-Q for the quarter ended March 31, 2021 (File No. 1-07533) and incorporated herein by</w:t>
              </w:r>
            </w:hyperlink>
          </w:p>
        </w:tc>
        <w:tc>
          <w:tcPr>
            <w:tcW w:w="140" w:type="dxa"/>
            <w:vAlign w:val="bottom"/>
            <w:tcBorders>
              <w:top w:val="single" w:sz="8" w:color="0000EE"/>
            </w:tcBorders>
            <w:gridSpan w:val="2"/>
          </w:tcPr>
          <w:p>
            <w:pPr>
              <w:spacing w:after="0"/>
              <w:rPr>
                <w:sz w:val="17"/>
                <w:szCs w:val="17"/>
                <w:color w:val="auto"/>
              </w:rPr>
            </w:pP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72">
              <w:r>
                <w:rPr>
                  <w:rFonts w:ascii="Arial" w:cs="Arial" w:eastAsia="Arial" w:hAnsi="Arial"/>
                  <w:sz w:val="18"/>
                  <w:szCs w:val="18"/>
                  <w:color w:val="0000EE"/>
                  <w:w w:val="87"/>
                </w:rPr>
                <w:t>reference)</w:t>
              </w:r>
            </w:hyperlink>
          </w:p>
        </w:tc>
        <w:tc>
          <w:tcPr>
            <w:tcW w:w="9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10040" w:type="dxa"/>
            <w:vAlign w:val="bottom"/>
            <w:gridSpan w:val="11"/>
          </w:tcPr>
          <w:p>
            <w:pPr>
              <w:spacing w:after="0"/>
              <w:rPr>
                <w:rFonts w:ascii="Arial" w:cs="Arial" w:eastAsia="Arial" w:hAnsi="Arial"/>
                <w:sz w:val="18"/>
                <w:szCs w:val="18"/>
                <w:color w:val="0000EE"/>
                <w:w w:val="97"/>
              </w:rPr>
            </w:pPr>
            <w:hyperlink r:id="rId73">
              <w:r>
                <w:rPr>
                  <w:rFonts w:ascii="Arial" w:cs="Arial" w:eastAsia="Arial" w:hAnsi="Arial"/>
                  <w:sz w:val="18"/>
                  <w:szCs w:val="18"/>
                  <w:color w:val="0000EE"/>
                  <w:w w:val="97"/>
                </w:rPr>
                <w:t>Specimen Common Share certificate (previously filed as Exhibit 4(i) to the Trust’s Annual Report on Form 10-K for the year ended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December 31, 1999 (File No. 1-07533) and incorporated herein by reference)</w:t>
              </w:r>
            </w:hyperlink>
          </w:p>
        </w:tc>
        <w:tc>
          <w:tcPr>
            <w:tcW w:w="5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560" w:type="dxa"/>
            <w:vAlign w:val="bottom"/>
            <w:gridSpan w:val="2"/>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10040" w:type="dxa"/>
            <w:vAlign w:val="bottom"/>
            <w:gridSpan w:val="1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Opinion of Pillsbury Winthrop Shaw Pittman LLP regarding the legality of the securities being registered</w:t>
              </w:r>
            </w:hyperlink>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840" w:type="dxa"/>
            <w:vAlign w:val="bottom"/>
            <w:tcBorders>
              <w:top w:val="single" w:sz="8" w:color="0000EE"/>
            </w:tcBorders>
            <w:gridSpan w:val="3"/>
          </w:tcPr>
          <w:p>
            <w:pPr>
              <w:ind w:left="3640"/>
              <w:spacing w:after="0"/>
              <w:rPr>
                <w:sz w:val="20"/>
                <w:szCs w:val="20"/>
                <w:color w:val="auto"/>
              </w:rPr>
            </w:pPr>
            <w:r>
              <w:rPr>
                <w:rFonts w:ascii="Arial" w:cs="Arial" w:eastAsia="Arial" w:hAnsi="Arial"/>
                <w:sz w:val="18"/>
                <w:szCs w:val="18"/>
                <w:color w:val="auto"/>
              </w:rPr>
              <w:t>II-2</w:t>
            </w:r>
          </w:p>
        </w:tc>
        <w:tc>
          <w:tcPr>
            <w:tcW w:w="24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8.1*</w:t>
      </w:r>
      <w:r>
        <w:rPr>
          <w:sz w:val="20"/>
          <w:szCs w:val="20"/>
          <w:color w:val="auto"/>
        </w:rPr>
        <w:tab/>
      </w:r>
      <w:hyperlink w:anchor="page44">
        <w:r>
          <w:rPr>
            <w:rFonts w:ascii="Arial" w:cs="Arial" w:eastAsia="Arial" w:hAnsi="Arial"/>
            <w:sz w:val="16"/>
            <w:szCs w:val="16"/>
            <w:u w:val="single" w:color="auto"/>
            <w:color w:val="0000EE"/>
          </w:rPr>
          <w:t>Opinion of Pillsbury Winthrop Shaw Pittman LLP regarding certain federal income tax matters</w:t>
        </w:r>
      </w:hyperlink>
    </w:p>
    <w:p>
      <w:pPr>
        <w:spacing w:after="0" w:line="117" w:lineRule="exact"/>
        <w:rPr>
          <w:sz w:val="20"/>
          <w:szCs w:val="20"/>
          <w:color w:val="auto"/>
        </w:rPr>
      </w:pPr>
    </w:p>
    <w:p>
      <w:pPr>
        <w:ind w:left="120"/>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47">
        <w:r>
          <w:rPr>
            <w:rFonts w:ascii="Arial" w:cs="Arial" w:eastAsia="Arial" w:hAnsi="Arial"/>
            <w:sz w:val="16"/>
            <w:szCs w:val="16"/>
            <w:u w:val="single" w:color="auto"/>
            <w:color w:val="0000EE"/>
          </w:rPr>
          <w:t>Consent of Grant Thornton LLP</w:t>
        </w:r>
      </w:hyperlink>
    </w:p>
    <w:p>
      <w:pPr>
        <w:spacing w:after="0" w:line="117" w:lineRule="exact"/>
        <w:rPr>
          <w:sz w:val="20"/>
          <w:szCs w:val="20"/>
          <w:color w:val="auto"/>
        </w:rPr>
      </w:pPr>
    </w:p>
    <w:p>
      <w:pPr>
        <w:ind w:left="120"/>
        <w:spacing w:after="0"/>
        <w:tabs>
          <w:tab w:leader="none" w:pos="920" w:val="left"/>
        </w:tabs>
        <w:rPr>
          <w:rFonts w:ascii="Arial" w:cs="Arial" w:eastAsia="Arial" w:hAnsi="Arial"/>
          <w:sz w:val="16"/>
          <w:szCs w:val="16"/>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 xml:space="preserve">Consent of Pillsbury Winthrop Shaw Pittman LLP (included in </w:t>
      </w:r>
      <w:hyperlink w:anchor="page42">
        <w:r>
          <w:rPr>
            <w:rFonts w:ascii="Arial" w:cs="Arial" w:eastAsia="Arial" w:hAnsi="Arial"/>
            <w:sz w:val="16"/>
            <w:szCs w:val="16"/>
            <w:u w:val="single" w:color="auto"/>
            <w:color w:val="0000EE"/>
          </w:rPr>
          <w:t>Exhibits 5.1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44">
        <w:r>
          <w:rPr>
            <w:rFonts w:ascii="Arial" w:cs="Arial" w:eastAsia="Arial" w:hAnsi="Arial"/>
            <w:sz w:val="16"/>
            <w:szCs w:val="16"/>
            <w:u w:val="single" w:color="auto"/>
            <w:color w:val="0000EE"/>
          </w:rPr>
          <w:t>8.1</w:t>
        </w:r>
      </w:hyperlink>
      <w:r>
        <w:rPr>
          <w:rFonts w:ascii="Arial" w:cs="Arial" w:eastAsia="Arial" w:hAnsi="Arial"/>
          <w:sz w:val="16"/>
          <w:szCs w:val="16"/>
          <w:color w:val="auto"/>
        </w:rPr>
        <w:t>)</w:t>
      </w:r>
    </w:p>
    <w:p>
      <w:pPr>
        <w:spacing w:after="0" w:line="117" w:lineRule="exact"/>
        <w:rPr>
          <w:sz w:val="20"/>
          <w:szCs w:val="20"/>
          <w:color w:val="auto"/>
        </w:rPr>
      </w:pPr>
    </w:p>
    <w:p>
      <w:pPr>
        <w:ind w:left="120"/>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48">
        <w:r>
          <w:rPr>
            <w:rFonts w:ascii="Arial" w:cs="Arial" w:eastAsia="Arial" w:hAnsi="Arial"/>
            <w:sz w:val="16"/>
            <w:szCs w:val="16"/>
            <w:u w:val="single" w:color="auto"/>
            <w:color w:val="0000EE"/>
          </w:rPr>
          <w:t>Power of Attorney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Included with this filing.</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380" w:hanging="264"/>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 as amended;</w:t>
      </w:r>
    </w:p>
    <w:p>
      <w:pPr>
        <w:spacing w:after="0" w:line="225" w:lineRule="exact"/>
        <w:rPr>
          <w:sz w:val="20"/>
          <w:szCs w:val="20"/>
          <w:color w:val="auto"/>
        </w:rPr>
      </w:pPr>
    </w:p>
    <w:p>
      <w:pPr>
        <w:ind w:left="120" w:right="220" w:hanging="4"/>
        <w:spacing w:after="0" w:line="254" w:lineRule="auto"/>
        <w:tabs>
          <w:tab w:leader="none" w:pos="3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94" w:lineRule="exact"/>
        <w:rPr>
          <w:rFonts w:ascii="Arial" w:cs="Arial" w:eastAsia="Arial" w:hAnsi="Arial"/>
          <w:sz w:val="18"/>
          <w:szCs w:val="18"/>
          <w:color w:val="auto"/>
        </w:rPr>
      </w:pPr>
    </w:p>
    <w:p>
      <w:pPr>
        <w:ind w:left="120" w:right="400" w:hanging="4"/>
        <w:spacing w:after="0" w:line="277" w:lineRule="auto"/>
        <w:tabs>
          <w:tab w:leader="none" w:pos="4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71" w:lineRule="exact"/>
        <w:rPr>
          <w:sz w:val="20"/>
          <w:szCs w:val="20"/>
          <w:color w:val="auto"/>
        </w:rPr>
      </w:pPr>
    </w:p>
    <w:p>
      <w:pPr>
        <w:jc w:val="both"/>
        <w:ind w:left="120" w:hanging="4"/>
        <w:spacing w:after="0" w:line="263" w:lineRule="auto"/>
        <w:tabs>
          <w:tab w:leader="none" w:pos="3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183" w:lineRule="exact"/>
        <w:rPr>
          <w:rFonts w:ascii="Arial" w:cs="Arial" w:eastAsia="Arial" w:hAnsi="Arial"/>
          <w:sz w:val="18"/>
          <w:szCs w:val="18"/>
          <w:color w:val="auto"/>
        </w:rPr>
      </w:pPr>
    </w:p>
    <w:p>
      <w:pPr>
        <w:ind w:left="120" w:right="20" w:hanging="4"/>
        <w:spacing w:after="0" w:line="277" w:lineRule="auto"/>
        <w:tabs>
          <w:tab w:leader="none" w:pos="3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80" w:hanging="264"/>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225" w:lineRule="exact"/>
        <w:rPr>
          <w:sz w:val="20"/>
          <w:szCs w:val="20"/>
          <w:color w:val="auto"/>
        </w:rPr>
      </w:pPr>
    </w:p>
    <w:p>
      <w:pPr>
        <w:ind w:left="120" w:right="480" w:hanging="4"/>
        <w:spacing w:after="0" w:line="277"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20" w:right="40" w:hanging="4"/>
        <w:spacing w:after="0" w:line="269" w:lineRule="auto"/>
        <w:tabs>
          <w:tab w:leader="none" w:pos="385"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20" w:hanging="4"/>
        <w:spacing w:after="0" w:line="277" w:lineRule="auto"/>
        <w:tabs>
          <w:tab w:leader="none" w:pos="3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17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25" w:lineRule="exact"/>
        <w:rPr>
          <w:rFonts w:ascii="Arial" w:cs="Arial" w:eastAsia="Arial" w:hAnsi="Arial"/>
          <w:sz w:val="18"/>
          <w:szCs w:val="18"/>
          <w:color w:val="auto"/>
        </w:rPr>
      </w:pPr>
    </w:p>
    <w:p>
      <w:pPr>
        <w:ind w:left="120" w:right="200" w:hanging="4"/>
        <w:spacing w:after="0" w:line="277" w:lineRule="auto"/>
        <w:tabs>
          <w:tab w:leader="none" w:pos="3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20" w:right="500" w:hanging="4"/>
        <w:spacing w:after="0" w:line="277" w:lineRule="auto"/>
        <w:tabs>
          <w:tab w:leader="none" w:pos="4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420" w:hanging="304"/>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60" w:hanging="4"/>
        <w:spacing w:after="0" w:line="257" w:lineRule="auto"/>
        <w:tabs>
          <w:tab w:leader="none" w:pos="3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7" w:lineRule="exact"/>
        <w:rPr>
          <w:rFonts w:ascii="Arial" w:cs="Arial" w:eastAsia="Arial" w:hAnsi="Arial"/>
          <w:sz w:val="18"/>
          <w:szCs w:val="18"/>
          <w:color w:val="auto"/>
        </w:rPr>
      </w:pPr>
    </w:p>
    <w:p>
      <w:pPr>
        <w:ind w:left="120" w:hanging="4"/>
        <w:spacing w:after="0" w:line="290" w:lineRule="auto"/>
        <w:tabs>
          <w:tab w:leader="none" w:pos="365"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North Bethesda, State of Maryland, on May 7, 2021.</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Executive Vice President-General Counsel</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and Secretary</w:t>
      </w:r>
    </w:p>
    <w:p>
      <w:pPr>
        <w:spacing w:after="0" w:line="22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18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412"/>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w w:val="98"/>
              </w:rPr>
              <w:t>Chief Executive Officer (principal executive officer) and Trustee</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May 7,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Donald C. Wood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Guglielmone</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w w:val="98"/>
              </w:rPr>
              <w:t>Executive Vice President-Chief Financial Officer and Treasurer</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May 7,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Daniel Guglielmone</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 and Non-Executive Chairman</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May 7,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David W. Faeder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May 7,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Elizabeth I. Holland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May 7,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Nicole Y. Lamb-Hale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May 7,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Anthony P. Nader, III</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May 7,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Mark S. Ordan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May 7,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Gail P. Steinel</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203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Attorney-in-fact</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909 Rose Avenue,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Bethesda, Maryland 20852</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are acting as counsel for Federal Realty Investment Trust, a Maryland real estate investment trust (the “Company”), in connection with the Registration Statement on Form S-3 relating to the registration under the Securities Act of 1933 (the “Act”) of 834,091 common shares of beneficial interest, par value $0.01 per share (the “Common Shares”), of the Company, all of which are authorized but heretofore unissued shares to be offered and sold by certain shareholders of the Company (the “Selling Shareholder Shares”). (Such Registration Statement, as the same may be amended from time to time, is herein referred to as the “Registration Statement.”) The Selling Shareholder Shares are comprised of Common Shares issuable upon (i) the conversion of the Company’s outstanding 5.147% Series 1 Cumulative Convertible Preferred Shares of Beneficial Interest, par value $0.01 per share (the “Preferred Shares”), or (ii) the redemption of outstanding units (the “DownREIT Units”) of limited partnership interest or limited liability company interest, as the case may be, in each of (A) NVI-Avenue, LLC, (B) Route 35 Shrewsbury Limited Partnership, (C) Shrewsbury Commons L.P., (D) Sea Girt Limited Partnership, (E) 35 West, LLC and (F) Federal Realty Partners, L.P. (such entities in items (A) through (F), collectively the “DownREIT Entities”).</w:t>
      </w:r>
    </w:p>
    <w:p>
      <w:pPr>
        <w:spacing w:after="0" w:line="1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reviewed and are familiar with such documents, corporate proceedings and other matters as we have considered relevant or necessary as a basis for this opinion. On the basis of the foregoing and the assumptions set forth below, and subject to the other qualifications and limitations set forth herein, we are of the opinion that the Selling Shareholder Shares have been duly authorized and, upon (i) conversion of the Preferred Shares into Common Shares in accordance with the Articles Supplementary establishing and fixing the rights and preferences of the Preferred Shares and (ii) redemption of the DownREIT Units for Common Shares in accordance with the agreement of limited partnership or operating agreement, as applicable, of each of the DownREIT Entities, will be validly issued, fully paid and nonassessable.</w:t>
      </w:r>
    </w:p>
    <w:p>
      <w:pPr>
        <w:spacing w:after="0" w:line="17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have assumed that (a) at or prior to the time of the delivery of any of the Selling Shareholder Shares, the Registration Statement will be effective under the Act, (b) at the time of issuance, the Company has a sufficient number of authorized but unissued Common Shares under the Declaration of Trust of the Company, as amended and corrected, and (c) the Company’s Board of Trustees shall not have rescinded or otherwise modified the authorization of the Selling Shareholder Shares.</w:t>
      </w:r>
    </w:p>
    <w:p>
      <w:pPr>
        <w:sectPr>
          <w:pgSz w:w="11900" w:h="16838" w:orient="portrait"/>
          <w:cols w:equalWidth="0" w:num="1">
            <w:col w:w="11020"/>
          </w:cols>
          <w:pgMar w:left="440" w:top="121"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opinion is limited to matters governed by the law of the State of Maryland.</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filing of this opinion as Exhibit 5.1 to the Registration Statement and to the use of our name under the caption “Legal Matters” in the Registration Statement and in the Prospectus included therein. In giving this consent, we do not thereby admit that we are within the category of persons whose consent is required under Section 7 of the Act or the rules and regulations of the Securities and Exchange Commission promulgated thereunder.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43" w:name="page44"/>
    <w:bookmarkEnd w:id="43"/>
    <w:p>
      <w:pPr>
        <w:ind w:left="10184"/>
        <w:spacing w:after="0"/>
        <w:rPr>
          <w:sz w:val="20"/>
          <w:szCs w:val="20"/>
          <w:color w:val="auto"/>
        </w:rPr>
      </w:pPr>
      <w:r>
        <w:rPr>
          <w:rFonts w:ascii="Arial" w:cs="Arial" w:eastAsia="Arial" w:hAnsi="Arial"/>
          <w:sz w:val="16"/>
          <w:szCs w:val="16"/>
          <w:b w:val="1"/>
          <w:bCs w:val="1"/>
          <w:color w:val="auto"/>
        </w:rPr>
        <w:t>Exhibit 8.1</w:t>
      </w:r>
    </w:p>
    <w:p>
      <w:pPr>
        <w:sectPr>
          <w:pgSz w:w="11900" w:h="16838" w:orient="portrait"/>
          <w:cols w:equalWidth="0" w:num="1">
            <w:col w:w="11024"/>
          </w:cols>
          <w:pgMar w:left="436" w:top="121" w:right="439" w:bottom="1440" w:gutter="0" w:footer="0" w:header="0"/>
        </w:sectPr>
      </w:pPr>
    </w:p>
    <w:p>
      <w:pPr>
        <w:spacing w:after="0" w:line="279" w:lineRule="exact"/>
        <w:rPr>
          <w:sz w:val="20"/>
          <w:szCs w:val="20"/>
          <w:color w:val="auto"/>
        </w:rPr>
      </w:pPr>
    </w:p>
    <w:p>
      <w:pPr>
        <w:ind w:left="6624"/>
        <w:spacing w:after="0"/>
        <w:rPr>
          <w:sz w:val="20"/>
          <w:szCs w:val="20"/>
          <w:color w:val="auto"/>
        </w:rPr>
      </w:pPr>
      <w:r>
        <w:rPr>
          <w:rFonts w:ascii="Arial" w:cs="Arial" w:eastAsia="Arial" w:hAnsi="Arial"/>
          <w:sz w:val="16"/>
          <w:szCs w:val="16"/>
          <w:color w:val="auto"/>
        </w:rPr>
        <w:t>1200 Seventeenth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882650" cy="5657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882650" cy="565785"/>
                    </a:xfrm>
                    <a:prstGeom prst="rect">
                      <a:avLst/>
                    </a:prstGeom>
                    <a:noFill/>
                  </pic:spPr>
                </pic:pic>
              </a:graphicData>
            </a:graphic>
          </wp:anchor>
        </w:drawing>
      </w:r>
    </w:p>
    <w:p>
      <w:pPr>
        <w:spacing w:after="0" w:line="26" w:lineRule="exact"/>
        <w:rPr>
          <w:sz w:val="20"/>
          <w:szCs w:val="20"/>
          <w:color w:val="auto"/>
        </w:rPr>
      </w:pPr>
    </w:p>
    <w:p>
      <w:pPr>
        <w:ind w:left="6624"/>
        <w:spacing w:after="0"/>
        <w:rPr>
          <w:sz w:val="20"/>
          <w:szCs w:val="20"/>
          <w:color w:val="auto"/>
        </w:rPr>
      </w:pPr>
      <w:r>
        <w:rPr>
          <w:rFonts w:ascii="Arial" w:cs="Arial" w:eastAsia="Arial" w:hAnsi="Arial"/>
          <w:sz w:val="16"/>
          <w:szCs w:val="16"/>
          <w:color w:val="auto"/>
        </w:rPr>
        <w:t>Washington, DC 20036-3006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Tel 202.663.8000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202.663.8007</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www.pillsburylaw.com</w:t>
      </w:r>
    </w:p>
    <w:p>
      <w:pPr>
        <w:spacing w:after="0" w:line="200" w:lineRule="exact"/>
        <w:rPr>
          <w:sz w:val="20"/>
          <w:szCs w:val="20"/>
          <w:color w:val="auto"/>
        </w:rPr>
      </w:pPr>
    </w:p>
    <w:p>
      <w:pPr>
        <w:sectPr>
          <w:pgSz w:w="11900" w:h="16838" w:orient="portrait"/>
          <w:cols w:equalWidth="0" w:num="2">
            <w:col w:w="8744" w:space="400"/>
            <w:col w:w="1880"/>
          </w:cols>
          <w:pgMar w:left="436" w:top="121" w:right="439" w:bottom="1440" w:gutter="0" w:footer="0" w:header="0"/>
          <w:type w:val="continuous"/>
        </w:sectPr>
      </w:pPr>
    </w:p>
    <w:p>
      <w:pPr>
        <w:spacing w:after="0" w:line="279"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May 7,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909 Rose Avenue, Suite 200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North Bethesda, Maryland 20852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registration statement on Form S-3 with respect to common shares of the Company that may be issued to holders of certain preferred shares and downREIT unitholders (the “Registration Statement”) on May 7, 2021, which term includes a prospectus (the “Prospectus”) and all documents incorporated and deemed to be incorporated by reference therein) with the Securities and Exchange Commission.</w:t>
      </w:r>
    </w:p>
    <w:p>
      <w:pPr>
        <w:spacing w:after="0" w:line="188" w:lineRule="exact"/>
        <w:rPr>
          <w:sz w:val="20"/>
          <w:szCs w:val="20"/>
          <w:color w:val="auto"/>
        </w:rPr>
      </w:pPr>
    </w:p>
    <w:p>
      <w:pPr>
        <w:jc w:val="both"/>
        <w:ind w:left="4" w:right="40" w:firstLine="440"/>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spacing w:after="0" w:line="2" w:lineRule="exact"/>
        <w:rPr>
          <w:sz w:val="20"/>
          <w:szCs w:val="20"/>
          <w:color w:val="auto"/>
        </w:rPr>
      </w:pPr>
    </w:p>
    <w:p>
      <w:pPr>
        <w:ind w:left="4" w:right="160" w:hanging="4"/>
        <w:spacing w:after="0" w:line="268" w:lineRule="auto"/>
        <w:tabs>
          <w:tab w:leader="none" w:pos="259" w:val="left"/>
        </w:tabs>
        <w:numPr>
          <w:ilvl w:val="0"/>
          <w:numId w:val="39"/>
        </w:numPr>
        <w:rPr>
          <w:rFonts w:ascii="Arial" w:cs="Arial" w:eastAsia="Arial" w:hAnsi="Arial"/>
          <w:sz w:val="17"/>
          <w:szCs w:val="17"/>
          <w:color w:val="auto"/>
        </w:rPr>
      </w:pPr>
      <w:r>
        <w:rPr>
          <w:rFonts w:ascii="Arial" w:cs="Arial" w:eastAsia="Arial" w:hAnsi="Arial"/>
          <w:sz w:val="17"/>
          <w:szCs w:val="17"/>
          <w:color w:val="auto"/>
        </w:rPr>
        <w:t>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83"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024"/>
          </w:cols>
          <w:pgMar w:left="436" w:top="121" w:right="4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92"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2021;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(2021) taxable year and for future taxable years, and (iii) the discussions in (x) the Prospectus under the caption “Material Federal Income Tax Considerations,” and (y) the Company’s Annual Report on Form 10-K for the year ended December 31, 2020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“Risk Factors–To maintain our status as a REIT, we limit the amount of shares any one shareholder can own,” and “Risk Factors– Legislative, administrative, regulatory or other actions affecting REITs, including positions taken by the IRS, could have a material adverse effect on us and our investors,” which are incorporated by reference into the Registration Statement, to the extent that they discuss matters of law or legal conclusions or purport to describe certain provisions of the federal tax laws, are correct summaries of the matters discussed therein.</w:t>
      </w:r>
    </w:p>
    <w:p>
      <w:pPr>
        <w:spacing w:after="0" w:line="168"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000"/>
          </w:cols>
          <w:pgMar w:left="440" w:top="274"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0980"/>
          </w:cols>
          <w:pgMar w:left="440" w:top="274" w:right="4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issued our reports dated February 11, 2021, with respect to the consolidated financial statements and internal control over financial reporting of Federal Realty Investment Trust, included in the Annual Report on Form 10-K for the year ended December 31, 2020, which are incorporated by reference in this Registration Statement. We consent to the incorporation by reference of the aforementioned reports in this Registration Statement and to the use of our name as it appears under the caption “Experts.”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ectPr>
          <w:pgSz w:w="11900" w:h="16838" w:orient="portrait"/>
          <w:cols w:equalWidth="0" w:num="1">
            <w:col w:w="11020"/>
          </w:cols>
          <w:pgMar w:left="440" w:top="121"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Daniel Guglielmone and Dawn M. Becker, and each and any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 under the Securities Act of 1933, including specifically, but without limitation, any and all amendments (including post-effective amendments) hereto and thereto; and we hereby ratify and confirm all that said attorneys and agents, or any of them, shall do or cause to be done by virtue thereof.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16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w:t>
            </w:r>
          </w:p>
        </w:tc>
        <w:tc>
          <w:tcPr>
            <w:tcW w:w="2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260" w:type="dxa"/>
            <w:vAlign w:val="bottom"/>
          </w:tcPr>
          <w:p>
            <w:pPr>
              <w:spacing w:after="0"/>
              <w:rPr>
                <w:sz w:val="14"/>
                <w:szCs w:val="14"/>
                <w:color w:val="auto"/>
              </w:rPr>
            </w:pPr>
          </w:p>
        </w:tc>
      </w:tr>
      <w:tr>
        <w:trPr>
          <w:trHeight w:val="425"/>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1660" w:type="dxa"/>
            <w:vAlign w:val="bottom"/>
            <w:tcBorders>
              <w:bottom w:val="single" w:sz="8" w:color="auto"/>
            </w:tcBorders>
          </w:tcPr>
          <w:p>
            <w:pPr>
              <w:spacing w:after="0"/>
              <w:rPr>
                <w:sz w:val="24"/>
                <w:szCs w:val="24"/>
                <w:color w:val="auto"/>
              </w:rPr>
            </w:pPr>
          </w:p>
        </w:tc>
        <w:tc>
          <w:tcPr>
            <w:tcW w:w="5380" w:type="dxa"/>
            <w:vAlign w:val="bottom"/>
            <w:gridSpan w:val="3"/>
          </w:tcPr>
          <w:p>
            <w:pPr>
              <w:ind w:left="440"/>
              <w:spacing w:after="0"/>
              <w:rPr>
                <w:sz w:val="20"/>
                <w:szCs w:val="20"/>
                <w:color w:val="auto"/>
              </w:rPr>
            </w:pPr>
            <w:r>
              <w:rPr>
                <w:rFonts w:ascii="Arial" w:cs="Arial" w:eastAsia="Arial" w:hAnsi="Arial"/>
                <w:sz w:val="18"/>
                <w:szCs w:val="18"/>
                <w:color w:val="auto"/>
                <w:w w:val="97"/>
              </w:rPr>
              <w:t>Chief Executive Officer and Trustee (principal executive officer)</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1660" w:type="dxa"/>
            <w:vAlign w:val="bottom"/>
            <w:tcBorders>
              <w:bottom w:val="single" w:sz="8" w:color="auto"/>
            </w:tcBorders>
          </w:tcPr>
          <w:p>
            <w:pPr>
              <w:spacing w:after="0"/>
              <w:rPr>
                <w:sz w:val="24"/>
                <w:szCs w:val="24"/>
                <w:color w:val="auto"/>
              </w:rPr>
            </w:pPr>
          </w:p>
        </w:tc>
        <w:tc>
          <w:tcPr>
            <w:tcW w:w="5380" w:type="dxa"/>
            <w:vAlign w:val="bottom"/>
            <w:gridSpan w:val="3"/>
          </w:tcPr>
          <w:p>
            <w:pPr>
              <w:ind w:left="440"/>
              <w:spacing w:after="0"/>
              <w:rPr>
                <w:sz w:val="20"/>
                <w:szCs w:val="20"/>
                <w:color w:val="auto"/>
              </w:rPr>
            </w:pPr>
            <w:r>
              <w:rPr>
                <w:rFonts w:ascii="Arial" w:cs="Arial" w:eastAsia="Arial" w:hAnsi="Arial"/>
                <w:sz w:val="18"/>
                <w:szCs w:val="18"/>
                <w:color w:val="auto"/>
              </w:rPr>
              <w:t>Executive Vice President and Chief Financial Officer and</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1660" w:type="dxa"/>
            <w:vAlign w:val="bottom"/>
          </w:tcPr>
          <w:p>
            <w:pPr>
              <w:spacing w:after="0"/>
              <w:rPr>
                <w:sz w:val="19"/>
                <w:szCs w:val="19"/>
                <w:color w:val="auto"/>
              </w:rPr>
            </w:pPr>
          </w:p>
        </w:tc>
        <w:tc>
          <w:tcPr>
            <w:tcW w:w="5380" w:type="dxa"/>
            <w:vAlign w:val="bottom"/>
            <w:gridSpan w:val="3"/>
          </w:tcPr>
          <w:p>
            <w:pPr>
              <w:ind w:left="440"/>
              <w:spacing w:after="0"/>
              <w:rPr>
                <w:sz w:val="20"/>
                <w:szCs w:val="20"/>
                <w:color w:val="auto"/>
              </w:rPr>
            </w:pPr>
            <w:r>
              <w:rPr>
                <w:rFonts w:ascii="Arial" w:cs="Arial" w:eastAsia="Arial" w:hAnsi="Arial"/>
                <w:sz w:val="18"/>
                <w:szCs w:val="18"/>
                <w:color w:val="auto"/>
              </w:rPr>
              <w:t>Treasurer (principal financial and accounting officer)</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1660" w:type="dxa"/>
            <w:vAlign w:val="bottom"/>
            <w:tcBorders>
              <w:bottom w:val="single" w:sz="8" w:color="auto"/>
            </w:tcBorders>
          </w:tcPr>
          <w:p>
            <w:pPr>
              <w:spacing w:after="0"/>
              <w:rPr>
                <w:sz w:val="24"/>
                <w:szCs w:val="24"/>
                <w:color w:val="auto"/>
              </w:rPr>
            </w:pPr>
          </w:p>
        </w:tc>
        <w:tc>
          <w:tcPr>
            <w:tcW w:w="5380" w:type="dxa"/>
            <w:vAlign w:val="bottom"/>
            <w:gridSpan w:val="3"/>
          </w:tcPr>
          <w:p>
            <w:pPr>
              <w:ind w:left="440"/>
              <w:spacing w:after="0"/>
              <w:rPr>
                <w:sz w:val="20"/>
                <w:szCs w:val="20"/>
                <w:color w:val="auto"/>
              </w:rPr>
            </w:pPr>
            <w:r>
              <w:rPr>
                <w:rFonts w:ascii="Arial" w:cs="Arial" w:eastAsia="Arial" w:hAnsi="Arial"/>
                <w:sz w:val="18"/>
                <w:szCs w:val="18"/>
                <w:color w:val="auto"/>
              </w:rPr>
              <w:t>Non-Executive Chairman</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Elizabeth I. Holland</w:t>
            </w:r>
          </w:p>
        </w:tc>
        <w:tc>
          <w:tcPr>
            <w:tcW w:w="1660" w:type="dxa"/>
            <w:vAlign w:val="bottom"/>
            <w:tcBorders>
              <w:bottom w:val="single" w:sz="8" w:color="auto"/>
            </w:tcBorders>
          </w:tcPr>
          <w:p>
            <w:pPr>
              <w:spacing w:after="0"/>
              <w:rPr>
                <w:sz w:val="24"/>
                <w:szCs w:val="24"/>
                <w:color w:val="auto"/>
              </w:rPr>
            </w:pPr>
          </w:p>
        </w:tc>
        <w:tc>
          <w:tcPr>
            <w:tcW w:w="538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Elizabeth I. Holland</w:t>
            </w:r>
          </w:p>
        </w:tc>
        <w:tc>
          <w:tcPr>
            <w:tcW w:w="1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Nicole Y. Lamb-Hale</w:t>
            </w:r>
          </w:p>
        </w:tc>
        <w:tc>
          <w:tcPr>
            <w:tcW w:w="1660" w:type="dxa"/>
            <w:vAlign w:val="bottom"/>
            <w:tcBorders>
              <w:bottom w:val="single" w:sz="8" w:color="auto"/>
            </w:tcBorders>
          </w:tcPr>
          <w:p>
            <w:pPr>
              <w:spacing w:after="0"/>
              <w:rPr>
                <w:sz w:val="24"/>
                <w:szCs w:val="24"/>
                <w:color w:val="auto"/>
              </w:rPr>
            </w:pPr>
          </w:p>
        </w:tc>
        <w:tc>
          <w:tcPr>
            <w:tcW w:w="538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Nicole Y. Lamb-Hale</w:t>
            </w:r>
          </w:p>
        </w:tc>
        <w:tc>
          <w:tcPr>
            <w:tcW w:w="1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Anthony P. Nader, III</w:t>
            </w:r>
          </w:p>
        </w:tc>
        <w:tc>
          <w:tcPr>
            <w:tcW w:w="1660" w:type="dxa"/>
            <w:vAlign w:val="bottom"/>
            <w:tcBorders>
              <w:bottom w:val="single" w:sz="8" w:color="auto"/>
            </w:tcBorders>
          </w:tcPr>
          <w:p>
            <w:pPr>
              <w:spacing w:after="0"/>
              <w:rPr>
                <w:sz w:val="24"/>
                <w:szCs w:val="24"/>
                <w:color w:val="auto"/>
              </w:rPr>
            </w:pPr>
          </w:p>
        </w:tc>
        <w:tc>
          <w:tcPr>
            <w:tcW w:w="538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Anthony P. Nader, III</w:t>
            </w:r>
          </w:p>
        </w:tc>
        <w:tc>
          <w:tcPr>
            <w:tcW w:w="1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S. Ordan</w:t>
            </w:r>
          </w:p>
        </w:tc>
        <w:tc>
          <w:tcPr>
            <w:tcW w:w="1660" w:type="dxa"/>
            <w:vAlign w:val="bottom"/>
            <w:tcBorders>
              <w:bottom w:val="single" w:sz="8" w:color="auto"/>
            </w:tcBorders>
          </w:tcPr>
          <w:p>
            <w:pPr>
              <w:spacing w:after="0"/>
              <w:rPr>
                <w:sz w:val="24"/>
                <w:szCs w:val="24"/>
                <w:color w:val="auto"/>
              </w:rPr>
            </w:pPr>
          </w:p>
        </w:tc>
        <w:tc>
          <w:tcPr>
            <w:tcW w:w="538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Gail P. Steinel</w:t>
            </w:r>
          </w:p>
        </w:tc>
        <w:tc>
          <w:tcPr>
            <w:tcW w:w="1660" w:type="dxa"/>
            <w:vAlign w:val="bottom"/>
            <w:tcBorders>
              <w:bottom w:val="single" w:sz="8" w:color="auto"/>
            </w:tcBorders>
          </w:tcPr>
          <w:p>
            <w:pPr>
              <w:spacing w:after="0"/>
              <w:rPr>
                <w:sz w:val="24"/>
                <w:szCs w:val="24"/>
                <w:color w:val="auto"/>
              </w:rPr>
            </w:pPr>
          </w:p>
        </w:tc>
        <w:tc>
          <w:tcPr>
            <w:tcW w:w="538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auto"/>
                <w:w w:val="92"/>
              </w:rPr>
              <w:t>May 7, 2021</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upperLetter"/>
      <w:start w:val="3"/>
    </w:lvl>
  </w:abstractNum>
  <w:abstractNum w:abstractNumId="2">
    <w:nsid w:val="628C895D"/>
    <w:multiLevelType w:val="hybridMultilevel"/>
    <w:lvl w:ilvl="0">
      <w:lvlJc w:val="left"/>
      <w:lvlText w:val="(%1)"/>
      <w:numFmt w:val="lowerLetter"/>
      <w:start w:val="3"/>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30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2"/>
    </w:lvl>
  </w:abstractNum>
  <w:abstractNum w:abstractNumId="7">
    <w:nsid w:val="6763845E"/>
    <w:multiLevelType w:val="hybridMultilevel"/>
    <w:lvl w:ilvl="0">
      <w:lvlJc w:val="left"/>
      <w:lvlText w:val="(%1)"/>
      <w:numFmt w:val="decimal"/>
      <w:start w:val="37"/>
    </w:lvl>
  </w:abstractNum>
  <w:abstractNum w:abstractNumId="8">
    <w:nsid w:val="75A2A8D4"/>
    <w:multiLevelType w:val="hybridMultilevel"/>
    <w:lvl w:ilvl="0">
      <w:lvlJc w:val="left"/>
      <w:lvlText w:val="(%1)"/>
      <w:numFmt w:val="decimal"/>
      <w:start w:val="63"/>
    </w:lvl>
    <w:lvl w:ilvl="1">
      <w:lvlJc w:val="left"/>
      <w:lvlText w:val="(%2)"/>
      <w:numFmt w:val="lowerRoman"/>
      <w:start w:val="4"/>
    </w:lvl>
  </w:abstractNum>
  <w:abstractNum w:abstractNumId="9">
    <w:nsid w:val="8EDBDAB"/>
    <w:multiLevelType w:val="hybridMultilevel"/>
    <w:lvl w:ilvl="0">
      <w:lvlJc w:val="left"/>
      <w:lvlText w:val="%1"/>
      <w:numFmt w:val="decimal"/>
      <w:start w:val="1"/>
    </w:lvl>
    <w:lvl w:ilvl="1">
      <w:lvlJc w:val="left"/>
      <w:lvlText w:val="(%2)"/>
      <w:numFmt w:val="lowerRoman"/>
      <w:start w:val="2"/>
    </w:lvl>
  </w:abstractNum>
  <w:abstractNum w:abstractNumId="10">
    <w:nsid w:val="79838CB2"/>
    <w:multiLevelType w:val="hybridMultilevel"/>
    <w:lvl w:ilvl="0">
      <w:lvlJc w:val="left"/>
      <w:lvlText w:val="(%1)"/>
      <w:numFmt w:val="decimal"/>
      <w:start w:val="73"/>
    </w:lvl>
    <w:lvl w:ilvl="1">
      <w:lvlJc w:val="left"/>
      <w:lvlText w:val="(%2)"/>
      <w:numFmt w:val="lowerRoman"/>
      <w:start w:val="2"/>
    </w:lvl>
  </w:abstractNum>
  <w:abstractNum w:abstractNumId="11">
    <w:nsid w:val="4353D0CD"/>
    <w:multiLevelType w:val="hybridMultilevel"/>
    <w:lvl w:ilvl="0">
      <w:lvlJc w:val="left"/>
      <w:lvlText w:val="(%1)"/>
      <w:numFmt w:val="decimal"/>
      <w:start w:val="88"/>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lowerRoman"/>
      <w:start w:val="3"/>
    </w:lvl>
  </w:abstractNum>
  <w:abstractNum w:abstractNumId="21">
    <w:nsid w:val="1E7FF521"/>
    <w:multiLevelType w:val="hybridMultilevel"/>
    <w:lvl w:ilvl="0">
      <w:lvlJc w:val="left"/>
      <w:lvlText w:val="•"/>
      <w:numFmt w:val="bullet"/>
      <w:start w:val="1"/>
    </w:lvl>
    <w:lvl w:ilvl="1">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2"/>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lowerRoman"/>
      <w:start w:val="2"/>
    </w:lvl>
  </w:abstractNum>
  <w:abstractNum w:abstractNumId="33">
    <w:nsid w:val="3804823E"/>
    <w:multiLevelType w:val="hybridMultilevel"/>
    <w:lvl w:ilvl="0">
      <w:lvlJc w:val="left"/>
      <w:lvlText w:val="(%1)"/>
      <w:numFmt w:val="decimal"/>
      <w:start w:val="2"/>
    </w:lvl>
  </w:abstractNum>
  <w:abstractNum w:abstractNumId="34">
    <w:nsid w:val="77465F01"/>
    <w:multiLevelType w:val="hybridMultilevel"/>
    <w:lvl w:ilvl="0">
      <w:lvlJc w:val="left"/>
      <w:lvlText w:val="(%1)"/>
      <w:numFmt w:val="lowerRoman"/>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Roman"/>
      <w:start w:val="1"/>
    </w:lvl>
  </w:abstractNum>
  <w:abstractNum w:abstractNumId="37">
    <w:nsid w:val="2463B9EA"/>
    <w:multiLevelType w:val="hybridMultilevel"/>
    <w:lvl w:ilvl="0">
      <w:lvlJc w:val="left"/>
      <w:lvlText w:val="(%1)"/>
      <w:numFmt w:val="lowerLetter"/>
      <w:start w:val="2"/>
    </w:lvl>
  </w:abstractNum>
  <w:abstractNum w:abstractNumId="38">
    <w:nsid w:val="5E884AD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jpe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jpeg"/><Relationship Id="rId82" Type="http://schemas.openxmlformats.org/officeDocument/2006/relationships/image" Target="media/image67.png"/><Relationship Id="rId83" Type="http://schemas.openxmlformats.org/officeDocument/2006/relationships/image" Target="media/image68.png"/><Relationship Id="rId55" Type="http://schemas.openxmlformats.org/officeDocument/2006/relationships/hyperlink" Target="http://www.sec.gov/ix?doc=/Archives/edgar/data/34903/000003490321000020/frt-20201231.htm" TargetMode="External"/><Relationship Id="rId56" Type="http://schemas.openxmlformats.org/officeDocument/2006/relationships/hyperlink" Target="http://www.sec.gov/Archives/edgar/data/34903/000119312521093583/d112637ddef14a.htm" TargetMode="External"/><Relationship Id="rId57" Type="http://schemas.openxmlformats.org/officeDocument/2006/relationships/hyperlink" Target="http://www.sec.gov/ix?doc=/Archives/edgar/data/34903/000003490321000049/frt-20210331.htm" TargetMode="External"/><Relationship Id="rId58" Type="http://schemas.openxmlformats.org/officeDocument/2006/relationships/hyperlink" Target="http://www.sec.gov/ix?doc=/Archives/edgar/data/34903/000119312521154127/d415709d8k.htm" TargetMode="External"/><Relationship Id="rId59" Type="http://schemas.openxmlformats.org/officeDocument/2006/relationships/hyperlink" Target="http://www.sec.gov/Archives/edgar/data/34903/000092838502002234/d8a12ba.txt" TargetMode="External"/><Relationship Id="rId71" Type="http://schemas.openxmlformats.org/officeDocument/2006/relationships/hyperlink" Target="http://www.sec.gov/Archives/edgar/data/34903/000119312509131764/dex31.htm" TargetMode="External"/><Relationship Id="rId72" Type="http://schemas.openxmlformats.org/officeDocument/2006/relationships/hyperlink" Target="http://www.sec.gov/Archives/edgar/data/0000034903/000003490321000049/frt-03312021xex31.htm" TargetMode="External"/><Relationship Id="rId73" Type="http://schemas.openxmlformats.org/officeDocument/2006/relationships/hyperlink" Target="http://www.sec.gov/Archives/edgar/data/34903/0000928385-99-000847.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2021-05-07T08:59:09Z</dcterms:created>
  <dcterms:modified xsi:type="dcterms:W3CDTF">2021-05-07T08:59:09Z</dcterms:modified>
</cp:coreProperties>
</file>