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Issuer:</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Security:</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 / Fitch)</w:t>
      </w:r>
    </w:p>
    <w:p>
      <w:pPr>
        <w:spacing w:after="0" w:line="212" w:lineRule="exact"/>
        <w:rPr>
          <w:sz w:val="24"/>
          <w:szCs w:val="24"/>
          <w:color w:val="auto"/>
        </w:rPr>
      </w:pPr>
    </w:p>
    <w:p>
      <w:pPr>
        <w:ind w:left="20"/>
        <w:spacing w:after="0"/>
        <w:rPr>
          <w:sz w:val="20"/>
          <w:szCs w:val="20"/>
          <w:color w:val="auto"/>
        </w:rPr>
      </w:pPr>
      <w:r>
        <w:rPr>
          <w:rFonts w:ascii="Arial" w:cs="Arial" w:eastAsia="Arial" w:hAnsi="Arial"/>
          <w:sz w:val="18"/>
          <w:szCs w:val="18"/>
          <w:color w:val="auto"/>
        </w:rPr>
        <w:t>Principal Amount Offered Hereby:</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6"/>
          <w:szCs w:val="16"/>
          <w:color w:val="auto"/>
        </w:rPr>
        <w:t>Aggregate Principal Amount to be Outstanding:</w:t>
      </w:r>
    </w:p>
    <w:p>
      <w:pPr>
        <w:spacing w:after="0" w:line="194" w:lineRule="exact"/>
        <w:rPr>
          <w:sz w:val="24"/>
          <w:szCs w:val="24"/>
          <w:color w:val="auto"/>
        </w:rPr>
      </w:pPr>
    </w:p>
    <w:p>
      <w:pPr>
        <w:ind w:left="20"/>
        <w:spacing w:after="0"/>
        <w:rPr>
          <w:sz w:val="20"/>
          <w:szCs w:val="20"/>
          <w:color w:val="auto"/>
        </w:rPr>
      </w:pPr>
      <w:r>
        <w:rPr>
          <w:rFonts w:ascii="Arial" w:cs="Arial" w:eastAsia="Arial" w:hAnsi="Arial"/>
          <w:sz w:val="18"/>
          <w:szCs w:val="18"/>
          <w:color w:val="auto"/>
        </w:rPr>
        <w:t>Trade Date: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Maturity Date: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Interest Payment Dates:</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Benchmark Treasury:</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Re-Offer Yield:</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Coupon (Interest Rate):</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Price to Public:</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March 11, 2015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333-181236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March 11, 2015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2012</w:t>
      </w:r>
    </w:p>
    <w:p>
      <w:pPr>
        <w:spacing w:after="0" w:line="159" w:lineRule="exact"/>
        <w:rPr>
          <w:sz w:val="24"/>
          <w:szCs w:val="24"/>
          <w:color w:val="auto"/>
        </w:rPr>
      </w:pPr>
    </w:p>
    <w:p>
      <w:pPr>
        <w:jc w:val="center"/>
        <w:ind w:right="4480"/>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4"/>
          <w:szCs w:val="24"/>
          <w:color w:val="auto"/>
        </w:rPr>
      </w:pPr>
    </w:p>
    <w:p>
      <w:pPr>
        <w:jc w:val="center"/>
        <w:ind w:right="4480"/>
        <w:spacing w:after="0"/>
        <w:rPr>
          <w:sz w:val="20"/>
          <w:szCs w:val="20"/>
          <w:color w:val="auto"/>
        </w:rPr>
      </w:pPr>
      <w:r>
        <w:rPr>
          <w:rFonts w:ascii="Arial" w:cs="Arial" w:eastAsia="Arial" w:hAnsi="Arial"/>
          <w:sz w:val="18"/>
          <w:szCs w:val="18"/>
          <w:b w:val="1"/>
          <w:bCs w:val="1"/>
          <w:color w:val="auto"/>
        </w:rPr>
        <w:t>4.50% Notes due 2044</w:t>
      </w:r>
    </w:p>
    <w:p>
      <w:pPr>
        <w:spacing w:after="0" w:line="1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Term sheet dated March 11, 2015</w:t>
      </w:r>
    </w:p>
    <w:p>
      <w:pPr>
        <w:spacing w:after="0" w:line="21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4.50% Notes due 2044</w:t>
      </w:r>
    </w:p>
    <w:p>
      <w:pPr>
        <w:spacing w:after="0" w:line="17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A3/A-/A-</w:t>
      </w:r>
    </w:p>
    <w:p>
      <w:pPr>
        <w:spacing w:after="0" w:line="200" w:lineRule="exact"/>
        <w:rPr>
          <w:sz w:val="24"/>
          <w:szCs w:val="24"/>
          <w:color w:val="auto"/>
        </w:rPr>
      </w:pPr>
    </w:p>
    <w:p>
      <w:pPr>
        <w:spacing w:after="0" w:line="24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$200,000,000</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$450,000,000</w:t>
      </w:r>
    </w:p>
    <w:p>
      <w:pPr>
        <w:spacing w:after="0" w:line="17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March 11, 2015</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March 16, 2015 (T+3)</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December 1, 2044</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June 1 and December 1, beginning on June 1, 2015</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3.00% due November 15, 2044</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106-17 / 2.679%</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+150 basis points</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4.179%</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4.50% per year</w:t>
      </w:r>
    </w:p>
    <w:p>
      <w:pPr>
        <w:spacing w:after="0" w:line="225" w:lineRule="exact"/>
        <w:rPr>
          <w:sz w:val="24"/>
          <w:szCs w:val="24"/>
          <w:color w:val="auto"/>
        </w:rPr>
      </w:pPr>
    </w:p>
    <w:p>
      <w:pPr>
        <w:ind w:left="980" w:right="60"/>
        <w:spacing w:after="0" w:line="256" w:lineRule="auto"/>
        <w:rPr>
          <w:sz w:val="20"/>
          <w:szCs w:val="20"/>
          <w:color w:val="auto"/>
        </w:rPr>
      </w:pPr>
      <w:r>
        <w:rPr>
          <w:rFonts w:ascii="Arial" w:cs="Arial" w:eastAsia="Arial" w:hAnsi="Arial"/>
          <w:sz w:val="18"/>
          <w:szCs w:val="18"/>
          <w:color w:val="auto"/>
        </w:rPr>
        <w:t>105.379% of principal amount, plus accrued and unpaid interest from and including November 14, 2014 (the date of issuance of the original $250,000,000 aggregate principal amount of notes) to, but not including, the Settlement Date in the amount of $3,050,000.00</w:t>
      </w:r>
    </w:p>
    <w:p>
      <w:pPr>
        <w:sectPr>
          <w:pgSz w:w="11900" w:h="16838" w:orient="portrait"/>
          <w:cols w:equalWidth="0" w:num="2">
            <w:col w:w="3780" w:space="720"/>
            <w:col w:w="6920"/>
          </w:cols>
          <w:pgMar w:left="240" w:top="239"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At any time before June 1, 2044, make-whole call based on U.S. Treasury plus 25 basis points (0.25%); if redeemed on or after June 1, 2044,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-668655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4760" w:space="720"/>
            <w:col w:w="5860"/>
          </w:cols>
          <w:pgMar w:left="240" w:top="280" w:right="319" w:bottom="1440" w:gutter="0" w:footer="0" w:header="0"/>
        </w:sectPr>
      </w:pPr>
    </w:p>
    <w:p>
      <w:pPr>
        <w:ind w:left="20"/>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AV9 / US 313747AV99</w:t>
      </w:r>
    </w:p>
    <w:p>
      <w:pPr>
        <w:spacing w:after="0" w:line="200" w:lineRule="exact"/>
        <w:rPr>
          <w:sz w:val="20"/>
          <w:szCs w:val="20"/>
          <w:color w:val="auto"/>
        </w:rPr>
      </w:pPr>
    </w:p>
    <w:p>
      <w:pPr>
        <w:sectPr>
          <w:pgSz w:w="11900" w:h="16838" w:orient="portrait"/>
          <w:cols w:equalWidth="0" w:num="2">
            <w:col w:w="4760" w:space="720"/>
            <w:col w:w="5860"/>
          </w:cols>
          <w:pgMar w:left="240" w:top="280" w:right="31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200" w:lineRule="exact"/>
        <w:rPr>
          <w:sz w:val="20"/>
          <w:szCs w:val="20"/>
          <w:color w:val="auto"/>
        </w:rPr>
      </w:pPr>
    </w:p>
    <w:p>
      <w:pPr>
        <w:sectPr>
          <w:pgSz w:w="11900" w:h="16838" w:orient="portrait"/>
          <w:cols w:equalWidth="0" w:num="2">
            <w:col w:w="4760" w:space="720"/>
            <w:col w:w="5860"/>
          </w:cols>
          <w:pgMar w:left="240" w:top="280" w:right="319" w:bottom="1440" w:gutter="0" w:footer="0" w:header="0"/>
          <w:type w:val="continuous"/>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65" w:lineRule="exact"/>
        <w:rPr>
          <w:sz w:val="20"/>
          <w:szCs w:val="20"/>
          <w:color w:val="auto"/>
        </w:rPr>
      </w:pPr>
    </w:p>
    <w:p>
      <w:pPr>
        <w:sectPr>
          <w:pgSz w:w="11900" w:h="16838" w:orient="portrait"/>
          <w:cols w:equalWidth="0" w:num="2">
            <w:col w:w="4760" w:space="720"/>
            <w:col w:w="586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prospectus if you request it from (i) Wells Fargo Securities, LLC toll free at 1-800-645-3751, (ii) Deutsche Bank Securities Inc. toll free at 1-800-503-4611, or (iii) Merrill Lynch, Pierce, Fenner &amp; Smith Incorporated toll free at 1-800-294-1322.</w:t>
      </w:r>
    </w:p>
    <w:p>
      <w:pPr>
        <w:spacing w:after="0" w:line="113"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1340"/>
      </w:cols>
      <w:pgMar w:left="240" w:top="28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2019-12-05T10:41:20Z</dcterms:created>
  <dcterms:modified xsi:type="dcterms:W3CDTF">2019-12-05T10:41:20Z</dcterms:modified>
</cp:coreProperties>
</file>