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559"/>
        <w:spacing w:after="0"/>
        <w:tabs>
          <w:tab w:leader="none" w:pos="180" w:val="left"/>
        </w:tabs>
        <w:rPr>
          <w:sz w:val="20"/>
          <w:szCs w:val="20"/>
          <w:color w:val="auto"/>
        </w:rPr>
      </w:pPr>
      <w:r>
        <w:rPr>
          <w:rFonts w:ascii="Courier New" w:cs="Courier New" w:eastAsia="Courier New" w:hAnsi="Courier New"/>
          <w:sz w:val="16"/>
          <w:szCs w:val="16"/>
          <w:color w:val="auto"/>
        </w:rPr>
        <w:t>Washington, D.C.</w:t>
        <w:tab/>
        <w:t>20549</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378"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378" w:lineRule="exact"/>
        <w:rPr>
          <w:sz w:val="24"/>
          <w:szCs w:val="24"/>
          <w:color w:val="auto"/>
        </w:rPr>
      </w:pPr>
    </w:p>
    <w:p>
      <w:pPr>
        <w:ind w:left="2040"/>
        <w:spacing w:after="0"/>
        <w:tabs>
          <w:tab w:leader="none" w:pos="4340" w:val="left"/>
        </w:tabs>
        <w:rPr>
          <w:sz w:val="20"/>
          <w:szCs w:val="20"/>
          <w:color w:val="auto"/>
        </w:rPr>
      </w:pPr>
      <w:r>
        <w:rPr>
          <w:rFonts w:ascii="Courier New" w:cs="Courier New" w:eastAsia="Courier New" w:hAnsi="Courier New"/>
          <w:sz w:val="16"/>
          <w:szCs w:val="16"/>
          <w:color w:val="auto"/>
        </w:rPr>
        <w:t>For the Quarter Ended:</w:t>
        <w:tab/>
        <w:t>June 30, 1997</w:t>
      </w:r>
    </w:p>
    <w:p>
      <w:pPr>
        <w:spacing w:after="0" w:line="5"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Commission File No. 17533</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14" w:right="1440" w:bottom="1440" w:gutter="0" w:footer="0" w:header="0"/>
        </w:sectPr>
      </w:pPr>
    </w:p>
    <w:p>
      <w:pPr>
        <w:spacing w:after="0" w:line="378"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District of Columbia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52-0782497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020" w:space="720"/>
            <w:col w:w="5479"/>
          </w:cols>
          <w:pgMar w:left="240" w:top="614" w:right="1440" w:bottom="1440" w:gutter="0" w:footer="0" w:header="0"/>
          <w:type w:val="continuous"/>
        </w:sectPr>
      </w:pP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1626 East Jefferson Street, Rockville, Maryland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20852-4041</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800" w:space="720"/>
            <w:col w:w="4699"/>
          </w:cols>
          <w:pgMar w:left="240" w:top="614" w:right="1440" w:bottom="1440" w:gutter="0" w:footer="0" w:header="0"/>
          <w:type w:val="continuous"/>
        </w:sectPr>
      </w:pPr>
    </w:p>
    <w:p>
      <w:pPr>
        <w:spacing w:after="0" w:line="178"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(301) 998-8100</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1" w:lineRule="exact"/>
        <w:rPr>
          <w:sz w:val="24"/>
          <w:szCs w:val="24"/>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14" w:right="1440" w:bottom="1440" w:gutter="0" w:footer="0" w:header="0"/>
          <w:type w:val="continuous"/>
        </w:sectPr>
      </w:pPr>
    </w:p>
    <w:p>
      <w:pPr>
        <w:spacing w:after="0" w:line="18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4"/>
          <w:szCs w:val="24"/>
          <w:color w:val="auto"/>
        </w:rPr>
      </w:pPr>
    </w:p>
    <w:p>
      <w:pPr>
        <w:sectPr>
          <w:pgSz w:w="11900" w:h="16838" w:orient="portrait"/>
          <w:cols w:equalWidth="0" w:num="6">
            <w:col w:w="780" w:space="100"/>
            <w:col w:w="480" w:space="0"/>
            <w:col w:w="240" w:space="720"/>
            <w:col w:w="200" w:space="0"/>
            <w:col w:w="480" w:space="0"/>
            <w:col w:w="7219"/>
          </w:cols>
          <w:pgMar w:left="240" w:top="614" w:right="1440" w:bottom="1440" w:gutter="0" w:footer="0" w:header="0"/>
          <w:type w:val="continuous"/>
        </w:sectPr>
      </w:pPr>
    </w:p>
    <w:p>
      <w:pPr>
        <w:spacing w:after="0" w:line="3" w:lineRule="exact"/>
        <w:rPr>
          <w:sz w:val="24"/>
          <w:szCs w:val="24"/>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614" w:right="1440" w:bottom="1440" w:gutter="0" w:footer="0" w:header="0"/>
          <w:type w:val="continuous"/>
        </w:sectPr>
      </w:pPr>
    </w:p>
    <w:p>
      <w:pPr>
        <w:spacing w:after="0" w:line="371"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July 25, 1997</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39,080,605</w:t>
      </w:r>
    </w:p>
    <w:p>
      <w:pPr>
        <w:spacing w:after="0" w:line="200" w:lineRule="exact"/>
        <w:rPr>
          <w:sz w:val="24"/>
          <w:szCs w:val="24"/>
          <w:color w:val="auto"/>
        </w:rPr>
      </w:pPr>
    </w:p>
    <w:p>
      <w:pPr>
        <w:sectPr>
          <w:pgSz w:w="11900" w:h="16838" w:orient="portrait"/>
          <w:cols w:equalWidth="0" w:num="2">
            <w:col w:w="4120" w:space="720"/>
            <w:col w:w="5379"/>
          </w:cols>
          <w:pgMar w:left="240" w:top="614" w:right="1440" w:bottom="1440" w:gutter="0" w:footer="0" w:header="0"/>
          <w:type w:val="continuous"/>
        </w:sectPr>
      </w:pP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This report contains 23 pages.</w:t>
      </w:r>
    </w:p>
    <w:p>
      <w:pPr>
        <w:sectPr>
          <w:pgSz w:w="11900" w:h="16838" w:orient="portrait"/>
          <w:cols w:equalWidth="0" w:num="1">
            <w:col w:w="10219"/>
          </w:cols>
          <w:pgMar w:left="240" w:top="614" w:right="1440" w:bottom="1440" w:gutter="0" w:footer="0" w:header="0"/>
          <w:type w:val="continuous"/>
        </w:sectPr>
      </w:pPr>
    </w:p>
    <w:bookmarkStart w:id="1" w:name="page2"/>
    <w:bookmarkEnd w:id="1"/>
    <w:p>
      <w:pPr>
        <w:ind w:left="23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S.E.C. FORM 10-Q</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June 30, 1997</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I N D 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FINANCIAL INFORMATION</w:t>
            </w:r>
          </w:p>
        </w:tc>
        <w:tc>
          <w:tcPr>
            <w:tcW w:w="26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559"/>
        </w:trPr>
        <w:tc>
          <w:tcPr>
            <w:tcW w:w="880" w:type="dxa"/>
            <w:vAlign w:val="bottom"/>
          </w:tcPr>
          <w:p>
            <w:pPr>
              <w:spacing w:after="0"/>
              <w:rPr>
                <w:sz w:val="24"/>
                <w:szCs w:val="24"/>
                <w:color w:val="auto"/>
              </w:rPr>
            </w:pP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Accountants' Report</w:t>
            </w:r>
          </w:p>
        </w:tc>
        <w:tc>
          <w:tcPr>
            <w:tcW w:w="2680" w:type="dxa"/>
            <w:vAlign w:val="bottom"/>
          </w:tcPr>
          <w:p>
            <w:pPr>
              <w:spacing w:after="0"/>
              <w:rPr>
                <w:sz w:val="24"/>
                <w:szCs w:val="24"/>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r>
      <w:tr>
        <w:trPr>
          <w:trHeight w:val="373"/>
        </w:trPr>
        <w:tc>
          <w:tcPr>
            <w:tcW w:w="880" w:type="dxa"/>
            <w:vAlign w:val="bottom"/>
          </w:tcPr>
          <w:p>
            <w:pPr>
              <w:spacing w:after="0"/>
              <w:rPr>
                <w:sz w:val="24"/>
                <w:szCs w:val="24"/>
                <w:color w:val="auto"/>
              </w:rPr>
            </w:pPr>
          </w:p>
        </w:tc>
        <w:tc>
          <w:tcPr>
            <w:tcW w:w="5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Consolidated Balance Sheets</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w:t>
            </w:r>
          </w:p>
        </w:tc>
      </w:tr>
      <w:tr>
        <w:trPr>
          <w:trHeight w:val="186"/>
        </w:trPr>
        <w:tc>
          <w:tcPr>
            <w:tcW w:w="880" w:type="dxa"/>
            <w:vAlign w:val="bottom"/>
          </w:tcPr>
          <w:p>
            <w:pPr>
              <w:spacing w:after="0"/>
              <w:rPr>
                <w:sz w:val="16"/>
                <w:szCs w:val="16"/>
                <w:color w:val="auto"/>
              </w:rPr>
            </w:pPr>
          </w:p>
        </w:tc>
        <w:tc>
          <w:tcPr>
            <w:tcW w:w="5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June 30, 1997 (unaudited) and</w:t>
            </w:r>
          </w:p>
        </w:tc>
        <w:tc>
          <w:tcPr>
            <w:tcW w:w="96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5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December 31, 1996 (audited)</w:t>
            </w:r>
          </w:p>
        </w:tc>
        <w:tc>
          <w:tcPr>
            <w:tcW w:w="960" w:type="dxa"/>
            <w:vAlign w:val="bottom"/>
          </w:tcPr>
          <w:p>
            <w:pPr>
              <w:spacing w:after="0"/>
              <w:rPr>
                <w:sz w:val="16"/>
                <w:szCs w:val="16"/>
                <w:color w:val="auto"/>
              </w:rPr>
            </w:pPr>
          </w:p>
        </w:tc>
      </w:tr>
      <w:tr>
        <w:trPr>
          <w:trHeight w:val="373"/>
        </w:trPr>
        <w:tc>
          <w:tcPr>
            <w:tcW w:w="880" w:type="dxa"/>
            <w:vAlign w:val="bottom"/>
          </w:tcPr>
          <w:p>
            <w:pPr>
              <w:spacing w:after="0"/>
              <w:rPr>
                <w:sz w:val="24"/>
                <w:szCs w:val="24"/>
                <w:color w:val="auto"/>
              </w:rPr>
            </w:pP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Consolidated Statements</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of Operations (unaudited)</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w:t>
            </w:r>
          </w:p>
        </w:tc>
      </w:tr>
      <w:tr>
        <w:trPr>
          <w:trHeight w:val="186"/>
        </w:trPr>
        <w:tc>
          <w:tcPr>
            <w:tcW w:w="880" w:type="dxa"/>
            <w:vAlign w:val="bottom"/>
          </w:tcPr>
          <w:p>
            <w:pPr>
              <w:spacing w:after="0"/>
              <w:rPr>
                <w:sz w:val="16"/>
                <w:szCs w:val="16"/>
                <w:color w:val="auto"/>
              </w:rPr>
            </w:pPr>
          </w:p>
        </w:tc>
        <w:tc>
          <w:tcPr>
            <w:tcW w:w="5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Six months ended June 30, 1997 and 1996</w:t>
            </w:r>
          </w:p>
        </w:tc>
        <w:tc>
          <w:tcPr>
            <w:tcW w:w="960" w:type="dxa"/>
            <w:vAlign w:val="bottom"/>
          </w:tcPr>
          <w:p>
            <w:pPr>
              <w:spacing w:after="0"/>
              <w:rPr>
                <w:sz w:val="16"/>
                <w:szCs w:val="16"/>
                <w:color w:val="auto"/>
              </w:rPr>
            </w:pPr>
          </w:p>
        </w:tc>
      </w:tr>
      <w:tr>
        <w:trPr>
          <w:trHeight w:val="373"/>
        </w:trPr>
        <w:tc>
          <w:tcPr>
            <w:tcW w:w="880" w:type="dxa"/>
            <w:vAlign w:val="bottom"/>
          </w:tcPr>
          <w:p>
            <w:pPr>
              <w:spacing w:after="0"/>
              <w:rPr>
                <w:sz w:val="24"/>
                <w:szCs w:val="24"/>
                <w:color w:val="auto"/>
              </w:rPr>
            </w:pP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Consolidated Statements</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of Operations (unaudited)</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r>
      <w:tr>
        <w:trPr>
          <w:trHeight w:val="186"/>
        </w:trPr>
        <w:tc>
          <w:tcPr>
            <w:tcW w:w="880" w:type="dxa"/>
            <w:vAlign w:val="bottom"/>
          </w:tcPr>
          <w:p>
            <w:pPr>
              <w:spacing w:after="0"/>
              <w:rPr>
                <w:sz w:val="16"/>
                <w:szCs w:val="16"/>
                <w:color w:val="auto"/>
              </w:rPr>
            </w:pP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Three months ended June</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30, 1997 and 1996</w:t>
            </w:r>
          </w:p>
        </w:tc>
        <w:tc>
          <w:tcPr>
            <w:tcW w:w="960" w:type="dxa"/>
            <w:vAlign w:val="bottom"/>
          </w:tcPr>
          <w:p>
            <w:pPr>
              <w:spacing w:after="0"/>
              <w:rPr>
                <w:sz w:val="16"/>
                <w:szCs w:val="16"/>
                <w:color w:val="auto"/>
              </w:rPr>
            </w:pPr>
          </w:p>
        </w:tc>
      </w:tr>
      <w:tr>
        <w:trPr>
          <w:trHeight w:val="373"/>
        </w:trPr>
        <w:tc>
          <w:tcPr>
            <w:tcW w:w="880" w:type="dxa"/>
            <w:vAlign w:val="bottom"/>
          </w:tcPr>
          <w:p>
            <w:pPr>
              <w:spacing w:after="0"/>
              <w:rPr>
                <w:sz w:val="24"/>
                <w:szCs w:val="24"/>
                <w:color w:val="auto"/>
              </w:rPr>
            </w:pP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Consolidated Statements</w:t>
            </w:r>
          </w:p>
        </w:tc>
        <w:tc>
          <w:tcPr>
            <w:tcW w:w="2680" w:type="dxa"/>
            <w:vAlign w:val="bottom"/>
          </w:tcPr>
          <w:p>
            <w:pPr>
              <w:spacing w:after="0"/>
              <w:rPr>
                <w:sz w:val="24"/>
                <w:szCs w:val="24"/>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880" w:type="dxa"/>
            <w:vAlign w:val="bottom"/>
          </w:tcPr>
          <w:p>
            <w:pPr>
              <w:spacing w:after="0"/>
              <w:rPr>
                <w:sz w:val="16"/>
                <w:szCs w:val="16"/>
                <w:color w:val="auto"/>
              </w:rPr>
            </w:pP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of Shareholders' Equity</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(unaudited)</w:t>
            </w:r>
          </w:p>
        </w:tc>
        <w:tc>
          <w:tcPr>
            <w:tcW w:w="96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5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Six months ended June 30, 1997 and 1996</w:t>
            </w:r>
          </w:p>
        </w:tc>
        <w:tc>
          <w:tcPr>
            <w:tcW w:w="960" w:type="dxa"/>
            <w:vAlign w:val="bottom"/>
          </w:tcPr>
          <w:p>
            <w:pPr>
              <w:spacing w:after="0"/>
              <w:rPr>
                <w:sz w:val="16"/>
                <w:szCs w:val="16"/>
                <w:color w:val="auto"/>
              </w:rPr>
            </w:pPr>
          </w:p>
        </w:tc>
      </w:tr>
      <w:tr>
        <w:trPr>
          <w:trHeight w:val="373"/>
        </w:trPr>
        <w:tc>
          <w:tcPr>
            <w:tcW w:w="880" w:type="dxa"/>
            <w:vAlign w:val="bottom"/>
          </w:tcPr>
          <w:p>
            <w:pPr>
              <w:spacing w:after="0"/>
              <w:rPr>
                <w:sz w:val="24"/>
                <w:szCs w:val="24"/>
                <w:color w:val="auto"/>
              </w:rPr>
            </w:pP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Consolidated Statements</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of Cash Flows (unaudited)</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186"/>
        </w:trPr>
        <w:tc>
          <w:tcPr>
            <w:tcW w:w="880" w:type="dxa"/>
            <w:vAlign w:val="bottom"/>
          </w:tcPr>
          <w:p>
            <w:pPr>
              <w:spacing w:after="0"/>
              <w:rPr>
                <w:sz w:val="16"/>
                <w:szCs w:val="16"/>
                <w:color w:val="auto"/>
              </w:rPr>
            </w:pPr>
          </w:p>
        </w:tc>
        <w:tc>
          <w:tcPr>
            <w:tcW w:w="5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Six months ended June 30, 1997 and 1996</w:t>
            </w:r>
          </w:p>
        </w:tc>
        <w:tc>
          <w:tcPr>
            <w:tcW w:w="960" w:type="dxa"/>
            <w:vAlign w:val="bottom"/>
          </w:tcPr>
          <w:p>
            <w:pPr>
              <w:spacing w:after="0"/>
              <w:rPr>
                <w:sz w:val="16"/>
                <w:szCs w:val="16"/>
                <w:color w:val="auto"/>
              </w:rPr>
            </w:pPr>
          </w:p>
        </w:tc>
      </w:tr>
      <w:tr>
        <w:trPr>
          <w:trHeight w:val="373"/>
        </w:trPr>
        <w:tc>
          <w:tcPr>
            <w:tcW w:w="880" w:type="dxa"/>
            <w:vAlign w:val="bottom"/>
          </w:tcPr>
          <w:p>
            <w:pPr>
              <w:spacing w:after="0"/>
              <w:rPr>
                <w:sz w:val="24"/>
                <w:szCs w:val="24"/>
                <w:color w:val="auto"/>
              </w:rPr>
            </w:pPr>
          </w:p>
        </w:tc>
        <w:tc>
          <w:tcPr>
            <w:tcW w:w="5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Notes to Financial Statements</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10-14</w:t>
            </w:r>
          </w:p>
        </w:tc>
      </w:tr>
      <w:tr>
        <w:trPr>
          <w:trHeight w:val="373"/>
        </w:trPr>
        <w:tc>
          <w:tcPr>
            <w:tcW w:w="880" w:type="dxa"/>
            <w:vAlign w:val="bottom"/>
          </w:tcPr>
          <w:p>
            <w:pPr>
              <w:spacing w:after="0"/>
              <w:rPr>
                <w:sz w:val="24"/>
                <w:szCs w:val="24"/>
                <w:color w:val="auto"/>
              </w:rPr>
            </w:pP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Management's Discussion</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and Analysis of</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15-22</w:t>
            </w:r>
          </w:p>
        </w:tc>
      </w:tr>
      <w:tr>
        <w:trPr>
          <w:trHeight w:val="186"/>
        </w:trPr>
        <w:tc>
          <w:tcPr>
            <w:tcW w:w="880" w:type="dxa"/>
            <w:vAlign w:val="bottom"/>
          </w:tcPr>
          <w:p>
            <w:pPr>
              <w:spacing w:after="0"/>
              <w:rPr>
                <w:sz w:val="16"/>
                <w:szCs w:val="16"/>
                <w:color w:val="auto"/>
              </w:rPr>
            </w:pP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Financial Condition and</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Results of Operations</w:t>
            </w:r>
          </w:p>
        </w:tc>
        <w:tc>
          <w:tcPr>
            <w:tcW w:w="960" w:type="dxa"/>
            <w:vAlign w:val="bottom"/>
          </w:tcPr>
          <w:p>
            <w:pPr>
              <w:spacing w:after="0"/>
              <w:rPr>
                <w:sz w:val="16"/>
                <w:szCs w:val="16"/>
                <w:color w:val="auto"/>
              </w:rPr>
            </w:pP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OTHER INFORMATION</w:t>
            </w:r>
          </w:p>
        </w:tc>
        <w:tc>
          <w:tcPr>
            <w:tcW w:w="2680" w:type="dxa"/>
            <w:vAlign w:val="bottom"/>
          </w:tcPr>
          <w:p>
            <w:pPr>
              <w:spacing w:after="0"/>
              <w:rPr>
                <w:sz w:val="24"/>
                <w:szCs w:val="24"/>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w:t>
            </w:r>
          </w:p>
        </w:tc>
      </w:tr>
      <w:tr>
        <w:trPr>
          <w:trHeight w:val="559"/>
        </w:trPr>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80" w:type="dxa"/>
            <w:vAlign w:val="bottom"/>
          </w:tcPr>
          <w:p>
            <w:pPr>
              <w:ind w:left="540"/>
              <w:spacing w:after="0"/>
              <w:rPr>
                <w:sz w:val="20"/>
                <w:szCs w:val="20"/>
                <w:color w:val="auto"/>
              </w:rPr>
            </w:pPr>
            <w:r>
              <w:rPr>
                <w:rFonts w:ascii="Courier New" w:cs="Courier New" w:eastAsia="Courier New" w:hAnsi="Courier New"/>
                <w:sz w:val="16"/>
                <w:szCs w:val="16"/>
                <w:color w:val="auto"/>
              </w:rPr>
              <w:t>2</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S.E.C. FORM 10-Q</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June 30, 1997</w:t>
      </w:r>
    </w:p>
    <w:p>
      <w:pPr>
        <w:spacing w:after="0" w:line="200" w:lineRule="exact"/>
        <w:rPr>
          <w:sz w:val="20"/>
          <w:szCs w:val="20"/>
          <w:color w:val="auto"/>
        </w:rPr>
      </w:pPr>
    </w:p>
    <w:p>
      <w:pPr>
        <w:spacing w:after="0" w:line="3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91" w:lineRule="exact"/>
        <w:rPr>
          <w:sz w:val="20"/>
          <w:szCs w:val="20"/>
          <w:color w:val="auto"/>
        </w:rPr>
      </w:pPr>
    </w:p>
    <w:p>
      <w:pPr>
        <w:ind w:left="960" w:right="2659" w:firstLine="484"/>
        <w:spacing w:after="0" w:line="246" w:lineRule="auto"/>
        <w:rPr>
          <w:sz w:val="20"/>
          <w:szCs w:val="20"/>
          <w:color w:val="auto"/>
        </w:rPr>
      </w:pPr>
      <w:r>
        <w:rPr>
          <w:rFonts w:ascii="Courier New" w:cs="Courier New" w:eastAsia="Courier New" w:hAnsi="Courier New"/>
          <w:sz w:val="16"/>
          <w:szCs w:val="16"/>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191" w:lineRule="exact"/>
        <w:rPr>
          <w:sz w:val="20"/>
          <w:szCs w:val="20"/>
          <w:color w:val="auto"/>
        </w:rPr>
      </w:pPr>
    </w:p>
    <w:p>
      <w:pPr>
        <w:ind w:left="960" w:right="2459" w:firstLine="484"/>
        <w:spacing w:after="0" w:line="246" w:lineRule="auto"/>
        <w:rPr>
          <w:sz w:val="20"/>
          <w:szCs w:val="20"/>
          <w:color w:val="auto"/>
        </w:rPr>
      </w:pPr>
      <w:r>
        <w:rPr>
          <w:rFonts w:ascii="Courier New" w:cs="Courier New" w:eastAsia="Courier New" w:hAnsi="Courier New"/>
          <w:sz w:val="16"/>
          <w:szCs w:val="16"/>
          <w:color w:val="auto"/>
        </w:rPr>
        <w:t>The balance sheet as of December 31, 1996 was audited by Grant Thornton LLP, independent public accountants, who expressed an unqualified opinion on it in their report dated February 5, 1997. All other financial information presented is unaudited but has been reviewed as of June 30, 1997 and for each of the six month periods ended June 30, 1997 and 1996 by Grant Thornton LLP whose report thereon appears on Page 4. All adjustments and disclosures proposed by them have been reflected in the data presented.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Accountants' Review Report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and 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have reviewed the accompanying consolidated balance sheet of Federal Realty Investment Trust as of June 30, 1997 and the related consolidated statements of operations, shareholders' equity and cash flows for the six month periods ended June 30, 1997 and 1996, and the consolidated statements of operations for the three month periods ended June 30, 1997 and 1996. These financial statements are the responsibility of the Trust's management.</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Based on our review, we are not aware of any material modifications that should be made to the accompanying financial statements for them to be in conformity with generally accepted accounting principles.</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We have previously audited, in accordance with generally accepted auditing standards, the consolidated balance sheet as of December 31, 1996 and the related consolidated statements of operations, shareholders' equity and cash flows for the year then ended (not presented herein); and in our report dated February 5, 1997, we expressed an unqualified opinion on those consolidated financial statements. In our opinion, the information set forth in the accompanying condensed consolidated balance sheet as of December 31, 1996 is stated fairly, in all material respects, in relation to the consolidated balance sheet from which it has been derived.</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Grant Thornton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29, 1997</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350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June 30,</w:t>
            </w:r>
          </w:p>
        </w:tc>
        <w:tc>
          <w:tcPr>
            <w:tcW w:w="1260" w:type="dxa"/>
            <w:vAlign w:val="bottom"/>
          </w:tcPr>
          <w:p>
            <w:pPr>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679"/>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1996</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(unaudited)</w:t>
            </w:r>
          </w:p>
        </w:tc>
        <w:tc>
          <w:tcPr>
            <w:tcW w:w="1260" w:type="dxa"/>
            <w:vAlign w:val="bottom"/>
          </w:tcPr>
          <w:p>
            <w:pPr>
              <w:spacing w:after="0"/>
              <w:rPr>
                <w:sz w:val="16"/>
                <w:szCs w:val="16"/>
                <w:color w:val="auto"/>
              </w:rPr>
            </w:pP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610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(in thousands)</w:t>
            </w:r>
          </w:p>
        </w:tc>
        <w:tc>
          <w:tcPr>
            <w:tcW w:w="1260" w:type="dxa"/>
            <w:vAlign w:val="bottom"/>
          </w:tcPr>
          <w:p>
            <w:pPr>
              <w:spacing w:after="0"/>
              <w:rPr>
                <w:sz w:val="16"/>
                <w:szCs w:val="16"/>
                <w:color w:val="auto"/>
              </w:rPr>
            </w:pPr>
          </w:p>
        </w:tc>
      </w:tr>
      <w:tr>
        <w:trPr>
          <w:trHeight w:val="373"/>
        </w:trPr>
        <w:tc>
          <w:tcPr>
            <w:tcW w:w="6100" w:type="dxa"/>
            <w:vAlign w:val="bottom"/>
          </w:tcPr>
          <w:p>
            <w:pPr>
              <w:ind w:left="2320"/>
              <w:spacing w:after="0"/>
              <w:rPr>
                <w:sz w:val="20"/>
                <w:szCs w:val="20"/>
                <w:color w:val="auto"/>
              </w:rPr>
            </w:pPr>
            <w:r>
              <w:rPr>
                <w:rFonts w:ascii="Courier New" w:cs="Courier New" w:eastAsia="Courier New" w:hAnsi="Courier New"/>
                <w:sz w:val="16"/>
                <w:szCs w:val="16"/>
                <w:color w:val="auto"/>
              </w:rPr>
              <w:t>ASSETS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Real estate, at cost</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$1,266,649</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$1,147,865</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350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(233,401)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(223,553)</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1,033,248</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924,312</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Mortgage notes receivable</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38,126</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27,913</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1,071,374</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952,225</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Cash</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19,496</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11,041</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Notes receivable - officers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1,220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1,183</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16,695</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16,111</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Prepaid expenses and other assets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32,642</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51,374</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Debt issue costs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3,220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3,372</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$1,144,647</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$1,035,306</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ind w:left="880"/>
              <w:spacing w:after="0"/>
              <w:rPr>
                <w:sz w:val="20"/>
                <w:szCs w:val="20"/>
                <w:color w:val="auto"/>
              </w:rPr>
            </w:pPr>
            <w:r>
              <w:rPr>
                <w:rFonts w:ascii="Courier New" w:cs="Courier New" w:eastAsia="Courier New" w:hAnsi="Courier New"/>
                <w:sz w:val="16"/>
                <w:szCs w:val="16"/>
                <w:color w:val="auto"/>
              </w:rPr>
              <w:t>LIABILITIES AND SHAREHOLDERS' EQUITY</w:t>
            </w:r>
          </w:p>
        </w:tc>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Obligations under capital leases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$126,358</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$130,613</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Mortgages payable</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97,871</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98,576</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Notes payable</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97,396</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66,106</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Accrued expenses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18,083</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20,405</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6,818</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6,783</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Dividends payable</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16,401</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15,072</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Security deposits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3,709</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3,515</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Prepaid rents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3,336</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3,801</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Senior notes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215,000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215,000</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5 1/4% Convertible subordinated debentures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75,289</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75,289</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Investors' interest in consolidated assets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14,134</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11,261</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Common shares of beneficial interest, no par</w:t>
            </w:r>
          </w:p>
        </w:tc>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100" w:type="dxa"/>
            <w:vAlign w:val="bottom"/>
          </w:tcPr>
          <w:p>
            <w:pPr>
              <w:ind w:left="380"/>
              <w:spacing w:after="0"/>
              <w:rPr>
                <w:sz w:val="20"/>
                <w:szCs w:val="20"/>
                <w:color w:val="auto"/>
              </w:rPr>
            </w:pPr>
            <w:r>
              <w:rPr>
                <w:rFonts w:ascii="Courier New" w:cs="Courier New" w:eastAsia="Courier New" w:hAnsi="Courier New"/>
                <w:sz w:val="16"/>
                <w:szCs w:val="16"/>
                <w:color w:val="auto"/>
              </w:rPr>
              <w:t>or stated value, unlimited authorization,</w:t>
            </w:r>
          </w:p>
        </w:tc>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100" w:type="dxa"/>
            <w:vAlign w:val="bottom"/>
          </w:tcPr>
          <w:p>
            <w:pPr>
              <w:ind w:left="380"/>
              <w:spacing w:after="0"/>
              <w:rPr>
                <w:sz w:val="20"/>
                <w:szCs w:val="20"/>
                <w:color w:val="auto"/>
              </w:rPr>
            </w:pPr>
            <w:r>
              <w:rPr>
                <w:rFonts w:ascii="Courier New" w:cs="Courier New" w:eastAsia="Courier New" w:hAnsi="Courier New"/>
                <w:sz w:val="16"/>
                <w:szCs w:val="16"/>
                <w:color w:val="auto"/>
              </w:rPr>
              <w:t>issued 39,111,350 and 35,948,044 shares,</w:t>
            </w:r>
          </w:p>
        </w:tc>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100" w:type="dxa"/>
            <w:vAlign w:val="bottom"/>
          </w:tcPr>
          <w:p>
            <w:pPr>
              <w:ind w:left="380"/>
              <w:spacing w:after="0"/>
              <w:rPr>
                <w:sz w:val="20"/>
                <w:szCs w:val="20"/>
                <w:color w:val="auto"/>
              </w:rPr>
            </w:pPr>
            <w:r>
              <w:rPr>
                <w:rFonts w:ascii="Courier New" w:cs="Courier New" w:eastAsia="Courier New" w:hAnsi="Courier New"/>
                <w:sz w:val="16"/>
                <w:szCs w:val="16"/>
                <w:color w:val="auto"/>
              </w:rPr>
              <w:t>respectively</w:t>
            </w: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685,873</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597,917</w:t>
            </w: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350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(207,161)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(200,700)</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478,712</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397,217</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Less 62,386 common shares in treasury - at cost,</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deferred compensation and subscriptions receivable</w:t>
            </w:r>
          </w:p>
        </w:tc>
        <w:tc>
          <w:tcPr>
            <w:tcW w:w="350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(8,460)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(8,332)</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470,252</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388,885</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$1,144,647</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$1,035,306</w:t>
            </w:r>
          </w:p>
        </w:tc>
      </w:tr>
      <w:tr>
        <w:trPr>
          <w:trHeight w:val="186"/>
        </w:trPr>
        <w:tc>
          <w:tcPr>
            <w:tcW w:w="6100" w:type="dxa"/>
            <w:vAlign w:val="bottom"/>
          </w:tcPr>
          <w:p>
            <w:pPr>
              <w:spacing w:after="0"/>
              <w:rPr>
                <w:sz w:val="16"/>
                <w:szCs w:val="16"/>
                <w:color w:val="auto"/>
              </w:rPr>
            </w:pPr>
          </w:p>
        </w:tc>
        <w:tc>
          <w:tcPr>
            <w:tcW w:w="35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860"/>
          </w:cols>
          <w:pgMar w:left="240" w:top="489" w:right="7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ind w:left="1740"/>
              <w:spacing w:after="0"/>
              <w:rPr>
                <w:sz w:val="20"/>
                <w:szCs w:val="20"/>
                <w:color w:val="auto"/>
              </w:rPr>
            </w:pPr>
            <w:r>
              <w:rPr>
                <w:rFonts w:ascii="Courier New" w:cs="Courier New" w:eastAsia="Courier New" w:hAnsi="Courier New"/>
                <w:sz w:val="16"/>
                <w:szCs w:val="16"/>
                <w:color w:val="auto"/>
              </w:rPr>
              <w:t>(unaudited)</w:t>
            </w:r>
          </w:p>
        </w:tc>
        <w:tc>
          <w:tcPr>
            <w:tcW w:w="2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745"/>
        </w:trPr>
        <w:tc>
          <w:tcPr>
            <w:tcW w:w="5480" w:type="dxa"/>
            <w:vAlign w:val="bottom"/>
          </w:tcPr>
          <w:p>
            <w:pPr>
              <w:spacing w:after="0"/>
              <w:rPr>
                <w:sz w:val="24"/>
                <w:szCs w:val="2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 June 30,</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1996</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3"/>
        </w:trPr>
        <w:tc>
          <w:tcPr>
            <w:tcW w:w="54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Rental income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$90,981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$80,660</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2,948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1,919</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Other income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5,520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4,763</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99,449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87,342</w:t>
            </w:r>
          </w:p>
        </w:tc>
      </w:tr>
      <w:tr>
        <w:trPr>
          <w:trHeight w:val="745"/>
        </w:trPr>
        <w:tc>
          <w:tcPr>
            <w:tcW w:w="548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Rental</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21,005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21,717</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Real estate taxes</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9,466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7,969</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23,988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22,288</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Administrative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4,594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3,822</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20,528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18,676</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79,581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74,472</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Operating income before investors' share</w:t>
            </w:r>
          </w:p>
        </w:tc>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of operations and gain on sale of real estate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19,868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12,870</w:t>
            </w:r>
          </w:p>
        </w:tc>
      </w:tr>
      <w:tr>
        <w:trPr>
          <w:trHeight w:val="373"/>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Investors' share of operations</w:t>
            </w:r>
          </w:p>
        </w:tc>
        <w:tc>
          <w:tcPr>
            <w:tcW w:w="22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(581)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before gain on sale of real estate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19,287</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12,923</w:t>
            </w:r>
          </w:p>
        </w:tc>
      </w:tr>
      <w:tr>
        <w:trPr>
          <w:trHeight w:val="373"/>
        </w:trPr>
        <w:tc>
          <w:tcPr>
            <w:tcW w:w="5480" w:type="dxa"/>
            <w:vAlign w:val="bottom"/>
          </w:tcPr>
          <w:p>
            <w:pPr>
              <w:spacing w:after="0"/>
              <w:rPr>
                <w:sz w:val="20"/>
                <w:szCs w:val="20"/>
                <w:color w:val="auto"/>
              </w:rPr>
            </w:pPr>
            <w:r>
              <w:rPr>
                <w:rFonts w:ascii="Courier New" w:cs="Courier New" w:eastAsia="Courier New" w:hAnsi="Courier New"/>
                <w:sz w:val="16"/>
                <w:szCs w:val="16"/>
                <w:color w:val="auto"/>
              </w:rPr>
              <w:t>Gain on sale of real estate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7,034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$26,321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$12,923</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48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38,633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32,666</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548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Income before gain on sale of real estate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$0.50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$0.40</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Gain on sale of real estate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0.18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$0.68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$0.40</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ind w:left="1740"/>
              <w:spacing w:after="0"/>
              <w:rPr>
                <w:sz w:val="20"/>
                <w:szCs w:val="20"/>
                <w:color w:val="auto"/>
              </w:rPr>
            </w:pPr>
            <w:r>
              <w:rPr>
                <w:rFonts w:ascii="Courier New" w:cs="Courier New" w:eastAsia="Courier New" w:hAnsi="Courier New"/>
                <w:sz w:val="16"/>
                <w:szCs w:val="16"/>
                <w:color w:val="auto"/>
              </w:rPr>
              <w:t>(unaudited)</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932"/>
        </w:trPr>
        <w:tc>
          <w:tcPr>
            <w:tcW w:w="5480" w:type="dxa"/>
            <w:vAlign w:val="bottom"/>
          </w:tcPr>
          <w:p>
            <w:pPr>
              <w:spacing w:after="0"/>
              <w:rPr>
                <w:sz w:val="24"/>
                <w:szCs w:val="24"/>
                <w:color w:val="auto"/>
              </w:rPr>
            </w:pP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June 30,</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1997</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1996</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3"/>
        </w:trPr>
        <w:tc>
          <w:tcPr>
            <w:tcW w:w="54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Rental income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$47,061</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$39,913</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1,448</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1,056</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Other income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2,293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2,601</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50,802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43,570</w:t>
            </w:r>
          </w:p>
        </w:tc>
      </w:tr>
      <w:tr>
        <w:trPr>
          <w:trHeight w:val="745"/>
        </w:trPr>
        <w:tc>
          <w:tcPr>
            <w:tcW w:w="548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Rental</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10,789</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9,924</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Real estate taxes</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4,892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4,045</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11,999</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11,139</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Administrative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2,493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2,136</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10,404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9,344</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40,577</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36,588</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Operating income before investors' share</w:t>
            </w:r>
          </w:p>
        </w:tc>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of operations and gain on sale of real estate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10,225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6,982</w:t>
            </w:r>
          </w:p>
        </w:tc>
      </w:tr>
      <w:tr>
        <w:trPr>
          <w:trHeight w:val="373"/>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Investors' share of operations</w:t>
            </w:r>
          </w:p>
        </w:tc>
        <w:tc>
          <w:tcPr>
            <w:tcW w:w="22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(249)</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before gain on sale of real estate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9,976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6,897</w:t>
            </w:r>
          </w:p>
        </w:tc>
      </w:tr>
      <w:tr>
        <w:trPr>
          <w:trHeight w:val="373"/>
        </w:trPr>
        <w:tc>
          <w:tcPr>
            <w:tcW w:w="5480" w:type="dxa"/>
            <w:vAlign w:val="bottom"/>
          </w:tcPr>
          <w:p>
            <w:pPr>
              <w:spacing w:after="0"/>
              <w:rPr>
                <w:sz w:val="20"/>
                <w:szCs w:val="20"/>
                <w:color w:val="auto"/>
              </w:rPr>
            </w:pPr>
            <w:r>
              <w:rPr>
                <w:rFonts w:ascii="Courier New" w:cs="Courier New" w:eastAsia="Courier New" w:hAnsi="Courier New"/>
                <w:sz w:val="16"/>
                <w:szCs w:val="16"/>
                <w:color w:val="auto"/>
              </w:rPr>
              <w:t>Gain on sale of real estate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7,034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$17,010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$6,897</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48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39,219</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33,066</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548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Income before gain on sale of real estate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$0.25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$0.21</w:t>
            </w:r>
          </w:p>
        </w:tc>
      </w:tr>
      <w:tr>
        <w:trPr>
          <w:trHeight w:val="186"/>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Gain on sale of real estate</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0.18</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$0.43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$0.21</w:t>
            </w:r>
          </w:p>
        </w:tc>
      </w:tr>
      <w:tr>
        <w:trPr>
          <w:trHeight w:val="186"/>
        </w:trPr>
        <w:tc>
          <w:tcPr>
            <w:tcW w:w="5480" w:type="dxa"/>
            <w:vAlign w:val="bottom"/>
          </w:tcPr>
          <w:p>
            <w:pPr>
              <w:spacing w:after="0"/>
              <w:rPr>
                <w:sz w:val="16"/>
                <w:szCs w:val="16"/>
                <w:color w:val="auto"/>
              </w:rPr>
            </w:pP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40" w:type="dxa"/>
            <w:vAlign w:val="bottom"/>
          </w:tcPr>
          <w:p>
            <w:pPr>
              <w:ind w:left="1840"/>
              <w:spacing w:after="0"/>
              <w:rPr>
                <w:sz w:val="20"/>
                <w:szCs w:val="20"/>
                <w:color w:val="auto"/>
              </w:rPr>
            </w:pPr>
            <w:r>
              <w:rPr>
                <w:rFonts w:ascii="Courier New" w:cs="Courier New" w:eastAsia="Courier New" w:hAnsi="Courier New"/>
                <w:sz w:val="16"/>
                <w:szCs w:val="16"/>
                <w:color w:val="auto"/>
              </w:rPr>
              <w:t>(unaudited)</w:t>
            </w:r>
          </w:p>
        </w:tc>
        <w:tc>
          <w:tcPr>
            <w:tcW w:w="1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745"/>
        </w:trPr>
        <w:tc>
          <w:tcPr>
            <w:tcW w:w="5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4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Six months ended June 30,</w:t>
            </w:r>
          </w:p>
        </w:tc>
        <w:tc>
          <w:tcPr>
            <w:tcW w:w="1340" w:type="dxa"/>
            <w:vAlign w:val="bottom"/>
          </w:tcPr>
          <w:p>
            <w:pPr>
              <w:spacing w:after="0"/>
              <w:rPr>
                <w:sz w:val="24"/>
                <w:szCs w:val="24"/>
                <w:color w:val="auto"/>
              </w:rPr>
            </w:pPr>
          </w:p>
        </w:tc>
      </w:tr>
      <w:tr>
        <w:trPr>
          <w:trHeight w:val="186"/>
        </w:trPr>
        <w:tc>
          <w:tcPr>
            <w:tcW w:w="5140" w:type="dxa"/>
            <w:vAlign w:val="bottom"/>
          </w:tcPr>
          <w:p>
            <w:pPr>
              <w:spacing w:after="0"/>
              <w:rPr>
                <w:sz w:val="16"/>
                <w:szCs w:val="16"/>
                <w:color w:val="auto"/>
              </w:rPr>
            </w:pP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1997</w:t>
            </w:r>
          </w:p>
        </w:tc>
        <w:tc>
          <w:tcPr>
            <w:tcW w:w="1740" w:type="dxa"/>
            <w:vAlign w:val="bottom"/>
          </w:tcPr>
          <w:p>
            <w:pPr>
              <w:spacing w:after="0"/>
              <w:rPr>
                <w:sz w:val="16"/>
                <w:szCs w:val="16"/>
                <w:color w:val="auto"/>
              </w:rPr>
            </w:pP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1996</w:t>
            </w:r>
          </w:p>
        </w:tc>
        <w:tc>
          <w:tcPr>
            <w:tcW w:w="1340" w:type="dxa"/>
            <w:vAlign w:val="bottom"/>
          </w:tcPr>
          <w:p>
            <w:pPr>
              <w:spacing w:after="0"/>
              <w:rPr>
                <w:sz w:val="16"/>
                <w:szCs w:val="16"/>
                <w:color w:val="auto"/>
              </w:rPr>
            </w:pPr>
          </w:p>
        </w:tc>
      </w:tr>
      <w:tr>
        <w:trPr>
          <w:trHeight w:val="186"/>
        </w:trPr>
        <w:tc>
          <w:tcPr>
            <w:tcW w:w="51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Shares</w:t>
            </w:r>
          </w:p>
        </w:tc>
        <w:tc>
          <w:tcPr>
            <w:tcW w:w="17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Amount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Amount</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Balance, beginning of period</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35,948,044</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$597,917</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32,221,670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$508,870</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Net proceeds from sale of shares</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3,000,000</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83,925</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1,818,182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$39,327</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Exercise of stock options</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66,468</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1,401</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26,501</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531</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Shares issued under dividend reinvestment plan</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74,838</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2,009</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92,806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2,024</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Shares granted under bonus plan</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22,000</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621</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Balance, end of period</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39,111,350</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$685,873</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34,159,159</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$550,752</w:t>
            </w:r>
          </w:p>
        </w:tc>
      </w:tr>
      <w:tr>
        <w:trPr>
          <w:trHeight w:val="186"/>
        </w:trPr>
        <w:tc>
          <w:tcPr>
            <w:tcW w:w="51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932"/>
        </w:trPr>
        <w:tc>
          <w:tcPr>
            <w:tcW w:w="514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in Treasury, Deferred Compensation and</w:t>
            </w:r>
          </w:p>
        </w:tc>
        <w:tc>
          <w:tcPr>
            <w:tcW w:w="1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Subscriptions Receivable</w:t>
            </w:r>
          </w:p>
        </w:tc>
        <w:tc>
          <w:tcPr>
            <w:tcW w:w="1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Balance, beginning of period</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(480,948)</w:t>
            </w: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($8,332)</w:t>
            </w:r>
          </w:p>
        </w:tc>
        <w:tc>
          <w:tcPr>
            <w:tcW w:w="18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(500,095)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($8,567)</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Amortization of deferred compensation</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30,125</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480</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30,250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482</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Deferred compensation under bonus plan</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(22,000)</w:t>
            </w: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(621)</w:t>
            </w:r>
          </w:p>
        </w:tc>
        <w:tc>
          <w:tcPr>
            <w:tcW w:w="18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Purchase of shares under share purchase plan</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16,753</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236</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1,250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Purchase of treasury shares</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(1,058)</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Increase in stock option loans, net of repayments</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(10,500)</w:t>
            </w: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(223)</w:t>
            </w:r>
          </w:p>
        </w:tc>
        <w:tc>
          <w:tcPr>
            <w:tcW w:w="18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(19,834)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(393)</w:t>
            </w:r>
          </w:p>
        </w:tc>
      </w:tr>
      <w:tr>
        <w:trPr>
          <w:trHeight w:val="186"/>
        </w:trPr>
        <w:tc>
          <w:tcPr>
            <w:tcW w:w="51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Balance, end of period</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(466,570)</w:t>
            </w: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($8,460)</w:t>
            </w:r>
          </w:p>
        </w:tc>
        <w:tc>
          <w:tcPr>
            <w:tcW w:w="18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(489,487)</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($8,483)</w:t>
            </w:r>
          </w:p>
        </w:tc>
      </w:tr>
      <w:tr>
        <w:trPr>
          <w:trHeight w:val="186"/>
        </w:trPr>
        <w:tc>
          <w:tcPr>
            <w:tcW w:w="51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118"/>
        </w:trPr>
        <w:tc>
          <w:tcPr>
            <w:tcW w:w="5140" w:type="dxa"/>
            <w:vAlign w:val="bottom"/>
          </w:tcPr>
          <w:p>
            <w:pPr>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Balance, beginning of period</w:t>
            </w:r>
          </w:p>
        </w:tc>
        <w:tc>
          <w:tcPr>
            <w:tcW w:w="1500" w:type="dxa"/>
            <w:vAlign w:val="bottom"/>
          </w:tcPr>
          <w:p>
            <w:pPr>
              <w:spacing w:after="0"/>
              <w:rPr>
                <w:sz w:val="16"/>
                <w:szCs w:val="16"/>
                <w:color w:val="auto"/>
              </w:rPr>
            </w:pP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($200,700)</w:t>
            </w:r>
          </w:p>
        </w:tc>
        <w:tc>
          <w:tcPr>
            <w:tcW w:w="18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($172,835)</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500" w:type="dxa"/>
            <w:vAlign w:val="bottom"/>
          </w:tcPr>
          <w:p>
            <w:pPr>
              <w:spacing w:after="0"/>
              <w:rPr>
                <w:sz w:val="16"/>
                <w:szCs w:val="16"/>
                <w:color w:val="auto"/>
              </w:rPr>
            </w:pP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26,321</w:t>
            </w:r>
          </w:p>
        </w:tc>
        <w:tc>
          <w:tcPr>
            <w:tcW w:w="18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12,923</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Dividends declared to shareholders</w:t>
            </w:r>
          </w:p>
        </w:tc>
        <w:tc>
          <w:tcPr>
            <w:tcW w:w="1500" w:type="dxa"/>
            <w:vAlign w:val="bottom"/>
          </w:tcPr>
          <w:p>
            <w:pPr>
              <w:spacing w:after="0"/>
              <w:rPr>
                <w:sz w:val="16"/>
                <w:szCs w:val="16"/>
                <w:color w:val="auto"/>
              </w:rPr>
            </w:pP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(32,782)</w:t>
            </w:r>
          </w:p>
        </w:tc>
        <w:tc>
          <w:tcPr>
            <w:tcW w:w="18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(27,192)</w:t>
            </w:r>
          </w:p>
        </w:tc>
      </w:tr>
      <w:tr>
        <w:trPr>
          <w:trHeight w:val="186"/>
        </w:trPr>
        <w:tc>
          <w:tcPr>
            <w:tcW w:w="5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Balance, end of period</w:t>
            </w:r>
          </w:p>
        </w:tc>
        <w:tc>
          <w:tcPr>
            <w:tcW w:w="1500" w:type="dxa"/>
            <w:vAlign w:val="bottom"/>
          </w:tcPr>
          <w:p>
            <w:pPr>
              <w:spacing w:after="0"/>
              <w:rPr>
                <w:sz w:val="16"/>
                <w:szCs w:val="16"/>
                <w:color w:val="auto"/>
              </w:rPr>
            </w:pP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($207,161)</w:t>
            </w:r>
          </w:p>
        </w:tc>
        <w:tc>
          <w:tcPr>
            <w:tcW w:w="18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($187,104)</w:t>
            </w:r>
          </w:p>
        </w:tc>
      </w:tr>
      <w:tr>
        <w:trPr>
          <w:trHeight w:val="186"/>
        </w:trPr>
        <w:tc>
          <w:tcPr>
            <w:tcW w:w="5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37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520"/>
          </w:cols>
          <w:pgMar w:left="240" w:top="676"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(unaudited)</w:t>
            </w:r>
          </w:p>
        </w:tc>
        <w:tc>
          <w:tcPr>
            <w:tcW w:w="26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59"/>
        </w:trPr>
        <w:tc>
          <w:tcPr>
            <w:tcW w:w="13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Six months ended June 30,</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(In thousands)</w:t>
            </w:r>
          </w:p>
        </w:tc>
        <w:tc>
          <w:tcPr>
            <w:tcW w:w="5040" w:type="dxa"/>
            <w:vAlign w:val="bottom"/>
          </w:tcPr>
          <w:p>
            <w:pPr>
              <w:spacing w:after="0"/>
              <w:rPr>
                <w:sz w:val="16"/>
                <w:szCs w:val="16"/>
                <w:color w:val="auto"/>
              </w:rPr>
            </w:pPr>
          </w:p>
        </w:tc>
        <w:tc>
          <w:tcPr>
            <w:tcW w:w="2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1997</w:t>
            </w:r>
          </w:p>
        </w:tc>
        <w:tc>
          <w:tcPr>
            <w:tcW w:w="14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r>
      <w:tr>
        <w:trPr>
          <w:trHeight w:val="186"/>
        </w:trPr>
        <w:tc>
          <w:tcPr>
            <w:tcW w:w="13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OPERATING ACTIVITIES</w:t>
            </w:r>
          </w:p>
        </w:tc>
        <w:tc>
          <w:tcPr>
            <w:tcW w:w="2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5040" w:type="dxa"/>
            <w:vAlign w:val="bottom"/>
          </w:tcPr>
          <w:p>
            <w:pPr>
              <w:spacing w:after="0"/>
              <w:rPr>
                <w:sz w:val="16"/>
                <w:szCs w:val="16"/>
                <w:color w:val="auto"/>
              </w:rPr>
            </w:pP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$26,321</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$12,923</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26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6"/>
        </w:trPr>
        <w:tc>
          <w:tcPr>
            <w:tcW w:w="64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provided by operations</w:t>
            </w:r>
          </w:p>
        </w:tc>
        <w:tc>
          <w:tcPr>
            <w:tcW w:w="26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6"/>
        </w:trPr>
        <w:tc>
          <w:tcPr>
            <w:tcW w:w="64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Depreciation and amortization</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20,527</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18,676</w:t>
            </w:r>
          </w:p>
        </w:tc>
      </w:tr>
      <w:tr>
        <w:trPr>
          <w:trHeight w:val="186"/>
        </w:trPr>
        <w:tc>
          <w:tcPr>
            <w:tcW w:w="64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Rent abatements in lieu of leasehold improvements,</w:t>
            </w:r>
          </w:p>
        </w:tc>
        <w:tc>
          <w:tcPr>
            <w:tcW w:w="26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6"/>
        </w:trPr>
        <w:tc>
          <w:tcPr>
            <w:tcW w:w="64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net of tenant improvements retired</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(526)</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216</w:t>
            </w:r>
          </w:p>
        </w:tc>
      </w:tr>
      <w:tr>
        <w:trPr>
          <w:trHeight w:val="186"/>
        </w:trPr>
        <w:tc>
          <w:tcPr>
            <w:tcW w:w="64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Imputed interest and amortization of debt cost</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326</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368</w:t>
            </w:r>
          </w:p>
        </w:tc>
      </w:tr>
      <w:tr>
        <w:trPr>
          <w:trHeight w:val="186"/>
        </w:trPr>
        <w:tc>
          <w:tcPr>
            <w:tcW w:w="64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Amortization of deferred compensation and</w:t>
            </w:r>
          </w:p>
        </w:tc>
        <w:tc>
          <w:tcPr>
            <w:tcW w:w="26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6"/>
        </w:trPr>
        <w:tc>
          <w:tcPr>
            <w:tcW w:w="64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forgiveness of officers' notes</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344</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249</w:t>
            </w:r>
          </w:p>
        </w:tc>
      </w:tr>
      <w:tr>
        <w:trPr>
          <w:trHeight w:val="186"/>
        </w:trPr>
        <w:tc>
          <w:tcPr>
            <w:tcW w:w="64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Gain on sale of real estate</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(7,034)</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Changes in assets and liabilities</w:t>
            </w:r>
          </w:p>
        </w:tc>
        <w:tc>
          <w:tcPr>
            <w:tcW w:w="26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6"/>
        </w:trPr>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Increase</w:t>
            </w:r>
          </w:p>
        </w:tc>
        <w:tc>
          <w:tcPr>
            <w:tcW w:w="5040" w:type="dxa"/>
            <w:vAlign w:val="bottom"/>
          </w:tcPr>
          <w:p>
            <w:pPr>
              <w:spacing w:after="0"/>
              <w:rPr>
                <w:sz w:val="20"/>
                <w:szCs w:val="20"/>
                <w:color w:val="auto"/>
              </w:rPr>
            </w:pPr>
            <w:r>
              <w:rPr>
                <w:rFonts w:ascii="Courier New" w:cs="Courier New" w:eastAsia="Courier New" w:hAnsi="Courier New"/>
                <w:sz w:val="16"/>
                <w:szCs w:val="16"/>
                <w:color w:val="auto"/>
              </w:rPr>
              <w:t>in accounts receivable</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(584)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(608)</w:t>
            </w:r>
          </w:p>
        </w:tc>
      </w:tr>
      <w:tr>
        <w:trPr>
          <w:trHeight w:val="186"/>
        </w:trPr>
        <w:tc>
          <w:tcPr>
            <w:tcW w:w="64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Increase in prepaid expenses and other</w:t>
            </w:r>
          </w:p>
        </w:tc>
        <w:tc>
          <w:tcPr>
            <w:tcW w:w="26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6"/>
        </w:trPr>
        <w:tc>
          <w:tcPr>
            <w:tcW w:w="64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assets before depreciation and amortization</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(3,303)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(1,273)</w:t>
            </w:r>
          </w:p>
        </w:tc>
      </w:tr>
      <w:tr>
        <w:trPr>
          <w:trHeight w:val="186"/>
        </w:trPr>
        <w:tc>
          <w:tcPr>
            <w:tcW w:w="64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Decrease in operating accounts payable,</w:t>
            </w:r>
          </w:p>
        </w:tc>
        <w:tc>
          <w:tcPr>
            <w:tcW w:w="26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6"/>
        </w:trPr>
        <w:tc>
          <w:tcPr>
            <w:tcW w:w="1360" w:type="dxa"/>
            <w:vAlign w:val="bottom"/>
          </w:tcPr>
          <w:p>
            <w:pPr>
              <w:ind w:left="480"/>
              <w:spacing w:after="0"/>
              <w:rPr>
                <w:sz w:val="20"/>
                <w:szCs w:val="20"/>
                <w:color w:val="auto"/>
              </w:rPr>
            </w:pPr>
            <w:r>
              <w:rPr>
                <w:rFonts w:ascii="Courier New" w:cs="Courier New" w:eastAsia="Courier New" w:hAnsi="Courier New"/>
                <w:sz w:val="16"/>
                <w:szCs w:val="16"/>
                <w:color w:val="auto"/>
              </w:rPr>
              <w:t>security</w:t>
            </w:r>
          </w:p>
        </w:tc>
        <w:tc>
          <w:tcPr>
            <w:tcW w:w="5040" w:type="dxa"/>
            <w:vAlign w:val="bottom"/>
          </w:tcPr>
          <w:p>
            <w:pPr>
              <w:spacing w:after="0"/>
              <w:rPr>
                <w:sz w:val="20"/>
                <w:szCs w:val="20"/>
                <w:color w:val="auto"/>
              </w:rPr>
            </w:pPr>
            <w:r>
              <w:rPr>
                <w:rFonts w:ascii="Courier New" w:cs="Courier New" w:eastAsia="Courier New" w:hAnsi="Courier New"/>
                <w:sz w:val="16"/>
                <w:szCs w:val="16"/>
                <w:color w:val="auto"/>
              </w:rPr>
              <w:t>deposits and prepaid rent</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(666)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(946)</w:t>
            </w:r>
          </w:p>
        </w:tc>
      </w:tr>
      <w:tr>
        <w:trPr>
          <w:trHeight w:val="186"/>
        </w:trPr>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Decrease</w:t>
            </w:r>
          </w:p>
        </w:tc>
        <w:tc>
          <w:tcPr>
            <w:tcW w:w="5040" w:type="dxa"/>
            <w:vAlign w:val="bottom"/>
          </w:tcPr>
          <w:p>
            <w:pPr>
              <w:spacing w:after="0"/>
              <w:rPr>
                <w:sz w:val="20"/>
                <w:szCs w:val="20"/>
                <w:color w:val="auto"/>
              </w:rPr>
            </w:pPr>
            <w:r>
              <w:rPr>
                <w:rFonts w:ascii="Courier New" w:cs="Courier New" w:eastAsia="Courier New" w:hAnsi="Courier New"/>
                <w:sz w:val="16"/>
                <w:szCs w:val="16"/>
                <w:color w:val="auto"/>
              </w:rPr>
              <w:t>in accrued expenses</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(2,155)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(778)</w:t>
            </w:r>
          </w:p>
        </w:tc>
      </w:tr>
      <w:tr>
        <w:trPr>
          <w:trHeight w:val="186"/>
        </w:trPr>
        <w:tc>
          <w:tcPr>
            <w:tcW w:w="13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33,250</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28,827</w:t>
            </w:r>
          </w:p>
        </w:tc>
      </w:tr>
      <w:tr>
        <w:trPr>
          <w:trHeight w:val="373"/>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INVESTING ACTIVITIES</w:t>
            </w:r>
          </w:p>
        </w:tc>
        <w:tc>
          <w:tcPr>
            <w:tcW w:w="2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Acquisition of real estate</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(103,269)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(19,494)</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(23,571)</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(19,183)</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Application of deposit on real estate</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23,447</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increase in notes receivable</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(10,250)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(9,954)</w:t>
            </w:r>
          </w:p>
        </w:tc>
      </w:tr>
      <w:tr>
        <w:trPr>
          <w:trHeight w:val="186"/>
        </w:trPr>
        <w:tc>
          <w:tcPr>
            <w:tcW w:w="13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cash used in investing activities</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(113,643)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(48,631)</w:t>
            </w:r>
          </w:p>
        </w:tc>
      </w:tr>
      <w:tr>
        <w:trPr>
          <w:trHeight w:val="373"/>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FINANCING ACTIVITIES</w:t>
            </w:r>
          </w:p>
        </w:tc>
        <w:tc>
          <w:tcPr>
            <w:tcW w:w="2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Regular payments on mortgages, capital leases, and</w:t>
            </w:r>
          </w:p>
        </w:tc>
        <w:tc>
          <w:tcPr>
            <w:tcW w:w="26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6"/>
        </w:trPr>
        <w:tc>
          <w:tcPr>
            <w:tcW w:w="64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notes payable</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(992)</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(1,374)</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Balloon payment on note payable</w:t>
            </w:r>
          </w:p>
        </w:tc>
        <w:tc>
          <w:tcPr>
            <w:tcW w:w="2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(3,000)</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Borrowing of short-term debt, net</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33,695</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5,621</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Dividends paid</w:t>
            </w:r>
          </w:p>
        </w:tc>
        <w:tc>
          <w:tcPr>
            <w:tcW w:w="26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(30,149)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(25,099)</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Issuance of shares of beneficial interest</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86,044</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40,180</w:t>
            </w:r>
          </w:p>
        </w:tc>
      </w:tr>
      <w:tr>
        <w:trPr>
          <w:trHeight w:val="186"/>
        </w:trPr>
        <w:tc>
          <w:tcPr>
            <w:tcW w:w="6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Increase (decrease) in minority interest</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(180)</w:t>
            </w:r>
          </w:p>
        </w:tc>
      </w:tr>
      <w:tr>
        <w:trPr>
          <w:trHeight w:val="186"/>
        </w:trPr>
        <w:tc>
          <w:tcPr>
            <w:tcW w:w="13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88,848</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16,148</w:t>
            </w:r>
          </w:p>
        </w:tc>
      </w:tr>
      <w:tr>
        <w:trPr>
          <w:trHeight w:val="186"/>
        </w:trPr>
        <w:tc>
          <w:tcPr>
            <w:tcW w:w="13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Increase (decrease) in cash</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8,455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(3,656)</w:t>
            </w:r>
          </w:p>
        </w:tc>
      </w:tr>
      <w:tr>
        <w:trPr>
          <w:trHeight w:val="373"/>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Cash at beginning of period</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11,041</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10,521</w:t>
            </w:r>
          </w:p>
        </w:tc>
      </w:tr>
      <w:tr>
        <w:trPr>
          <w:trHeight w:val="186"/>
        </w:trPr>
        <w:tc>
          <w:tcPr>
            <w:tcW w:w="13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Cash at end of period</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$19,496</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$6,865</w:t>
            </w:r>
          </w:p>
        </w:tc>
      </w:tr>
      <w:tr>
        <w:trPr>
          <w:trHeight w:val="186"/>
        </w:trPr>
        <w:tc>
          <w:tcPr>
            <w:tcW w:w="13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460"/>
          </w:cols>
          <w:pgMar w:left="240" w:top="676" w:right="1199" w:bottom="1440" w:gutter="0" w:footer="0" w:header="0"/>
        </w:sectPr>
      </w:pPr>
    </w:p>
    <w:bookmarkStart w:id="9" w:name="page10"/>
    <w:bookmarkEnd w:id="9"/>
    <w:p>
      <w:pPr>
        <w:ind w:left="23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June 30, 1997</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(see accountants' review report)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ACCOUNTING POLICIES AND OTHER DATA</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Reference should be made to the notes to financial statements included in the Annual Report to shareholders for the year ended December 31, 1996 which contain the Trust's accounting policies and other data.</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Financial Accounting Standards Board has issued SFAS 128, "Earnings Per Share" which will be effective for financial statements issued for periods ending after December 15, 1997. SFAS 128 requires that public companies present basic and diluted earnings per share, which are computed differently than the currently used primary and fully diluted earnings per share. The most significant difference in the computation for the Trust is the exclusion of the effect of dilutive stock options from the computation of basic earnings per share. Since the effect of dilutive stock options is negligible, basic and diluted earnings per share are equal as follows: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For the six</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mos.</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the three mos.</w:t>
            </w:r>
          </w:p>
        </w:tc>
      </w:tr>
      <w:tr>
        <w:trPr>
          <w:trHeight w:val="186"/>
        </w:trPr>
        <w:tc>
          <w:tcPr>
            <w:tcW w:w="2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ended June</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c>
          <w:tcPr>
            <w:tcW w:w="20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ended June 30,</w:t>
            </w:r>
          </w:p>
        </w:tc>
      </w:tr>
      <w:tr>
        <w:trPr>
          <w:trHeight w:val="186"/>
        </w:trPr>
        <w:tc>
          <w:tcPr>
            <w:tcW w:w="2900" w:type="dxa"/>
            <w:vAlign w:val="bottom"/>
          </w:tcPr>
          <w:p>
            <w:pPr>
              <w:spacing w:after="0"/>
              <w:rPr>
                <w:sz w:val="16"/>
                <w:szCs w:val="16"/>
                <w:color w:val="auto"/>
              </w:rPr>
            </w:pPr>
          </w:p>
        </w:tc>
        <w:tc>
          <w:tcPr>
            <w:tcW w:w="14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1997</w:t>
            </w:r>
          </w:p>
        </w:tc>
        <w:tc>
          <w:tcPr>
            <w:tcW w:w="6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1996</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r>
        <w:trPr>
          <w:trHeight w:val="186"/>
        </w:trPr>
        <w:tc>
          <w:tcPr>
            <w:tcW w:w="2900" w:type="dxa"/>
            <w:vAlign w:val="bottom"/>
          </w:tcPr>
          <w:p>
            <w:pPr>
              <w:spacing w:after="0"/>
              <w:rPr>
                <w:sz w:val="16"/>
                <w:szCs w:val="16"/>
                <w:color w:val="auto"/>
              </w:rPr>
            </w:pPr>
          </w:p>
        </w:tc>
        <w:tc>
          <w:tcPr>
            <w:tcW w:w="14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Income before gain</w:t>
            </w: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on sale of real estate</w:t>
            </w:r>
          </w:p>
        </w:tc>
        <w:tc>
          <w:tcPr>
            <w:tcW w:w="14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$.50</w:t>
            </w:r>
          </w:p>
        </w:tc>
        <w:tc>
          <w:tcPr>
            <w:tcW w:w="6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Gain on sale of real estate</w:t>
            </w:r>
          </w:p>
        </w:tc>
        <w:tc>
          <w:tcPr>
            <w:tcW w:w="14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.18</w:t>
            </w:r>
          </w:p>
        </w:tc>
        <w:tc>
          <w:tcPr>
            <w:tcW w:w="6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16"/>
                <w:szCs w:val="16"/>
                <w:color w:val="auto"/>
              </w:rPr>
            </w:pPr>
          </w:p>
        </w:tc>
        <w:tc>
          <w:tcPr>
            <w:tcW w:w="14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4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$.68</w:t>
            </w:r>
          </w:p>
        </w:tc>
        <w:tc>
          <w:tcPr>
            <w:tcW w:w="6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6"/>
        </w:trPr>
        <w:tc>
          <w:tcPr>
            <w:tcW w:w="2900" w:type="dxa"/>
            <w:vAlign w:val="bottom"/>
          </w:tcPr>
          <w:p>
            <w:pPr>
              <w:spacing w:after="0"/>
              <w:rPr>
                <w:sz w:val="16"/>
                <w:szCs w:val="16"/>
                <w:color w:val="auto"/>
              </w:rPr>
            </w:pPr>
          </w:p>
        </w:tc>
        <w:tc>
          <w:tcPr>
            <w:tcW w:w="14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DIVIDENDS PAYABLE</w:t>
      </w:r>
    </w:p>
    <w:p>
      <w:pPr>
        <w:spacing w:after="0" w:line="191"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On May 7, 1997 the Trustees declared a cash dividend of $.42 per share, payable July 15, 1997 to shareholders of record June 25, 1997.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REAL ESTATE</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On January 6, 1997 the Trust purchased the fee interest in Shillington, Troy and Feasterville Shopping Centers for $1.9 million, $5.7 million and $2.2 million, respectively. The Trust also contracted to purchase the fee interest in Lawrence Park Shopping Center in June 1998 for $8.5 million. In connection with the purchase agreement for Lawrence Park, in January 1997 the Trust lent the seller $8.8 million at 8% interest which is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0" w:name="page11"/>
    <w:bookmarkEnd w:id="10"/>
    <w:p>
      <w:pPr>
        <w:ind w:right="2559"/>
        <w:spacing w:after="0" w:line="248" w:lineRule="auto"/>
        <w:rPr>
          <w:sz w:val="20"/>
          <w:szCs w:val="20"/>
          <w:color w:val="auto"/>
        </w:rPr>
      </w:pPr>
      <w:r>
        <w:rPr>
          <w:rFonts w:ascii="Courier New" w:cs="Courier New" w:eastAsia="Courier New" w:hAnsi="Courier New"/>
          <w:sz w:val="16"/>
          <w:szCs w:val="16"/>
          <w:color w:val="auto"/>
        </w:rPr>
        <w:t>due in June 1998. The Trust had previously held these properties under capital leases.</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On February 24, 1997 the Trust purchased a 16 acre tract of land underlying part of the Shops at Willow Lawn for $4.6 million in cash. On June 3, 1997 the Trust exercised its purchase option on a parcel of land adjacent to its Bethesda Row property in Bethesda, Maryland for $5.8 million in cash. The land will be used for future development. In connection with the purchase, a $3.6 million mortgage which the Trust had made to the seller was repaid.</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Trust purchased four retail buildings and two shopping centers during the first half of 1997. On January 22, 1997 the Trust purchased a 5,000 square foot retail building in Chicago, Illinois for cash of $4.2 million. On March 31, 1997 two partnerships were formed to purchase property in California. One of the partnerships purchased a 15,000 square foot building in Santa Monica, California for $4.0 million and the other purchased a 20,000 square foot building in San Diego, California for $850,000. On April 17, 1997 Street Retail West II, a partnership which was organized in December 1996, exercised its purchase option on a retail building in Santa Monica, California. The total cost, including the buyout of the existing tenant, was $7.1 million. In accordance with the provisions of the three partnership agreements, the Trust contributed 90% of the costs to the partnerships with the other 10% being contributed by the minority interests.</w:t>
      </w:r>
    </w:p>
    <w:p>
      <w:pPr>
        <w:spacing w:after="0" w:line="19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On March 5, 1997 the Trust, through a Limited Liability Company ("the LLC") organized by the Trust, purchased the 320,000 square foot San Jose Town &amp; Country Village Shopping Center in San Jose, California for $42.8 million. The other member of the LLC has a minor interest in the profits. On March 31, 1997 the 159,000 square foot Pike 7 Shopping Center in Tysons Corner, Virginia was purchased for $31.5 million by a partnership formed to own the center. The Trust contributed $30.9 million to the partnership which was used to pay off existing debt on the center. The other partners contributed the shopping center and its existing debt in exchange for partnership units valued at $495,000 which are exchangeable, at the option of the Trust, for cash or 18,074 common shares of the Trust.</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On May 13, 1997 the Trust sold Town &amp; Country Shopping Center in Springfield, Illinois for $7.5 million, resulting in a gain of $5.3 million. On May 30, 1997 Shillington Shopping Center in Shillington, Pennsylvania was sold for $4.6 million, resulting in a gain of $1.7 million. The cash from these transactions was deposited with an escrow agent to be used for future acquisitions, in order to structure the sales as tax free exchanges for tax purposes.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NOTE D - MORTGAGE NOTES RECEIVABLE</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On April 17, 1997 the Trust loaned the minority partners in Street Retail West II $3.9 million. The loan is secured by property in Santa Monica, earns interest at 10% and participates in certain revenues and appreciation of the property.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OTHER ASSETS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On April 24, 1997 the Trust purchased Terranomics Retail Services, a property management and brokerage company, for approximately $2.0 million, to provide it with leasing and property management services on the west coast.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NOTES PAYABLE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Trust has $135 million of unsecured medium term revolving credit facilities with four banks. The facilities, which bear interest at LIBOR plus 75 basis points, require fees and have covenants requiring a minimum shareholders' equity and a maximum ratio of debt to net worth. At June 30, 1997 there was $93.1 million borrowed under these credit facilities. The maximum drawn during the first half of 1997 was $93.1 million. The weighted average interest rate on borrowings for the six months ended June 30, 1997 was 6.4%.</w:t>
      </w:r>
    </w:p>
    <w:p>
      <w:pPr>
        <w:spacing w:after="0" w:line="185"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A $2.5 million note issued in connection with a lease at Barracks Road was retired during the first six months of 1997.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SHAREHOLDERS' EQUITY</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 February 4, 1997 the Trust sold 3.0 million shares to an institutional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 for $28 per share, netting $83.9 million. During the first six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1997, 66,468 shares were issued at prices ranging from $20.50 a share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$24.125 a share from the exercise of stock options. The Trust accepted notes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$264,000 from certain of its officers and employees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of 12,500 of these shares and a note for $41,000 was repaid.</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On January 31, 1997, 22,000 restricted shares were granted to an officer and two employees of the Trust. The shares vest over three years.</w:t>
      </w:r>
    </w:p>
    <w:p>
      <w:pPr>
        <w:spacing w:after="0" w:line="184"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During the first six months of 1997, 1.1 million options at prices ranging from $25.75 per share to $27.125 per share were granted to certain officers and employees.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NOTE F - INTEREST EXPENSE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Trust incurred interest expense totaling $25.2 million during the first half of 1997 and $22.8 million during the first half of 1996, of which $1.2 million and $465,000, respectively, were capitalized. Interest paid was $24.8 million in the first half of 1997 and $22.6 million in the first half of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G - COMMITMENTS AND CONTINGENCIES</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Under the terms of certain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At June 30, 1997 in connection with certain redevelopment projects and tenant improvements, the Trust is contractually obligated on contracts of approximately $7.6 million. At June 30, 1997 the Trust is also obligated under leases with tenants to provide up to an additional $6.5 million for improvements.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NOTE H - COMPONENTS OF RENTAL INCOME</w:t>
      </w:r>
    </w:p>
    <w:p>
      <w:pPr>
        <w:spacing w:after="0" w:line="191"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The components of rental income for the six months ended June 30 are as follows: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40" w:type="dxa"/>
            <w:vAlign w:val="bottom"/>
          </w:tcPr>
          <w:p>
            <w:pPr>
              <w:spacing w:after="0"/>
              <w:rPr>
                <w:sz w:val="15"/>
                <w:szCs w:val="15"/>
                <w:color w:val="auto"/>
              </w:rPr>
            </w:pP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1997</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1996</w:t>
            </w:r>
          </w:p>
        </w:tc>
      </w:tr>
      <w:tr>
        <w:trPr>
          <w:trHeight w:val="186"/>
        </w:trPr>
        <w:tc>
          <w:tcPr>
            <w:tcW w:w="214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2140" w:type="dxa"/>
            <w:vAlign w:val="bottom"/>
          </w:tcPr>
          <w:p>
            <w:pPr>
              <w:spacing w:after="0"/>
              <w:rPr>
                <w:sz w:val="24"/>
                <w:szCs w:val="24"/>
                <w:color w:val="auto"/>
              </w:rPr>
            </w:pPr>
          </w:p>
        </w:tc>
        <w:tc>
          <w:tcPr>
            <w:tcW w:w="18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(in thousands)</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Retail properties</w:t>
            </w: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Minimum rents</w:t>
            </w: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$71,226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$63,551</w:t>
            </w:r>
          </w:p>
        </w:tc>
      </w:tr>
      <w:tr>
        <w:trPr>
          <w:trHeight w:val="186"/>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Cost reimbursements</w:t>
            </w: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16,258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13,521</w:t>
            </w:r>
          </w:p>
        </w:tc>
      </w:tr>
      <w:tr>
        <w:trPr>
          <w:trHeight w:val="186"/>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Percentage rents</w:t>
            </w: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2,366</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Apartments</w:t>
            </w: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1,238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1,222</w:t>
            </w:r>
          </w:p>
        </w:tc>
      </w:tr>
      <w:tr>
        <w:trPr>
          <w:trHeight w:val="186"/>
        </w:trPr>
        <w:tc>
          <w:tcPr>
            <w:tcW w:w="214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14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$90,981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$80,660</w:t>
            </w:r>
          </w:p>
        </w:tc>
      </w:tr>
      <w:tr>
        <w:trPr>
          <w:trHeight w:val="186"/>
        </w:trPr>
        <w:tc>
          <w:tcPr>
            <w:tcW w:w="214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I - SUBSEQUENT EVENTS</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On July 16, 1997 the Trust purchased a 3,750 square foot parcel of land in Bethesda, Maryland for approximately $800,000. The land was purchased in order to allow future expansion of the Trust's Bethesda Row property.</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On July 29, 1997 the Trust sold $40 million of 6.82% Medium Term Notes. The notes, which pay interest semi-annually on February 1 and August 1, mature on August 1, 2027, but may be redeemed, at par, at the option of the holders on August 1, 2007.</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14" w:name="page15"/>
    <w:bookmarkEnd w:id="14"/>
    <w:p>
      <w:pPr>
        <w:jc w:val="center"/>
        <w:ind w:right="2559"/>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June 30, 1997</w:t>
      </w:r>
    </w:p>
    <w:p>
      <w:pPr>
        <w:spacing w:after="0" w:line="37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Federal Realty meets its liquidity requirements through net cash provided by operating activities, long term borrowing through debt offerings and mortgages, medium and short term borrowing under revolving credit facilities, and equity offerings. Because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Net cash provided by operating activities increased from $28.8 million during the first half of 1996 to $33.3 million during the first half of 1997. The $4.4 million increase resulted primarily from the positive cash effects of a $6.4 million increase in income before gain on sale of real estate and a $1.9 million increase in depreciation and amortization offset by a $3.1 million increase in cash used for operating activities such as accounts receivable, prepaid expenses, accounts payable and accrued expenses. Dividends paid in cash were $30.1 million in 1997 and $25.1 million in 1996.</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During the first half of 1997, the Trust invested $103.3 million of cash to acquire real estate assets, $23.6 million to improve its properties and $13.7 million in mortgage notes receivable. On January 6, 1997 the Trust purchased the fee interest in Shillington, Troy and Feasterville Shopping Centers for $1.9 million, $5.7 million and $2.2 million, respectively. The Trust also contracted to purchase the fee interest in Lawrence Park Shopping Center in June 1998 for $8.5 million. In connection with the purchase agreement for Lawrence Park, in January 1997 the Trust lent the seller $8.8 million at 8% interest which is due in June 1998. The Trust had previously held these properties under capital leases. On February 24, 1997 the Trust purchased a 16 acre tract of land underlying part of the Shops at Willow Lawn for $4.6 million in cash. On June 3, 1997 the Trust exercised its purchase option on a parcel of land adjacent to its Bethesda Row property in Bethesda, Maryland for $5.8 million in cash. The land will be used for future development. In connection with the purchase, a $3.6 million mortgage which the Trust had made to the seller was repaid.</w:t>
      </w:r>
    </w:p>
    <w:p>
      <w:pPr>
        <w:spacing w:after="0" w:line="195"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The Trust purchased four retail buildings and two shopping centers during the first half of 1997. On January 22, 1997</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15" w:name="page16"/>
    <w:bookmarkEnd w:id="15"/>
    <w:p>
      <w:pPr>
        <w:ind w:right="2459"/>
        <w:spacing w:after="0" w:line="246" w:lineRule="auto"/>
        <w:rPr>
          <w:sz w:val="20"/>
          <w:szCs w:val="20"/>
          <w:color w:val="auto"/>
        </w:rPr>
      </w:pPr>
      <w:r>
        <w:rPr>
          <w:rFonts w:ascii="Courier New" w:cs="Courier New" w:eastAsia="Courier New" w:hAnsi="Courier New"/>
          <w:sz w:val="16"/>
          <w:szCs w:val="16"/>
          <w:color w:val="auto"/>
        </w:rPr>
        <w:t>the Trust purchased a 5,000 square foot retail building in Chicago, Illinois for cash of $4.2 million. On March 31, 1997 two partnerships were formed to purchase property in California. One of the partnerships purchased a 15,000 square foot building in Santa Monica, California for $4.0 million and the other purchased a 20,000 square foot building in San Diego, California for $850,000. On April 17, 1997, Street Retail West II, a partnership which was organized in December 1996, exercised its purchase option on a retail building in Santa Monica, California. The total cost, including the buyout of the existing tenant, was $7.1 million. In accordance with the provisions of the partnership agreements, the Trust contributed 90% of the cost of these buildings to the partnerships with the other 10% being contributed by the minority interests. Also, on April 17, 1997 the Trust loaned the minority partners in Street Retail West II $3.9 million. The loan is secured by property in Santa Monica, earns interest at 10% and participates in certain revenues and appreciation of the property.</w:t>
      </w:r>
    </w:p>
    <w:p>
      <w:pPr>
        <w:spacing w:after="0" w:line="38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On March 5, 1997 the Trust, through a Limited Liability Company ("the LLC") organized by the Trust, purchased the 320,000 square foot San Jose Town &amp; Country Village Shopping Center in San Jose, California for $42.8 million. The other member of the LLC has a minor interest in the profits. On March 31, 1997 the 159,000 square foot Pike 7 Shopping Center in Tysons Corner, Virginia was purchased for $31.5 million by a partnership formed to own the center. The Trust contributed $30.9 million to the partnership which was used to pay off existing debt on the center. The other partners contributed the shopping center and its existing debt in exchange for partnership units valued at $495,000 which are exchangeable, at the option of the Trust, for cash or 18,074 common shares of the Trust.</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On May 13, 1997 the Trust sold Town &amp; Country Shopping Center in Springfield, Illinois for $7.5 million, resulting in a gain of $5.3 million. On May 30, 1997 Shillington Shopping Center in Shillington, Pennsylvania was sold for $4.6 million, resulting in a gain of $1.7 million. The cash from these transactions was deposited with an escrow agent to be used for future acquisitions, in order to structure the sales as tax free exchanges for tax purposes.</w:t>
      </w:r>
    </w:p>
    <w:p>
      <w:pPr>
        <w:spacing w:after="0" w:line="185"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Improvements to Trust properties during the first half of 1997 included $4.3 million for the second phase of the redevelopment of Brick Plaza, $2.7 million to begin the redevelopment of Wynnewood Shopping Center, $3.2 on the redevelopment of Troy Shopping Center and $6.5 million of tenant work.</w:t>
      </w:r>
    </w:p>
    <w:p>
      <w:pPr>
        <w:spacing w:after="0" w:line="186"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On April 24, 1997 the Trust purchased Terranomics Retail Services, a property management and brokerage company for approximately $2.0 million, to provide it with leasing and property management services on the west coast.</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16" w:name="page17"/>
    <w:bookmarkEnd w:id="16"/>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On July 16, 1997 the Trust purchased a 3,750 square foot parcel of land in Bethesda, Maryland for approximately $800,000. The land was purchased in order to allow future expansion of the Trust's Bethesda Row property.</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Trust has $135.0 million of unsecured medium-term revolving credit facilities with four banks. The facilities, which require fees and have covenants requiring a minimum shareholders' equity and a maximum ratio of debt to net worth, are used to fund acquisitions and other cash requirements until conditions are favorable for issuing equity or long term debt. At June 30, 1997 the Trust had borrowed $93.1 million under these facilities, the maximum amount borrowed under these facilities in 1997. Amounts advanced under these facilities bear interest at LIBOR plus 75 basis points; the weighted average interest rate on borrowings during the first half of 1997 was 6.4%.</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On February 4, 1997 the Trust sold 3.0 million shares to an institutional investor for $28 per share, netting $83.9 million. Proceeds from this offering were used primarily to repay borrowings on the revolving credit facilities.</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On July 29, 1997 The Trust sold $49 million of 6.82% Medium Term Notes. The notes, which pay interest semi-annually on February 1 and August 1, mature on August 1, 2027, but may be redeemed, at par, at the option of the holders on August 1, 2007. Proceeds will be used to repay borrowings on the revolving credit facilities.</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Trust is contractually obligated on contracts of approximately $7.6 million for redevelopment and tenant improvements and is committed under leases for up to an additional $6.5 million in tenant work and general improvements to its properties. In addition to these committed amounts, the Trust has budgeted an additional $6 million for the remainder of 1997 for improvements to its properties. These committed and budgeted improvements include the completion of the second phase of the redevelopment and expansion of Brick Plaza, the completion of the renovation and retenanting of Troy Shopping Center, and the continuation of the renovation and retenanting of Wynnewood Shopping Center. These expenditures will be funded with the revolving credit facilities pending their long term financing with either equity or debt.</w:t>
      </w:r>
    </w:p>
    <w:p>
      <w:pPr>
        <w:spacing w:after="0" w:line="193"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The Trust plans additional acquisitions of retail properties, both shopping center and main street retail buildings, during the remainder of 1997. In addition, the Trust has identified a limited number of sites in its core markets for the development of new shopping centers.</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Trust will need additional capital in order to fund these acquisitions, expansions and refinancings. Sources of this funding may be additional debt, additional equity or proceeds from the sale of existing properties. The timing and choice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17" w:name="page18"/>
    <w:bookmarkEnd w:id="17"/>
    <w:p>
      <w:pPr>
        <w:ind w:right="2559"/>
        <w:spacing w:after="0" w:line="247" w:lineRule="auto"/>
        <w:rPr>
          <w:sz w:val="20"/>
          <w:szCs w:val="20"/>
          <w:color w:val="auto"/>
        </w:rPr>
      </w:pPr>
      <w:r>
        <w:rPr>
          <w:rFonts w:ascii="Courier New" w:cs="Courier New" w:eastAsia="Courier New" w:hAnsi="Courier New"/>
          <w:sz w:val="16"/>
          <w:szCs w:val="16"/>
          <w:color w:val="auto"/>
        </w:rPr>
        <w:t>between additional debt or equity financing will depend upon many factors, including the market price for the Trust's shares, interest rates and the ratio of debt to net worth. The Trust believes that it will be able to raise this capital as needed, based on its past success in so doing.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Under the terms of certain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SIX MONTHS ENDED JUNE 30, 1997 AND 1996</w:t>
      </w:r>
    </w:p>
    <w:p>
      <w:pPr>
        <w:spacing w:after="0" w:line="191"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Funds from operations is defined by The National Association of Real Estate Investment Trusts ("NAREIT") in a</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18" w:name="page19"/>
    <w:bookmarkEnd w:id="18"/>
    <w:p>
      <w:pPr>
        <w:ind w:right="2459"/>
        <w:spacing w:after="0" w:line="246" w:lineRule="auto"/>
        <w:rPr>
          <w:sz w:val="20"/>
          <w:szCs w:val="20"/>
          <w:color w:val="auto"/>
        </w:rPr>
      </w:pPr>
      <w:r>
        <w:rPr>
          <w:rFonts w:ascii="Courier New" w:cs="Courier New" w:eastAsia="Courier New" w:hAnsi="Courier New"/>
          <w:sz w:val="16"/>
          <w:szCs w:val="16"/>
          <w:color w:val="auto"/>
        </w:rPr>
        <w:t>white paper issued during 1995, as follows: income before depreciation and amortization of real estate assets and before extraordinary items and significant non-recurring events less gains on sale of real estate. The Trust complies with this definition. Funds from operations does not replace net income as a measure of performance or net cash provided by operating activities as a measure of liquidity. Rather, funds from operations has been adopted by real estate investment trusts to provide a consistent supplemental measure of operating performance in the industry.</w:t>
      </w:r>
    </w:p>
    <w:p>
      <w:pPr>
        <w:spacing w:after="0" w:line="191" w:lineRule="exact"/>
        <w:rPr>
          <w:sz w:val="20"/>
          <w:szCs w:val="20"/>
          <w:color w:val="auto"/>
        </w:rPr>
      </w:pPr>
    </w:p>
    <w:p>
      <w:pPr>
        <w:ind w:right="3039" w:firstLine="484"/>
        <w:spacing w:after="0" w:line="248" w:lineRule="auto"/>
        <w:rPr>
          <w:sz w:val="20"/>
          <w:szCs w:val="20"/>
          <w:color w:val="auto"/>
        </w:rPr>
      </w:pPr>
      <w:r>
        <w:rPr>
          <w:rFonts w:ascii="Courier New" w:cs="Courier New" w:eastAsia="Courier New" w:hAnsi="Courier New"/>
          <w:sz w:val="16"/>
          <w:szCs w:val="16"/>
          <w:color w:val="auto"/>
        </w:rPr>
        <w:t>The reconciliation of net income to funds from operations for the six months ended June 30 is as follows: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1996</w:t>
            </w:r>
          </w:p>
        </w:tc>
      </w:tr>
      <w:tr>
        <w:trPr>
          <w:trHeight w:val="186"/>
        </w:trPr>
        <w:tc>
          <w:tcPr>
            <w:tcW w:w="364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640" w:type="dxa"/>
            <w:vAlign w:val="bottom"/>
          </w:tcPr>
          <w:p>
            <w:pPr>
              <w:spacing w:after="0"/>
              <w:rPr>
                <w:sz w:val="24"/>
                <w:szCs w:val="24"/>
                <w:color w:val="auto"/>
              </w:rPr>
            </w:pPr>
          </w:p>
        </w:tc>
        <w:tc>
          <w:tcPr>
            <w:tcW w:w="198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$26,321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$12,923</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Plus: depreciation and amortization</w:t>
            </w: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3640" w:type="dxa"/>
            <w:vAlign w:val="bottom"/>
          </w:tcPr>
          <w:p>
            <w:pPr>
              <w:ind w:left="680"/>
              <w:spacing w:after="0"/>
              <w:rPr>
                <w:sz w:val="20"/>
                <w:szCs w:val="20"/>
                <w:color w:val="auto"/>
              </w:rPr>
            </w:pPr>
            <w:r>
              <w:rPr>
                <w:rFonts w:ascii="Courier New" w:cs="Courier New" w:eastAsia="Courier New" w:hAnsi="Courier New"/>
                <w:sz w:val="16"/>
                <w:szCs w:val="16"/>
                <w:color w:val="auto"/>
              </w:rPr>
              <w:t>of real estate assets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18,418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16,697</w:t>
            </w:r>
          </w:p>
        </w:tc>
      </w:tr>
      <w:tr>
        <w:trPr>
          <w:trHeight w:val="186"/>
        </w:trPr>
        <w:tc>
          <w:tcPr>
            <w:tcW w:w="3640" w:type="dxa"/>
            <w:vAlign w:val="bottom"/>
          </w:tcPr>
          <w:p>
            <w:pPr>
              <w:ind w:left="580"/>
              <w:spacing w:after="0"/>
              <w:rPr>
                <w:sz w:val="20"/>
                <w:szCs w:val="20"/>
                <w:color w:val="auto"/>
              </w:rPr>
            </w:pPr>
            <w:r>
              <w:rPr>
                <w:rFonts w:ascii="Courier New" w:cs="Courier New" w:eastAsia="Courier New" w:hAnsi="Courier New"/>
                <w:sz w:val="16"/>
                <w:szCs w:val="16"/>
                <w:color w:val="auto"/>
              </w:rPr>
              <w:t>amortization of initial direct</w:t>
            </w: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3640" w:type="dxa"/>
            <w:vAlign w:val="bottom"/>
          </w:tcPr>
          <w:p>
            <w:pPr>
              <w:ind w:left="680"/>
              <w:spacing w:after="0"/>
              <w:rPr>
                <w:sz w:val="20"/>
                <w:szCs w:val="20"/>
                <w:color w:val="auto"/>
              </w:rPr>
            </w:pPr>
            <w:r>
              <w:rPr>
                <w:rFonts w:ascii="Courier New" w:cs="Courier New" w:eastAsia="Courier New" w:hAnsi="Courier New"/>
                <w:sz w:val="16"/>
                <w:szCs w:val="16"/>
                <w:color w:val="auto"/>
              </w:rPr>
              <w:t>costs of leases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1,148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1,185</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Less: gain on sale of real estate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(7,034)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Funds from operations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$38,853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$30,805</w:t>
            </w:r>
          </w:p>
        </w:tc>
      </w:tr>
      <w:tr>
        <w:trPr>
          <w:trHeight w:val="186"/>
        </w:trPr>
        <w:tc>
          <w:tcPr>
            <w:tcW w:w="364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Funds from operations increased 26% to $38.9 million in the first half of 1997 from $30.8 million in the first half of 1996.</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Rental income, which consists of minimum rent, percentage rent and cost recoveries, increased 13% from $80.7 million in the first half of 1996 to $91.0 million in the first half of 1997. If properties purchased and sold in 1996 and 1997 are excluded, rental income increased 4%.</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Minimum rent increased 12% from $64.8 million in the first half of 1996 to $72.5 million in the first half of 1997. Excluding properties purchased and sold in 1996 and 1997, minimum rent increased 3%.</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Cost reimbursements consist of tenant reimbursements of real estate taxes (real estate tax recovery) and common area maintenance expenses (CAM recovery). Cost reimbursements increased 20% from $13.5 million during the first half of 1996 to $16.3 million during the first half of 1997. Excluding properties purchased and sold in 1996 and 1997, cost reimbursements increased from $13.2 million to $14.7 million. Real estate tax recovery on the core portfolio increased $448,000 as real estate taxes increased. CAM recovery increased $1.1 million on the core portfolio, reflecting the increased recovery of CAM in 1997 from properties under redevelopment in 1996 such as Congressional Plaza, Brick Plaza and Bethesda Row as well as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19" w:name="page20"/>
    <w:bookmarkEnd w:id="19"/>
    <w:p>
      <w:pPr>
        <w:ind w:right="2459"/>
        <w:spacing w:after="0" w:line="247" w:lineRule="auto"/>
        <w:rPr>
          <w:sz w:val="20"/>
          <w:szCs w:val="20"/>
          <w:color w:val="auto"/>
        </w:rPr>
      </w:pPr>
      <w:r>
        <w:rPr>
          <w:rFonts w:ascii="Courier New" w:cs="Courier New" w:eastAsia="Courier New" w:hAnsi="Courier New"/>
          <w:sz w:val="16"/>
          <w:szCs w:val="16"/>
          <w:color w:val="auto"/>
        </w:rPr>
        <w:t>the decrease in CAM billing adjustments from 1996 to 1997. In 1996 snow removal costs were so high that the Trust granted concessions to tenants at certain centers.</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Other property income includes items which tend to fluctuate from period to period, such as utility reimbursements, telephone income, merchant association dues, lease termination fees, late fees and temporary tenant income. Other property income increased from $4.8 million during the first half of 1996 to $5.5 million during the first half of 1997, primarily due to an increase in lease termination fees.</w:t>
      </w:r>
    </w:p>
    <w:p>
      <w:pPr>
        <w:spacing w:after="0" w:line="185"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Interest income increased from $1.9 million in the first half of 1996 to $2.9 million in the first half of 1997 primarily because of interest on notes receivable issued in 1996 and 1997.</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Rental expenses have decreased 3% in the first half of 1997 from the first half of 1996, to $21.0 million from $21.7 million. If centers acquired and sold during 1996 and 1997 are excluded, rental expenses decreased 10%, primarily due to decreased snow removal costs on the east coast in 1997 as compared to 1996.</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Real estate taxes have increased from $8.0 million during the first half of 1996 to $9.5 million during the first half of 1997, primarily due to taxes on the 1996 and 1997 acquisitions. Depreciation and amortization in the first half of 1997 was 10% greater than in the first half of 1996. Excluding the effect from the 1996 and 1997 acquisitions, depreciation and amortization increased 5% due to depreciation on recent tenant work and property improvements.</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Interest expense increased from $22.3 million during the first half of 1996 to $24.0 million during the first half of 1997, primarily due to interest expense on the $50 million of 7.48% Debentures issued in August 1996. The ratio of earnings to fixed charges was 1.71x for the first half of 1997 and 1.53x for the comparable period in 1996. The ratio of funds from operations to fixed charges was 2.47x for the first half of 1997 and 2.30x for the first half of 1996.</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Administrative expenses have increased from $3.8 million during the first half of 1996 to $4.6 million during the first half of 1997, primarily due to increased personnel costs as the Trust is expanding and increased state income taxes.</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In May 1997 the Trust sold Town &amp; Country Shopping Center in Springfield, Illinois for $7.5 million, resulting in a gain of $5.3 million and Shillington Shopping Center in Shillington, Pennsylvania for $4.6 million, resulting in a gain of $1.7 million.</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0" w:name="page21"/>
    <w:bookmarkEnd w:id="20"/>
    <w:p>
      <w:pPr>
        <w:ind w:right="2459" w:firstLine="484"/>
        <w:spacing w:after="0" w:line="248" w:lineRule="auto"/>
        <w:rPr>
          <w:sz w:val="20"/>
          <w:szCs w:val="20"/>
          <w:color w:val="auto"/>
        </w:rPr>
      </w:pPr>
      <w:r>
        <w:rPr>
          <w:rFonts w:ascii="Courier New" w:cs="Courier New" w:eastAsia="Courier New" w:hAnsi="Courier New"/>
          <w:sz w:val="16"/>
          <w:szCs w:val="16"/>
          <w:color w:val="auto"/>
        </w:rPr>
        <w:t>As a result of the foregoing items, net income increased from $12.9 million during the first half of 1996 to $26.3 million during the first half of 1997.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THREE MONTHS ENDED JUNE 30, 1997 AND 1996</w:t>
      </w:r>
    </w:p>
    <w:p>
      <w:pPr>
        <w:spacing w:after="0" w:line="191" w:lineRule="exact"/>
        <w:rPr>
          <w:sz w:val="20"/>
          <w:szCs w:val="20"/>
          <w:color w:val="auto"/>
        </w:rPr>
      </w:pPr>
    </w:p>
    <w:p>
      <w:pPr>
        <w:ind w:right="3139" w:firstLine="484"/>
        <w:spacing w:after="0" w:line="248" w:lineRule="auto"/>
        <w:rPr>
          <w:sz w:val="20"/>
          <w:szCs w:val="20"/>
          <w:color w:val="auto"/>
        </w:rPr>
      </w:pPr>
      <w:r>
        <w:rPr>
          <w:rFonts w:ascii="Courier New" w:cs="Courier New" w:eastAsia="Courier New" w:hAnsi="Courier New"/>
          <w:sz w:val="16"/>
          <w:szCs w:val="16"/>
          <w:color w:val="auto"/>
        </w:rPr>
        <w:t>Funds from operations increased 26% from $15.8 million in the second quarter of 1996 to $19.9 million in the second quarter of 1997.</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Rental income of $47.1 million in the second quarter of 1997 was 18% higher than the $39.9 million in the second quarter of 1996. If properties purchased and sold in 1996 and 1997 are excluded, rental income increased 7% to $41.7 million from $38.8 million.</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Minimum rent, a component of rental income, increased 14% from $32.8 million in the second quarter of 1996 to $37.4 million in the second quarter of 1997. Excluding properties purchased and sold in 1996 and 1997, minimum rent increased 3.5%.</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Cost recoveries, another component of rental income, increased from $6.1 million in the second quarter of 1996 to $8.6 million in the second quarter of 1997. Excluding properties purchased and sold in 1996 and 1997, cost recoveries increased from $5.9 million in the second quarter of 1996 to $7.7 million in the second quarter of 1997. Real estate tax recovery on the core portfolio increased $283,000 as real estate taxes increased. CAM recovery increased $1.6 million from the second quarter of 1996 to the second quarter of 1997, reflecting the increased recovery of CAM in 1997 from properties under redevelopment in 1996 such as Congressional Plaza, Brick Plaza and Bethesda Row as well as the decrease in CAM billing adjustments from 1996 to 1997. In 1996 snow removal costs were so high that the Trust granted concessions to tenants at certain centers.</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Rental expenses have increased 9% from $9.9 million in the second quarter of 1996 to $10.8 million in the second quarter of 1997. Excluding properties purchased and sold in 1996 and 1997, rental expenses rose 1%. Real estate taxes increased due to the 1996 and 1997 acquisitions and due to increased assessments at several centers. Depreciation and amortization expense increased 11% from the second quarter of 1996 to the second quarter of 1997. Approximately 50% of the increase is attributable to properties purchased in 1996 and 1997 with the balance of the increase being attributable to recent renovations and additions.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Interest expense increased from $11.1 million in the second quarter of 1996 to $12.0 million in the second quarter of 1997, primarily due to interest expense on the $50 million of 7.48% Debentures issued in August 1996 and to increased usage of the lines of credit, partially offset by an increase in interest capitalized on development projects.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1" w:name="page22"/>
    <w:bookmarkEnd w:id="21"/>
    <w:p>
      <w:pPr>
        <w:ind w:left="1" w:right="2659" w:firstLine="581"/>
        <w:spacing w:after="0" w:line="247" w:lineRule="auto"/>
        <w:rPr>
          <w:sz w:val="20"/>
          <w:szCs w:val="20"/>
          <w:color w:val="auto"/>
        </w:rPr>
      </w:pPr>
      <w:r>
        <w:rPr>
          <w:rFonts w:ascii="Courier New" w:cs="Courier New" w:eastAsia="Courier New" w:hAnsi="Courier New"/>
          <w:sz w:val="16"/>
          <w:szCs w:val="16"/>
          <w:color w:val="auto"/>
        </w:rPr>
        <w:t>Administrative expenses have increased from $2.1 million in the second quarter of 1996 to $2.5 million in the second quarter of 1997 due to increased personnel costs as the Trust is expanding.</w:t>
      </w:r>
    </w:p>
    <w:p>
      <w:pPr>
        <w:spacing w:after="0" w:line="186"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In May 1997 the Trust sold Town &amp; Country Shopping Center in Springfield, Illinois for $7.5 million, resulting in a gain of $5.3 million and Shillington Shopping Center in Shillington, Pennsylvania for $4.6 million, resulting in a gain of $1.7 million.</w:t>
      </w:r>
    </w:p>
    <w:p>
      <w:pPr>
        <w:spacing w:after="0" w:line="186" w:lineRule="exact"/>
        <w:rPr>
          <w:sz w:val="20"/>
          <w:szCs w:val="20"/>
          <w:color w:val="auto"/>
        </w:rPr>
      </w:pPr>
    </w:p>
    <w:p>
      <w:pPr>
        <w:jc w:val="both"/>
        <w:ind w:left="1" w:right="2559" w:firstLine="484"/>
        <w:spacing w:after="0" w:line="247" w:lineRule="auto"/>
        <w:rPr>
          <w:sz w:val="20"/>
          <w:szCs w:val="20"/>
          <w:color w:val="auto"/>
        </w:rPr>
      </w:pPr>
      <w:r>
        <w:rPr>
          <w:rFonts w:ascii="Courier New" w:cs="Courier New" w:eastAsia="Courier New" w:hAnsi="Courier New"/>
          <w:sz w:val="16"/>
          <w:szCs w:val="16"/>
          <w:color w:val="auto"/>
        </w:rPr>
        <w:t>As a result of the foregoing items, net income increased from $6.9 million during the second quarter of 1996 to $17.0 million during the second quarter of 1997.</w:t>
      </w:r>
    </w:p>
    <w:p>
      <w:pPr>
        <w:spacing w:after="0" w:line="186"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During the past few years, there have been a number of retailer consolidations. These consolidations and a weakening of the retail environment could adversely impact the Trust, by increasing vacancies and by decreasing rents. In past weak retail and real estate environments, the Trust has been able to replace tenants who leave or go bankrupt with stronger tenants. Management believes that due to the quality of the Trust's properties there will be continued demand for its retail space.</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PART II - OTHER INFORMATION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4. Submission of Matters to a Vote of Shareholders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At the 1997 Annual Meeting of Shareholders on May 7, 1997 the Shareholders elected three trustees to serve for the ensuing three years and the Shareholders approved the Amended and Restated 1993 Long-Term Incentive Plan ("Amended Plan"). Holders of 34.0 million shares voted for each of the three trustees. Holders of approximately 100,000 shares voted against each of the three trustees. Holders of 32.9 million shares approved the Amended Plan, holders of 822,090 shares voted against the Amended Plan and holders of 441,183 shares abstained.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91" w:lineRule="exact"/>
        <w:rPr>
          <w:sz w:val="20"/>
          <w:szCs w:val="20"/>
          <w:color w:val="auto"/>
        </w:rPr>
      </w:pPr>
    </w:p>
    <w:p>
      <w:pPr>
        <w:ind w:left="381" w:hanging="381"/>
        <w:spacing w:after="0"/>
        <w:tabs>
          <w:tab w:leader="none" w:pos="3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5" w:lineRule="exact"/>
        <w:rPr>
          <w:rFonts w:ascii="Courier New" w:cs="Courier New" w:eastAsia="Courier New" w:hAnsi="Courier New"/>
          <w:sz w:val="16"/>
          <w:szCs w:val="16"/>
          <w:color w:val="auto"/>
        </w:rPr>
      </w:pPr>
    </w:p>
    <w:p>
      <w:pPr>
        <w:ind w:left="1261" w:hanging="485"/>
        <w:spacing w:after="0"/>
        <w:tabs>
          <w:tab w:leader="none" w:pos="12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Schedule.......................Edgar filing only</w:t>
      </w:r>
    </w:p>
    <w:p>
      <w:pPr>
        <w:spacing w:after="0" w:line="19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1" w:lineRule="exact"/>
        <w:rPr>
          <w:rFonts w:ascii="Courier New" w:cs="Courier New" w:eastAsia="Courier New" w:hAnsi="Courier New"/>
          <w:sz w:val="16"/>
          <w:szCs w:val="16"/>
          <w:color w:val="auto"/>
        </w:rPr>
      </w:pPr>
    </w:p>
    <w:p>
      <w:pPr>
        <w:ind w:left="381" w:right="33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Form 8-K, dated April 17, 1997, was filed in response to Item 5. A Form 8-K, dated May 7, 1997, was filed in response to Item 7.(c).</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0"/>
          </w:cols>
          <w:pgMar w:left="239" w:top="676" w:right="1440" w:bottom="1440" w:gutter="0" w:footer="0" w:header="0"/>
        </w:sectPr>
      </w:pPr>
    </w:p>
    <w:bookmarkStart w:id="22" w:name="page23"/>
    <w:bookmarkEnd w:id="22"/>
    <w:p>
      <w:pPr>
        <w:ind w:right="2759" w:firstLine="48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76"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30, 1997</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4020" w:space="720"/>
            <w:col w:w="5479"/>
          </w:cols>
          <w:pgMar w:left="240" w:top="676" w:right="1440" w:bottom="1440" w:gutter="0" w:footer="0" w:header="0"/>
          <w:type w:val="continuous"/>
        </w:sect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30, 1997</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191" w:lineRule="exact"/>
        <w:rPr>
          <w:sz w:val="20"/>
          <w:szCs w:val="20"/>
          <w:color w:val="auto"/>
        </w:rPr>
      </w:pPr>
    </w:p>
    <w:p>
      <w:pPr>
        <w:sectPr>
          <w:pgSz w:w="11900" w:h="16838" w:orient="portrait"/>
          <w:cols w:equalWidth="0" w:num="2">
            <w:col w:w="4020" w:space="720"/>
            <w:col w:w="5479"/>
          </w:cols>
          <w:pgMar w:left="240" w:top="676"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type w:val="continuous"/>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10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left="20" w:right="2839"/>
        <w:spacing w:after="0" w:line="24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of Federal Realty Investment Trust as of June 30, 1997 and the related consolidated statement of operations for the six months ended June 30, 1997 and is qualified in its entirety by reference to such financial statements.</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378"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6-MOS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DEC-31-1997</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JUN-30-1997</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$19,496</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17,915</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1,266,649</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(233,401)</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1,144,647</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611,914</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685,873</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(215,621)</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1,144,647</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96,501</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30,471</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23,988</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26,321</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26,321</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.68</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0</w:t>
      </w:r>
    </w:p>
    <w:p>
      <w:pPr>
        <w:spacing w:after="0" w:line="378"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Current assets and current liabilities are not listed since Federal Realty does not prepare a classified balance sheet.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1"/>
    </w:lvl>
    <w:lvl w:ilvl="1">
      <w:lvlJc w:val="left"/>
      <w:lvlText w:val="(%2)"/>
      <w:numFmt w:val="decimal"/>
      <w:start w:val="2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2019-12-13T00:46:15Z</dcterms:created>
  <dcterms:modified xsi:type="dcterms:W3CDTF">2019-12-13T00:46:15Z</dcterms:modified>
</cp:coreProperties>
</file>