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620" w:right="3339" w:hanging="171"/>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December 31, 1998</w:t>
      </w:r>
    </w:p>
    <w:p>
      <w:pPr>
        <w:spacing w:after="0" w:line="200" w:lineRule="exact"/>
        <w:rPr>
          <w:sz w:val="24"/>
          <w:szCs w:val="24"/>
          <w:color w:val="auto"/>
        </w:rPr>
      </w:pPr>
    </w:p>
    <w:p>
      <w:pPr>
        <w:spacing w:after="0" w:line="291"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District of Columbia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600" w:space="500"/>
            <w:col w:w="1220" w:space="680"/>
            <w:col w:w="5239"/>
          </w:cols>
          <w:pgMar w:left="220" w:top="561" w:right="1440" w:bottom="1440" w:gutter="0" w:footer="0" w:header="0"/>
          <w:type w:val="continuous"/>
        </w:sectPr>
      </w:pP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1626 East Jefferson Street, Rockville, 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540" w:space="720"/>
            <w:col w:w="4979"/>
          </w:cols>
          <w:pgMar w:left="220" w:top="561" w:right="1440" w:bottom="1440" w:gutter="0" w:footer="0" w:header="0"/>
          <w:type w:val="continuous"/>
        </w:sectPr>
      </w:pPr>
    </w:p>
    <w:p>
      <w:pPr>
        <w:spacing w:after="0" w:line="138" w:lineRule="exact"/>
        <w:rPr>
          <w:sz w:val="24"/>
          <w:szCs w:val="24"/>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Registrant's telephone number including area code:</w:t>
        <w:tab/>
        <w:t>301/998-8100</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Other Events</w:t>
      </w:r>
    </w:p>
    <w:p>
      <w:pPr>
        <w:spacing w:after="0" w:line="173" w:lineRule="exact"/>
        <w:rPr>
          <w:sz w:val="20"/>
          <w:szCs w:val="20"/>
          <w:color w:val="auto"/>
        </w:rPr>
      </w:pPr>
    </w:p>
    <w:p>
      <w:pPr>
        <w:sectPr>
          <w:pgSz w:w="11900" w:h="16838" w:orient="portrait"/>
          <w:cols w:equalWidth="0" w:num="2">
            <w:col w:w="660" w:space="720"/>
            <w:col w:w="8859"/>
          </w:cols>
          <w:pgMar w:left="220" w:top="616" w:right="1440" w:bottom="1440" w:gutter="0" w:footer="0" w:header="0"/>
        </w:sectPr>
      </w:pPr>
    </w:p>
    <w:p>
      <w:pPr>
        <w:ind w:left="1380"/>
        <w:spacing w:after="0"/>
        <w:rPr>
          <w:sz w:val="20"/>
          <w:szCs w:val="20"/>
          <w:color w:val="auto"/>
        </w:rPr>
      </w:pPr>
      <w:r>
        <w:rPr>
          <w:rFonts w:ascii="Courier New" w:cs="Courier New" w:eastAsia="Courier New" w:hAnsi="Courier New"/>
          <w:sz w:val="14"/>
          <w:szCs w:val="14"/>
          <w:color w:val="auto"/>
        </w:rPr>
        <w:t>Federal Realty</w:t>
      </w:r>
    </w:p>
    <w:p>
      <w:pPr>
        <w:spacing w:after="0" w:line="7" w:lineRule="exact"/>
        <w:rPr>
          <w:sz w:val="20"/>
          <w:szCs w:val="20"/>
          <w:color w:val="auto"/>
        </w:rPr>
      </w:pPr>
    </w:p>
    <w:p>
      <w:pPr>
        <w:spacing w:after="0"/>
        <w:tabs>
          <w:tab w:leader="none" w:pos="940" w:val="left"/>
          <w:tab w:leader="none" w:pos="2140" w:val="left"/>
        </w:tabs>
        <w:rPr>
          <w:sz w:val="20"/>
          <w:szCs w:val="20"/>
          <w:color w:val="auto"/>
        </w:rPr>
      </w:pPr>
      <w:r>
        <w:rPr>
          <w:rFonts w:ascii="Courier New" w:cs="Courier New" w:eastAsia="Courier New" w:hAnsi="Courier New"/>
          <w:sz w:val="14"/>
          <w:szCs w:val="14"/>
          <w:color w:val="auto"/>
        </w:rPr>
        <w:t>following</w:t>
        <w:tab/>
        <w:t>supplemental</w:t>
        <w:tab/>
        <w:t>data</w:t>
      </w:r>
    </w:p>
    <w:p>
      <w:pPr>
        <w:spacing w:after="0" w:line="20" w:lineRule="exact"/>
        <w:rPr>
          <w:sz w:val="20"/>
          <w:szCs w:val="20"/>
          <w:color w:val="auto"/>
        </w:rPr>
      </w:pPr>
      <w:r>
        <w:rPr>
          <w:sz w:val="20"/>
          <w:szCs w:val="20"/>
          <w:color w:val="auto"/>
        </w:rPr>
        <w:br w:type="column"/>
      </w:r>
    </w:p>
    <w:p>
      <w:pPr>
        <w:ind w:firstLine="86"/>
        <w:spacing w:after="0" w:line="250" w:lineRule="auto"/>
        <w:rPr>
          <w:sz w:val="20"/>
          <w:szCs w:val="20"/>
          <w:color w:val="auto"/>
        </w:rPr>
      </w:pPr>
      <w:r>
        <w:rPr>
          <w:rFonts w:ascii="Courier New" w:cs="Courier New" w:eastAsia="Courier New" w:hAnsi="Courier New"/>
          <w:sz w:val="14"/>
          <w:szCs w:val="14"/>
          <w:color w:val="auto"/>
        </w:rPr>
        <w:t>Investment pertaining</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Trust hereby files as exhibit 99 the</w:t>
      </w:r>
    </w:p>
    <w:p>
      <w:pPr>
        <w:spacing w:after="0" w:line="7" w:lineRule="exact"/>
        <w:rPr>
          <w:sz w:val="20"/>
          <w:szCs w:val="20"/>
          <w:color w:val="auto"/>
        </w:rPr>
      </w:pPr>
    </w:p>
    <w:p>
      <w:pPr>
        <w:spacing w:after="0"/>
        <w:tabs>
          <w:tab w:leader="none" w:pos="660" w:val="left"/>
          <w:tab w:leader="none" w:pos="1600" w:val="left"/>
          <w:tab w:leader="none" w:pos="1960" w:val="left"/>
          <w:tab w:leader="none" w:pos="2980" w:val="left"/>
        </w:tabs>
        <w:rPr>
          <w:sz w:val="20"/>
          <w:szCs w:val="20"/>
          <w:color w:val="auto"/>
        </w:rPr>
      </w:pPr>
      <w:r>
        <w:rPr>
          <w:rFonts w:ascii="Courier New" w:cs="Courier New" w:eastAsia="Courier New" w:hAnsi="Courier New"/>
          <w:sz w:val="14"/>
          <w:szCs w:val="14"/>
          <w:color w:val="auto"/>
        </w:rPr>
        <w:t>to its</w:t>
        <w:tab/>
        <w:t>portfolio</w:t>
        <w:tab/>
        <w:t>of</w:t>
        <w:tab/>
        <w:t>properties</w:t>
        <w:tab/>
        <w:t>at</w:t>
      </w:r>
    </w:p>
    <w:p>
      <w:pPr>
        <w:spacing w:after="0" w:line="7" w:lineRule="exact"/>
        <w:rPr>
          <w:sz w:val="20"/>
          <w:szCs w:val="20"/>
          <w:color w:val="auto"/>
        </w:rPr>
      </w:pPr>
    </w:p>
    <w:p>
      <w:pPr>
        <w:sectPr>
          <w:pgSz w:w="11900" w:h="16838" w:orient="portrait"/>
          <w:cols w:equalWidth="0" w:num="3">
            <w:col w:w="2600" w:space="80"/>
            <w:col w:w="940" w:space="100"/>
            <w:col w:w="65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December 31, 1998.</w:t>
      </w:r>
    </w:p>
    <w:p>
      <w:pPr>
        <w:spacing w:after="0" w:line="33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1380" w:hanging="1027"/>
        <w:spacing w:after="0"/>
        <w:tabs>
          <w:tab w:leader="none" w:pos="13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99Supplemental portfolio information at December 31, 1998</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jc w:val="both"/>
        <w:ind w:right="3339" w:firstLine="1378"/>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11,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173" w:lineRule="exact"/>
        <w:rPr>
          <w:sz w:val="20"/>
          <w:szCs w:val="20"/>
          <w:color w:val="auto"/>
        </w:rPr>
      </w:pPr>
    </w:p>
    <w:p>
      <w:pPr>
        <w:sectPr>
          <w:pgSz w:w="11900" w:h="16838" w:orient="portrait"/>
          <w:cols w:equalWidth="0" w:num="3">
            <w:col w:w="440" w:space="260"/>
            <w:col w:w="2460" w:space="720"/>
            <w:col w:w="635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80"/>
            <w:col w:w="4200" w:space="720"/>
            <w:col w:w="4459"/>
          </w:cols>
          <w:pgMar w:left="220" w:top="616" w:right="1440" w:bottom="1440" w:gutter="0" w:footer="0" w:header="0"/>
          <w:type w:val="continuous"/>
        </w:sectPr>
      </w:pPr>
    </w:p>
    <w:p>
      <w:pPr>
        <w:ind w:left="26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December 31,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sectPr>
          <w:pgSz w:w="11900" w:h="16838" w:orient="portrait"/>
          <w:cols w:equalWidth="0" w:num="2">
            <w:col w:w="5600" w:space="520"/>
            <w:col w:w="411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December 31,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47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497"/>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Debt Summary...........................................</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E-2</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34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Percentage Leased..............................</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E-3</w:t>
            </w:r>
          </w:p>
        </w:tc>
      </w:tr>
      <w:tr>
        <w:trPr>
          <w:trHeight w:val="166"/>
        </w:trPr>
        <w:tc>
          <w:tcPr>
            <w:tcW w:w="220" w:type="dxa"/>
            <w:vAlign w:val="bottom"/>
          </w:tcPr>
          <w:p>
            <w:pPr>
              <w:spacing w:after="0"/>
              <w:rPr>
                <w:sz w:val="14"/>
                <w:szCs w:val="14"/>
                <w:color w:val="auto"/>
              </w:rPr>
            </w:pP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Economic Occupancy.............................</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E-4</w:t>
            </w:r>
          </w:p>
        </w:tc>
      </w:tr>
      <w:tr>
        <w:trPr>
          <w:trHeight w:val="166"/>
        </w:trPr>
        <w:tc>
          <w:tcPr>
            <w:tcW w:w="220" w:type="dxa"/>
            <w:vAlign w:val="bottom"/>
          </w:tcPr>
          <w:p>
            <w:pPr>
              <w:spacing w:after="0"/>
              <w:rPr>
                <w:sz w:val="14"/>
                <w:szCs w:val="14"/>
                <w:color w:val="auto"/>
              </w:rPr>
            </w:pP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Regional Breakdown.............................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E-5</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3.</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Leases Signed Analysis</w:t>
            </w:r>
          </w:p>
        </w:tc>
        <w:tc>
          <w:tcPr>
            <w:tcW w:w="34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Comparable and Non-Comparable..................</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E-6</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4.</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Lease Expirations</w:t>
            </w:r>
          </w:p>
        </w:tc>
        <w:tc>
          <w:tcPr>
            <w:tcW w:w="34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Average Rent on Leases Expiring................</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E-7</w:t>
            </w:r>
          </w:p>
        </w:tc>
      </w:tr>
      <w:tr>
        <w:trPr>
          <w:trHeight w:val="166"/>
        </w:trPr>
        <w:tc>
          <w:tcPr>
            <w:tcW w:w="220" w:type="dxa"/>
            <w:vAlign w:val="bottom"/>
          </w:tcPr>
          <w:p>
            <w:pPr>
              <w:spacing w:after="0"/>
              <w:rPr>
                <w:sz w:val="14"/>
                <w:szCs w:val="14"/>
                <w:color w:val="auto"/>
              </w:rPr>
            </w:pP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Leases Expiring on Anchor and Small Shops......</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E-8</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Major Tenants by Revenue Contribution..................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E-9</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6.</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Press Release..........................................</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E-10</w:t>
            </w: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7.</w:t>
            </w:r>
          </w:p>
        </w:tc>
        <w:tc>
          <w:tcPr>
            <w:tcW w:w="4780" w:type="dxa"/>
            <w:vAlign w:val="bottom"/>
          </w:tcPr>
          <w:p>
            <w:pPr>
              <w:jc w:val="right"/>
              <w:spacing w:after="0"/>
              <w:rPr>
                <w:sz w:val="20"/>
                <w:szCs w:val="20"/>
                <w:color w:val="auto"/>
              </w:rPr>
            </w:pPr>
            <w:r>
              <w:rPr>
                <w:rFonts w:ascii="Courier New" w:cs="Courier New" w:eastAsia="Courier New" w:hAnsi="Courier New"/>
                <w:sz w:val="14"/>
                <w:szCs w:val="14"/>
                <w:color w:val="auto"/>
              </w:rPr>
              <w:t>Glossary of Terms......................................</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E-13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Balance</w:t>
            </w:r>
          </w:p>
        </w:tc>
        <w:tc>
          <w:tcPr>
            <w:tcW w:w="680" w:type="dxa"/>
            <w:vAlign w:val="bottom"/>
          </w:tcPr>
          <w:p>
            <w:pPr>
              <w:spacing w:after="0"/>
              <w:rPr>
                <w:sz w:val="14"/>
                <w:szCs w:val="14"/>
                <w:color w:val="auto"/>
              </w:rPr>
            </w:pPr>
          </w:p>
        </w:tc>
      </w:tr>
      <w:tr>
        <w:trPr>
          <w:trHeight w:val="166"/>
        </w:trPr>
        <w:tc>
          <w:tcPr>
            <w:tcW w:w="5780" w:type="dxa"/>
            <w:vAlign w:val="bottom"/>
          </w:tcPr>
          <w:p>
            <w:pPr>
              <w:spacing w:after="0"/>
              <w:rPr>
                <w:sz w:val="14"/>
                <w:szCs w:val="14"/>
                <w:color w:val="auto"/>
              </w:rPr>
            </w:pPr>
          </w:p>
        </w:tc>
        <w:tc>
          <w:tcPr>
            <w:tcW w:w="1760" w:type="dxa"/>
            <w:vAlign w:val="bottom"/>
          </w:tcPr>
          <w:p>
            <w:pPr>
              <w:jc w:val="right"/>
              <w:ind w:right="1008"/>
              <w:spacing w:after="0"/>
              <w:rPr>
                <w:sz w:val="20"/>
                <w:szCs w:val="20"/>
                <w:color w:val="auto"/>
              </w:rPr>
            </w:pPr>
            <w:r>
              <w:rPr>
                <w:rFonts w:ascii="Courier New" w:cs="Courier New" w:eastAsia="Courier New" w:hAnsi="Courier New"/>
                <w:sz w:val="14"/>
                <w:szCs w:val="14"/>
                <w:color w:val="auto"/>
                <w:w w:val="98"/>
              </w:rPr>
              <w:t>Maturity</w:t>
            </w: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Rate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Leesburg Plaza</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10/01/08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9,900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Federal Plaza</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03/10/01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8.95%</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27,639</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Tysons Station</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09/01/01</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9.875%</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4,140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Escondido (Municipal bonds) purchased 12/31/96</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10/01/16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Variable ##</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9,400</w:t>
            </w:r>
          </w:p>
        </w:tc>
        <w:tc>
          <w:tcPr>
            <w:tcW w:w="680" w:type="dxa"/>
            <w:vAlign w:val="bottom"/>
          </w:tcPr>
          <w:p>
            <w:pPr>
              <w:spacing w:after="0"/>
              <w:rPr>
                <w:sz w:val="14"/>
                <w:szCs w:val="14"/>
                <w:color w:val="auto"/>
              </w:rPr>
            </w:pPr>
          </w:p>
        </w:tc>
      </w:tr>
      <w:tr>
        <w:trPr>
          <w:trHeight w:val="331"/>
        </w:trPr>
        <w:tc>
          <w:tcPr>
            <w:tcW w:w="5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$51,079</w:t>
            </w:r>
          </w:p>
        </w:tc>
        <w:tc>
          <w:tcPr>
            <w:tcW w:w="680" w:type="dxa"/>
            <w:vAlign w:val="bottom"/>
          </w:tcPr>
          <w:p>
            <w:pPr>
              <w:spacing w:after="0"/>
              <w:rPr>
                <w:sz w:val="24"/>
                <w:szCs w:val="24"/>
                <w:color w:val="auto"/>
              </w:rPr>
            </w:pPr>
          </w:p>
        </w:tc>
      </w:tr>
      <w:tr>
        <w:trPr>
          <w:trHeight w:val="166"/>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578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Revolving credit facilities</w:t>
            </w:r>
          </w:p>
        </w:tc>
        <w:tc>
          <w:tcPr>
            <w:tcW w:w="17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libor +.65%</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$134,147</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Term notes</w:t>
            </w:r>
          </w:p>
        </w:tc>
        <w:tc>
          <w:tcPr>
            <w:tcW w:w="17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libor +.75%</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125,000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780" w:type="dxa"/>
            <w:vAlign w:val="bottom"/>
          </w:tcPr>
          <w:p>
            <w:pPr>
              <w:ind w:left="1380"/>
              <w:spacing w:after="0"/>
              <w:rPr>
                <w:sz w:val="20"/>
                <w:szCs w:val="20"/>
                <w:color w:val="auto"/>
              </w:rPr>
            </w:pPr>
            <w:r>
              <w:rPr>
                <w:rFonts w:ascii="Courier New" w:cs="Courier New" w:eastAsia="Courier New" w:hAnsi="Courier New"/>
                <w:sz w:val="14"/>
                <w:szCs w:val="14"/>
                <w:color w:val="auto"/>
              </w:rPr>
              <w:t>tenant buyout at Queen Anne Plaza</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01/15/06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8.875%</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1,112</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780" w:type="dxa"/>
            <w:vAlign w:val="bottom"/>
          </w:tcPr>
          <w:p>
            <w:pPr>
              <w:ind w:left="1380"/>
              <w:spacing w:after="0"/>
              <w:rPr>
                <w:sz w:val="20"/>
                <w:szCs w:val="20"/>
                <w:color w:val="auto"/>
              </w:rPr>
            </w:pPr>
            <w:r>
              <w:rPr>
                <w:rFonts w:ascii="Courier New" w:cs="Courier New" w:eastAsia="Courier New" w:hAnsi="Courier New"/>
                <w:sz w:val="14"/>
                <w:szCs w:val="14"/>
                <w:color w:val="auto"/>
              </w:rPr>
              <w:t>renovation of Perring Plaza</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01/31/13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2,696</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Other</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various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various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w:t>
            </w:r>
          </w:p>
        </w:tc>
        <w:tc>
          <w:tcPr>
            <w:tcW w:w="680" w:type="dxa"/>
            <w:vAlign w:val="bottom"/>
          </w:tcPr>
          <w:p>
            <w:pPr>
              <w:spacing w:after="0"/>
              <w:rPr>
                <w:sz w:val="14"/>
                <w:szCs w:val="14"/>
                <w:color w:val="auto"/>
              </w:rPr>
            </w:pPr>
          </w:p>
        </w:tc>
      </w:tr>
      <w:tr>
        <w:trPr>
          <w:trHeight w:val="166"/>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5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$263,159</w:t>
            </w:r>
          </w:p>
        </w:tc>
        <w:tc>
          <w:tcPr>
            <w:tcW w:w="680" w:type="dxa"/>
            <w:vAlign w:val="bottom"/>
          </w:tcPr>
          <w:p>
            <w:pPr>
              <w:spacing w:after="0"/>
              <w:rPr>
                <w:sz w:val="24"/>
                <w:szCs w:val="24"/>
                <w:color w:val="auto"/>
              </w:rPr>
            </w:pPr>
          </w:p>
        </w:tc>
      </w:tr>
      <w:tr>
        <w:trPr>
          <w:trHeight w:val="166"/>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497"/>
        </w:trPr>
        <w:tc>
          <w:tcPr>
            <w:tcW w:w="578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5 1/4% Convertible subordinated</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04/30/02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5.250%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w:t>
            </w:r>
          </w:p>
        </w:tc>
        <w:tc>
          <w:tcPr>
            <w:tcW w:w="680" w:type="dxa"/>
            <w:vAlign w:val="bottom"/>
          </w:tcPr>
          <w:p>
            <w:pPr>
              <w:spacing w:after="0"/>
              <w:rPr>
                <w:sz w:val="14"/>
                <w:szCs w:val="14"/>
                <w:color w:val="auto"/>
              </w:rPr>
            </w:pPr>
          </w:p>
        </w:tc>
      </w:tr>
      <w:tr>
        <w:trPr>
          <w:trHeight w:val="166"/>
        </w:trPr>
        <w:tc>
          <w:tcPr>
            <w:tcW w:w="5780" w:type="dxa"/>
            <w:vAlign w:val="bottom"/>
          </w:tcPr>
          <w:p>
            <w:pPr>
              <w:ind w:left="1380"/>
              <w:spacing w:after="0"/>
              <w:rPr>
                <w:sz w:val="20"/>
                <w:szCs w:val="20"/>
                <w:color w:val="auto"/>
              </w:rPr>
            </w:pPr>
            <w:r>
              <w:rPr>
                <w:rFonts w:ascii="Courier New" w:cs="Courier New" w:eastAsia="Courier New" w:hAnsi="Courier New"/>
                <w:sz w:val="14"/>
                <w:szCs w:val="14"/>
                <w:color w:val="auto"/>
              </w:rPr>
              <w:t>debentures</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5 1/4% Convertible subordinated</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10/28/03</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5.250%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680" w:type="dxa"/>
            <w:vAlign w:val="bottom"/>
          </w:tcPr>
          <w:p>
            <w:pPr>
              <w:spacing w:after="0"/>
              <w:rPr>
                <w:sz w:val="14"/>
                <w:szCs w:val="14"/>
                <w:color w:val="auto"/>
              </w:rPr>
            </w:pPr>
          </w:p>
        </w:tc>
      </w:tr>
      <w:tr>
        <w:trPr>
          <w:trHeight w:val="166"/>
        </w:trPr>
        <w:tc>
          <w:tcPr>
            <w:tcW w:w="5780" w:type="dxa"/>
            <w:vAlign w:val="bottom"/>
          </w:tcPr>
          <w:p>
            <w:pPr>
              <w:ind w:left="1380"/>
              <w:spacing w:after="0"/>
              <w:rPr>
                <w:sz w:val="20"/>
                <w:szCs w:val="20"/>
                <w:color w:val="auto"/>
              </w:rPr>
            </w:pPr>
            <w:r>
              <w:rPr>
                <w:rFonts w:ascii="Courier New" w:cs="Courier New" w:eastAsia="Courier New" w:hAnsi="Courier New"/>
                <w:sz w:val="14"/>
                <w:szCs w:val="14"/>
                <w:color w:val="auto"/>
              </w:rPr>
              <w:t>debentures</w:t>
            </w: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8 7/8% Notes (fixed)</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01/15/00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8.875%</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8 7/8% Notes (fixed) *</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01/15/00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7.530%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8% Notes (fixed)</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04/21/02</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6 5/8% Notes (fixed)</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12/01/05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6.625%</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7.48% Debentures</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08/15/26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7.480%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6.82% Medium Term Notes</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08/01/27</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6.820%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6.74% Medium Term Notes *</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03/10/04</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6.370%</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39,500</w:t>
            </w:r>
          </w:p>
        </w:tc>
        <w:tc>
          <w:tcPr>
            <w:tcW w:w="680" w:type="dxa"/>
            <w:vAlign w:val="bottom"/>
          </w:tcPr>
          <w:p>
            <w:pPr>
              <w:spacing w:after="0"/>
              <w:rPr>
                <w:sz w:val="14"/>
                <w:szCs w:val="14"/>
                <w:color w:val="auto"/>
              </w:rPr>
            </w:pPr>
          </w:p>
        </w:tc>
      </w:tr>
      <w:tr>
        <w:trPr>
          <w:trHeight w:val="166"/>
        </w:trPr>
        <w:tc>
          <w:tcPr>
            <w:tcW w:w="5780" w:type="dxa"/>
            <w:vAlign w:val="bottom"/>
          </w:tcPr>
          <w:p>
            <w:pPr>
              <w:ind w:left="1120"/>
              <w:spacing w:after="0"/>
              <w:rPr>
                <w:sz w:val="20"/>
                <w:szCs w:val="20"/>
                <w:color w:val="auto"/>
              </w:rPr>
            </w:pPr>
            <w:r>
              <w:rPr>
                <w:rFonts w:ascii="Courier New" w:cs="Courier New" w:eastAsia="Courier New" w:hAnsi="Courier New"/>
                <w:sz w:val="14"/>
                <w:szCs w:val="14"/>
                <w:color w:val="auto"/>
              </w:rPr>
              <w:t>6.99% Medium Term Notes *</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03/10/06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6.894%</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40,500</w:t>
            </w:r>
          </w:p>
        </w:tc>
        <w:tc>
          <w:tcPr>
            <w:tcW w:w="680" w:type="dxa"/>
            <w:vAlign w:val="bottom"/>
          </w:tcPr>
          <w:p>
            <w:pPr>
              <w:spacing w:after="0"/>
              <w:rPr>
                <w:sz w:val="14"/>
                <w:szCs w:val="14"/>
                <w:color w:val="auto"/>
              </w:rPr>
            </w:pPr>
          </w:p>
        </w:tc>
      </w:tr>
      <w:tr>
        <w:trPr>
          <w:trHeight w:val="166"/>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5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$410,289</w:t>
            </w:r>
          </w:p>
        </w:tc>
        <w:tc>
          <w:tcPr>
            <w:tcW w:w="680" w:type="dxa"/>
            <w:vAlign w:val="bottom"/>
          </w:tcPr>
          <w:p>
            <w:pPr>
              <w:spacing w:after="0"/>
              <w:rPr>
                <w:sz w:val="24"/>
                <w:szCs w:val="24"/>
                <w:color w:val="auto"/>
              </w:rPr>
            </w:pPr>
          </w:p>
        </w:tc>
      </w:tr>
      <w:tr>
        <w:trPr>
          <w:trHeight w:val="166"/>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7540" w:type="dxa"/>
            <w:vAlign w:val="bottom"/>
            <w:gridSpan w:val="2"/>
          </w:tcPr>
          <w:p>
            <w:pPr>
              <w:ind w:left="4920"/>
              <w:spacing w:after="0"/>
              <w:rPr>
                <w:sz w:val="20"/>
                <w:szCs w:val="20"/>
                <w:color w:val="auto"/>
              </w:rPr>
            </w:pPr>
            <w:r>
              <w:rPr>
                <w:rFonts w:ascii="Courier New" w:cs="Courier New" w:eastAsia="Courier New" w:hAnsi="Courier New"/>
                <w:sz w:val="14"/>
                <w:szCs w:val="14"/>
                <w:color w:val="auto"/>
              </w:rPr>
              <w:t>Total fixed rate debt</w:t>
            </w:r>
          </w:p>
        </w:tc>
        <w:tc>
          <w:tcPr>
            <w:tcW w:w="1160" w:type="dxa"/>
            <w:vAlign w:val="bottom"/>
          </w:tcPr>
          <w:p>
            <w:pPr>
              <w:spacing w:after="0"/>
              <w:rPr>
                <w:sz w:val="24"/>
                <w:szCs w:val="2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$455,980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62.93%</w:t>
            </w:r>
          </w:p>
        </w:tc>
      </w:tr>
      <w:tr>
        <w:trPr>
          <w:trHeight w:val="331"/>
        </w:trPr>
        <w:tc>
          <w:tcPr>
            <w:tcW w:w="7540" w:type="dxa"/>
            <w:vAlign w:val="bottom"/>
            <w:gridSpan w:val="2"/>
          </w:tcPr>
          <w:p>
            <w:pPr>
              <w:ind w:left="4920"/>
              <w:spacing w:after="0"/>
              <w:rPr>
                <w:sz w:val="20"/>
                <w:szCs w:val="20"/>
                <w:color w:val="auto"/>
              </w:rPr>
            </w:pPr>
            <w:r>
              <w:rPr>
                <w:rFonts w:ascii="Courier New" w:cs="Courier New" w:eastAsia="Courier New" w:hAnsi="Courier New"/>
                <w:sz w:val="14"/>
                <w:szCs w:val="14"/>
                <w:color w:val="auto"/>
              </w:rPr>
              <w:t>Total variable rate debt</w:t>
            </w:r>
          </w:p>
        </w:tc>
        <w:tc>
          <w:tcPr>
            <w:tcW w:w="1160" w:type="dxa"/>
            <w:vAlign w:val="bottom"/>
          </w:tcPr>
          <w:p>
            <w:pPr>
              <w:spacing w:after="0"/>
              <w:rPr>
                <w:sz w:val="24"/>
                <w:szCs w:val="2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268,547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37.07%</w:t>
            </w:r>
          </w:p>
        </w:tc>
      </w:tr>
      <w:tr>
        <w:trPr>
          <w:trHeight w:val="166"/>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780" w:type="dxa"/>
            <w:vAlign w:val="bottom"/>
          </w:tcPr>
          <w:p>
            <w:pPr>
              <w:ind w:left="4920"/>
              <w:spacing w:after="0"/>
              <w:rPr>
                <w:sz w:val="20"/>
                <w:szCs w:val="20"/>
                <w:color w:val="auto"/>
              </w:rPr>
            </w:pPr>
            <w:r>
              <w:rPr>
                <w:rFonts w:ascii="Courier New" w:cs="Courier New" w:eastAsia="Courier New" w:hAnsi="Courier New"/>
                <w:sz w:val="14"/>
                <w:szCs w:val="14"/>
                <w:color w:val="auto"/>
                <w:w w:val="99"/>
              </w:rPr>
              <w:t>Total debt</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$724,527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663"/>
        </w:trPr>
        <w:tc>
          <w:tcPr>
            <w:tcW w:w="7540" w:type="dxa"/>
            <w:vAlign w:val="bottom"/>
            <w:gridSpan w:val="2"/>
          </w:tcPr>
          <w:p>
            <w:pPr>
              <w:ind w:left="4840"/>
              <w:spacing w:after="0"/>
              <w:rPr>
                <w:sz w:val="20"/>
                <w:szCs w:val="20"/>
                <w:color w:val="auto"/>
              </w:rPr>
            </w:pPr>
            <w:r>
              <w:rPr>
                <w:rFonts w:ascii="Courier New" w:cs="Courier New" w:eastAsia="Courier New" w:hAnsi="Courier New"/>
                <w:sz w:val="14"/>
                <w:szCs w:val="14"/>
                <w:color w:val="auto"/>
              </w:rPr>
              <w:t>Weighted average interest rate:</w:t>
            </w: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8700" w:type="dxa"/>
            <w:vAlign w:val="bottom"/>
            <w:gridSpan w:val="3"/>
          </w:tcPr>
          <w:p>
            <w:pPr>
              <w:ind w:left="48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7540" w:type="dxa"/>
            <w:vAlign w:val="bottom"/>
            <w:gridSpan w:val="2"/>
          </w:tcPr>
          <w:p>
            <w:pPr>
              <w:ind w:left="4920"/>
              <w:spacing w:after="0"/>
              <w:rPr>
                <w:sz w:val="20"/>
                <w:szCs w:val="20"/>
                <w:color w:val="auto"/>
              </w:rPr>
            </w:pPr>
            <w:r>
              <w:rPr>
                <w:rFonts w:ascii="Courier New" w:cs="Courier New" w:eastAsia="Courier New" w:hAnsi="Courier New"/>
                <w:sz w:val="14"/>
                <w:szCs w:val="14"/>
                <w:color w:val="auto"/>
              </w:rPr>
              <w:t>Fixed rate debt</w:t>
            </w:r>
          </w:p>
        </w:tc>
        <w:tc>
          <w:tcPr>
            <w:tcW w:w="116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7.19%</w:t>
            </w:r>
          </w:p>
        </w:tc>
        <w:tc>
          <w:tcPr>
            <w:tcW w:w="680" w:type="dxa"/>
            <w:vAlign w:val="bottom"/>
          </w:tcPr>
          <w:p>
            <w:pPr>
              <w:spacing w:after="0"/>
              <w:rPr>
                <w:sz w:val="14"/>
                <w:szCs w:val="14"/>
                <w:color w:val="auto"/>
              </w:rPr>
            </w:pPr>
          </w:p>
        </w:tc>
      </w:tr>
      <w:tr>
        <w:trPr>
          <w:trHeight w:val="166"/>
        </w:trPr>
        <w:tc>
          <w:tcPr>
            <w:tcW w:w="8700" w:type="dxa"/>
            <w:vAlign w:val="bottom"/>
            <w:gridSpan w:val="3"/>
          </w:tcPr>
          <w:p>
            <w:pPr>
              <w:ind w:left="4920"/>
              <w:spacing w:after="0"/>
              <w:rPr>
                <w:sz w:val="20"/>
                <w:szCs w:val="20"/>
                <w:color w:val="auto"/>
              </w:rPr>
            </w:pPr>
            <w:r>
              <w:rPr>
                <w:rFonts w:ascii="Courier New" w:cs="Courier New" w:eastAsia="Courier New" w:hAnsi="Courier New"/>
                <w:sz w:val="14"/>
                <w:szCs w:val="14"/>
                <w:color w:val="auto"/>
              </w:rPr>
              <w:t>Variable on revolving facilities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6.10% **</w:t>
            </w:r>
          </w:p>
        </w:tc>
        <w:tc>
          <w:tcPr>
            <w:tcW w:w="680" w:type="dxa"/>
            <w:vAlign w:val="bottom"/>
          </w:tcPr>
          <w:p>
            <w:pPr>
              <w:spacing w:after="0"/>
              <w:rPr>
                <w:sz w:val="14"/>
                <w:szCs w:val="14"/>
                <w:color w:val="auto"/>
              </w:rPr>
            </w:pPr>
          </w:p>
        </w:tc>
      </w:tr>
      <w:tr>
        <w:trPr>
          <w:trHeight w:val="166"/>
        </w:trPr>
        <w:tc>
          <w:tcPr>
            <w:tcW w:w="7540" w:type="dxa"/>
            <w:vAlign w:val="bottom"/>
            <w:gridSpan w:val="2"/>
          </w:tcPr>
          <w:p>
            <w:pPr>
              <w:ind w:left="4920"/>
              <w:spacing w:after="0"/>
              <w:rPr>
                <w:sz w:val="20"/>
                <w:szCs w:val="20"/>
                <w:color w:val="auto"/>
              </w:rPr>
            </w:pPr>
            <w:r>
              <w:rPr>
                <w:rFonts w:ascii="Courier New" w:cs="Courier New" w:eastAsia="Courier New" w:hAnsi="Courier New"/>
                <w:sz w:val="14"/>
                <w:szCs w:val="14"/>
                <w:color w:val="auto"/>
              </w:rPr>
              <w:t>Variable on muncipal bonds</w:t>
            </w:r>
          </w:p>
        </w:tc>
        <w:tc>
          <w:tcPr>
            <w:tcW w:w="116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bl>
    <w:p>
      <w:pPr>
        <w:spacing w:after="0" w:line="335" w:lineRule="exact"/>
        <w:rPr>
          <w:sz w:val="20"/>
          <w:szCs w:val="20"/>
          <w:color w:val="auto"/>
        </w:rPr>
      </w:pPr>
    </w:p>
    <w:p>
      <w:pPr>
        <w:ind w:left="260" w:right="4380" w:hanging="252"/>
        <w:spacing w:after="0" w:line="250" w:lineRule="auto"/>
        <w:tabs>
          <w:tab w:leader="none" w:pos="2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or hedges on these notes, thereby decreasing the effective interest.</w:t>
      </w:r>
    </w:p>
    <w:p>
      <w:pPr>
        <w:spacing w:after="0" w:line="1" w:lineRule="exact"/>
        <w:rPr>
          <w:sz w:val="20"/>
          <w:szCs w:val="20"/>
          <w:color w:val="auto"/>
        </w:rPr>
      </w:pPr>
    </w:p>
    <w:p>
      <w:pPr>
        <w:ind w:left="260" w:right="4480" w:hanging="252"/>
        <w:spacing w:after="0" w:line="250" w:lineRule="auto"/>
        <w:tabs>
          <w:tab w:leader="none" w:pos="2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twelve months ended December 31,1998.</w:t>
      </w:r>
    </w:p>
    <w:p>
      <w:pPr>
        <w:spacing w:after="0" w:line="1" w:lineRule="exact"/>
        <w:rPr>
          <w:sz w:val="20"/>
          <w:szCs w:val="20"/>
          <w:color w:val="auto"/>
        </w:rPr>
      </w:pPr>
    </w:p>
    <w:p>
      <w:pPr>
        <w:ind w:left="260" w:right="4120" w:hanging="252"/>
        <w:spacing w:after="0" w:line="252"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ectPr>
          <w:pgSz w:w="11900" w:h="16838" w:orient="portrait"/>
          <w:cols w:equalWidth="0" w:num="1">
            <w:col w:w="10940"/>
          </w:cols>
          <w:pgMar w:left="220" w:top="616" w:right="7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37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Overall Occupancy</w:t>
            </w: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7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(Quarter to Quarter Analysis)</w:t>
            </w:r>
          </w:p>
        </w:tc>
        <w:tc>
          <w:tcPr>
            <w:tcW w:w="1240" w:type="dxa"/>
            <w:vAlign w:val="bottom"/>
          </w:tcPr>
          <w:p>
            <w:pPr>
              <w:spacing w:after="0"/>
              <w:rPr>
                <w:sz w:val="14"/>
                <w:szCs w:val="1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31, 1998</w:t>
            </w:r>
          </w:p>
        </w:tc>
        <w:tc>
          <w:tcPr>
            <w:tcW w:w="1320" w:type="dxa"/>
            <w:vAlign w:val="bottom"/>
          </w:tcPr>
          <w:p>
            <w:pPr>
              <w:spacing w:after="0"/>
              <w:rPr>
                <w:sz w:val="14"/>
                <w:szCs w:val="14"/>
                <w:color w:val="auto"/>
              </w:rPr>
            </w:pPr>
          </w:p>
        </w:tc>
        <w:tc>
          <w:tcPr>
            <w:tcW w:w="2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31, 1997</w:t>
            </w:r>
          </w:p>
        </w:tc>
      </w:tr>
      <w:tr>
        <w:trPr>
          <w:trHeight w:val="166"/>
        </w:trPr>
        <w:tc>
          <w:tcPr>
            <w:tcW w:w="37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380" w:type="dxa"/>
            <w:vAlign w:val="bottom"/>
          </w:tcPr>
          <w:p>
            <w:pPr>
              <w:spacing w:after="0"/>
              <w:rPr>
                <w:sz w:val="14"/>
                <w:szCs w:val="14"/>
                <w:color w:val="auto"/>
              </w:rPr>
            </w:pPr>
          </w:p>
        </w:tc>
        <w:tc>
          <w:tcPr>
            <w:tcW w:w="39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ind w:left="1480"/>
              <w:spacing w:after="0"/>
              <w:rPr>
                <w:sz w:val="20"/>
                <w:szCs w:val="20"/>
                <w:color w:val="auto"/>
              </w:rPr>
            </w:pPr>
            <w:r>
              <w:rPr>
                <w:rFonts w:ascii="Courier New" w:cs="Courier New" w:eastAsia="Courier New" w:hAnsi="Courier New"/>
                <w:sz w:val="14"/>
                <w:szCs w:val="14"/>
                <w:color w:val="auto"/>
              </w:rPr>
              <w:t>Type</w:t>
            </w:r>
          </w:p>
        </w:tc>
        <w:tc>
          <w:tcPr>
            <w:tcW w:w="124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14,497,898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13,803,336</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95%</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13,518,197</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12,919,532</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96%</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4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281</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320" w:type="dxa"/>
            <w:vAlign w:val="bottom"/>
          </w:tcPr>
          <w:p>
            <w:pPr>
              <w:ind w:left="460"/>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279</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99%</w:t>
            </w:r>
          </w:p>
        </w:tc>
      </w:tr>
      <w:tr>
        <w:trPr>
          <w:trHeight w:val="497"/>
        </w:trPr>
        <w:tc>
          <w:tcPr>
            <w:tcW w:w="376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Overall Occupancy</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6"/>
        </w:trPr>
        <w:tc>
          <w:tcPr>
            <w:tcW w:w="376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(Rolling 12 Months)</w:t>
            </w:r>
          </w:p>
        </w:tc>
        <w:tc>
          <w:tcPr>
            <w:tcW w:w="1240" w:type="dxa"/>
            <w:vAlign w:val="bottom"/>
          </w:tcPr>
          <w:p>
            <w:pPr>
              <w:spacing w:after="0"/>
              <w:rPr>
                <w:sz w:val="14"/>
                <w:szCs w:val="1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31, 1998</w:t>
            </w:r>
          </w:p>
        </w:tc>
        <w:tc>
          <w:tcPr>
            <w:tcW w:w="1320" w:type="dxa"/>
            <w:vAlign w:val="bottom"/>
          </w:tcPr>
          <w:p>
            <w:pPr>
              <w:spacing w:after="0"/>
              <w:rPr>
                <w:sz w:val="14"/>
                <w:szCs w:val="14"/>
                <w:color w:val="auto"/>
              </w:rPr>
            </w:pPr>
          </w:p>
        </w:tc>
        <w:tc>
          <w:tcPr>
            <w:tcW w:w="2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September 30, 1998</w:t>
            </w:r>
          </w:p>
        </w:tc>
      </w:tr>
      <w:tr>
        <w:trPr>
          <w:trHeight w:val="166"/>
        </w:trPr>
        <w:tc>
          <w:tcPr>
            <w:tcW w:w="37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380" w:type="dxa"/>
            <w:vAlign w:val="bottom"/>
          </w:tcPr>
          <w:p>
            <w:pPr>
              <w:spacing w:after="0"/>
              <w:rPr>
                <w:sz w:val="14"/>
                <w:szCs w:val="14"/>
                <w:color w:val="auto"/>
              </w:rPr>
            </w:pPr>
          </w:p>
        </w:tc>
        <w:tc>
          <w:tcPr>
            <w:tcW w:w="39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ind w:left="1480"/>
              <w:spacing w:after="0"/>
              <w:rPr>
                <w:sz w:val="20"/>
                <w:szCs w:val="20"/>
                <w:color w:val="auto"/>
              </w:rPr>
            </w:pPr>
            <w:r>
              <w:rPr>
                <w:rFonts w:ascii="Courier New" w:cs="Courier New" w:eastAsia="Courier New" w:hAnsi="Courier New"/>
                <w:sz w:val="14"/>
                <w:szCs w:val="14"/>
                <w:color w:val="auto"/>
              </w:rPr>
              <w:t>Type</w:t>
            </w:r>
          </w:p>
        </w:tc>
        <w:tc>
          <w:tcPr>
            <w:tcW w:w="124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14,497,898</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13,803,336</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95%</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14,419,458</w:t>
            </w: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13,739,610</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95%</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4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281</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99%</w:t>
            </w:r>
          </w:p>
        </w:tc>
        <w:tc>
          <w:tcPr>
            <w:tcW w:w="1320" w:type="dxa"/>
            <w:vAlign w:val="bottom"/>
          </w:tcPr>
          <w:p>
            <w:pPr>
              <w:ind w:left="460"/>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100%</w:t>
            </w:r>
          </w:p>
        </w:tc>
      </w:tr>
      <w:tr>
        <w:trPr>
          <w:trHeight w:val="497"/>
        </w:trPr>
        <w:tc>
          <w:tcPr>
            <w:tcW w:w="3760" w:type="dxa"/>
            <w:vAlign w:val="bottom"/>
          </w:tcPr>
          <w:p>
            <w:pPr>
              <w:ind w:left="1120"/>
              <w:spacing w:after="0"/>
              <w:rPr>
                <w:sz w:val="20"/>
                <w:szCs w:val="20"/>
                <w:color w:val="auto"/>
              </w:rPr>
            </w:pPr>
            <w:r>
              <w:rPr>
                <w:rFonts w:ascii="Courier New" w:cs="Courier New" w:eastAsia="Courier New" w:hAnsi="Courier New"/>
                <w:sz w:val="14"/>
                <w:szCs w:val="14"/>
                <w:color w:val="auto"/>
              </w:rPr>
              <w:t>Overall Occupancy</w:t>
            </w: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6"/>
        </w:trPr>
        <w:tc>
          <w:tcPr>
            <w:tcW w:w="3760" w:type="dxa"/>
            <w:vAlign w:val="bottom"/>
          </w:tcPr>
          <w:p>
            <w:pPr>
              <w:ind w:left="1040"/>
              <w:spacing w:after="0"/>
              <w:rPr>
                <w:sz w:val="20"/>
                <w:szCs w:val="20"/>
                <w:color w:val="auto"/>
              </w:rPr>
            </w:pPr>
            <w:r>
              <w:rPr>
                <w:rFonts w:ascii="Courier New" w:cs="Courier New" w:eastAsia="Courier New" w:hAnsi="Courier New"/>
                <w:sz w:val="14"/>
                <w:szCs w:val="14"/>
                <w:color w:val="auto"/>
              </w:rPr>
              <w:t>(Rolling 12 Months)</w:t>
            </w:r>
          </w:p>
        </w:tc>
        <w:tc>
          <w:tcPr>
            <w:tcW w:w="12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Courier New" w:cs="Courier New" w:eastAsia="Courier New" w:hAnsi="Courier New"/>
                <w:sz w:val="14"/>
                <w:szCs w:val="14"/>
                <w:color w:val="auto"/>
              </w:rPr>
              <w:t>June 30, 1998</w:t>
            </w:r>
          </w:p>
        </w:tc>
        <w:tc>
          <w:tcPr>
            <w:tcW w:w="1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March 31, 1998</w:t>
            </w:r>
          </w:p>
        </w:tc>
      </w:tr>
      <w:tr>
        <w:trPr>
          <w:trHeight w:val="166"/>
        </w:trPr>
        <w:tc>
          <w:tcPr>
            <w:tcW w:w="376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t>
            </w:r>
          </w:p>
        </w:tc>
        <w:tc>
          <w:tcPr>
            <w:tcW w:w="1380" w:type="dxa"/>
            <w:vAlign w:val="bottom"/>
          </w:tcPr>
          <w:p>
            <w:pPr>
              <w:spacing w:after="0"/>
              <w:rPr>
                <w:sz w:val="14"/>
                <w:szCs w:val="14"/>
                <w:color w:val="auto"/>
              </w:rPr>
            </w:pPr>
          </w:p>
        </w:tc>
        <w:tc>
          <w:tcPr>
            <w:tcW w:w="390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ind w:left="1560"/>
              <w:spacing w:after="0"/>
              <w:rPr>
                <w:sz w:val="20"/>
                <w:szCs w:val="20"/>
                <w:color w:val="auto"/>
              </w:rPr>
            </w:pPr>
            <w:r>
              <w:rPr>
                <w:rFonts w:ascii="Courier New" w:cs="Courier New" w:eastAsia="Courier New" w:hAnsi="Courier New"/>
                <w:sz w:val="14"/>
                <w:szCs w:val="14"/>
                <w:color w:val="auto"/>
              </w:rPr>
              <w:t>Type</w:t>
            </w:r>
          </w:p>
        </w:tc>
        <w:tc>
          <w:tcPr>
            <w:tcW w:w="124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Leased</w:t>
            </w:r>
          </w:p>
        </w:tc>
        <w:tc>
          <w:tcPr>
            <w:tcW w:w="138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Occupancy</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   --------------  -------------   ----------</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13,658,940</w:t>
            </w: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12,989,036</w:t>
            </w:r>
          </w:p>
        </w:tc>
        <w:tc>
          <w:tcPr>
            <w:tcW w:w="138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95%</w:t>
            </w:r>
          </w:p>
        </w:tc>
        <w:tc>
          <w:tcPr>
            <w:tcW w:w="1320" w:type="dxa"/>
            <w:vAlign w:val="bottom"/>
          </w:tcPr>
          <w:p>
            <w:pPr>
              <w:ind w:left="300"/>
              <w:spacing w:after="0"/>
              <w:rPr>
                <w:sz w:val="20"/>
                <w:szCs w:val="20"/>
                <w:color w:val="auto"/>
              </w:rPr>
            </w:pPr>
            <w:r>
              <w:rPr>
                <w:rFonts w:ascii="Courier New" w:cs="Courier New" w:eastAsia="Courier New" w:hAnsi="Courier New"/>
                <w:sz w:val="14"/>
                <w:szCs w:val="14"/>
                <w:color w:val="auto"/>
              </w:rPr>
              <w:t>13,518,261</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12,923,203</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96%</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4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1380" w:type="dxa"/>
            <w:vAlign w:val="bottom"/>
          </w:tcPr>
          <w:p>
            <w:pPr>
              <w:jc w:val="center"/>
              <w:ind w:left="248"/>
              <w:spacing w:after="0"/>
              <w:rPr>
                <w:sz w:val="20"/>
                <w:szCs w:val="20"/>
                <w:color w:val="auto"/>
              </w:rPr>
            </w:pPr>
            <w:r>
              <w:rPr>
                <w:rFonts w:ascii="Courier New" w:cs="Courier New" w:eastAsia="Courier New" w:hAnsi="Courier New"/>
                <w:sz w:val="14"/>
                <w:szCs w:val="14"/>
                <w:color w:val="auto"/>
              </w:rPr>
              <w:t>99%</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280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99%</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948" w:right="139" w:bottom="1440" w:gutter="0" w:footer="0" w:header="0"/>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(Quarter to Quarter Comparison)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December 31, 1998</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December 31,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80" w:space="720"/>
            <w:col w:w="4040" w:space="180"/>
            <w:col w:w="3520"/>
          </w:cols>
          <w:pgMar w:left="220" w:top="948" w:right="139" w:bottom="1440" w:gutter="0" w:footer="0" w:header="0"/>
          <w:type w:val="continuous"/>
        </w:sectPr>
      </w:pPr>
    </w:p>
    <w:p>
      <w:pPr>
        <w:ind w:left="130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86"/>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7">
            <w:col w:w="3620" w:space="440"/>
            <w:col w:w="1040" w:space="420"/>
            <w:col w:w="1040" w:space="340"/>
            <w:col w:w="1120" w:space="180"/>
            <w:col w:w="1020" w:space="180"/>
            <w:col w:w="1040" w:space="80"/>
            <w:col w:w="1020"/>
          </w:cols>
          <w:pgMar w:left="220" w:top="94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13,102,582</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12,451,743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13,086,129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12,508,208</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279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460" w:space="520"/>
            <w:col w:w="860" w:space="600"/>
            <w:col w:w="1000" w:space="720"/>
            <w:col w:w="260" w:space="680"/>
            <w:col w:w="860" w:space="360"/>
            <w:col w:w="860" w:space="600"/>
            <w:col w:w="760"/>
          </w:cols>
          <w:pgMar w:left="220" w:top="948" w:right="139" w:bottom="1440" w:gutter="0" w:footer="0" w:header="0"/>
          <w:type w:val="continuous"/>
        </w:sect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948" w:right="139" w:bottom="1440" w:gutter="0" w:footer="0" w:header="0"/>
          <w:type w:val="continuous"/>
        </w:sectPr>
      </w:pP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jc w:val="center"/>
        <w:ind w:left="-79"/>
        <w:spacing w:after="0"/>
        <w:rPr>
          <w:sz w:val="20"/>
          <w:szCs w:val="20"/>
          <w:color w:val="auto"/>
        </w:rPr>
      </w:pPr>
      <w:r>
        <w:rPr>
          <w:rFonts w:ascii="Courier New" w:cs="Courier New" w:eastAsia="Courier New" w:hAnsi="Courier New"/>
          <w:sz w:val="14"/>
          <w:szCs w:val="14"/>
          <w:color w:val="auto"/>
        </w:rPr>
        <w:t>At December 31, 1998</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September 30,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340" w:space="720"/>
            <w:col w:w="3700" w:space="180"/>
            <w:col w:w="3600"/>
          </w:cols>
          <w:pgMar w:left="220" w:top="948" w:right="139" w:bottom="1440" w:gutter="0" w:footer="0" w:header="0"/>
          <w:type w:val="continuous"/>
        </w:sectPr>
      </w:pPr>
    </w:p>
    <w:p>
      <w:pPr>
        <w:ind w:left="138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firstLine="86"/>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7">
            <w:col w:w="3620" w:space="600"/>
            <w:col w:w="1040" w:space="340"/>
            <w:col w:w="1040" w:space="260"/>
            <w:col w:w="1040" w:space="160"/>
            <w:col w:w="1040" w:space="180"/>
            <w:col w:w="940" w:space="80"/>
            <w:col w:w="1200"/>
          </w:cols>
          <w:pgMar w:left="220" w:top="94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13,102,582</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12,451,743</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95%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12,056,443</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11,459,514</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7">
            <w:col w:w="3460" w:space="680"/>
            <w:col w:w="860" w:space="520"/>
            <w:col w:w="860" w:space="700"/>
            <w:col w:w="240" w:space="700"/>
            <w:col w:w="860" w:space="340"/>
            <w:col w:w="860" w:space="520"/>
            <w:col w:w="940"/>
          </w:cols>
          <w:pgMar w:left="220" w:top="948" w:right="139" w:bottom="1440" w:gutter="0" w:footer="0" w:header="0"/>
          <w:type w:val="continuous"/>
        </w:sectPr>
      </w:pPr>
    </w:p>
    <w:p>
      <w:pPr>
        <w:spacing w:after="0" w:line="30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1540"/>
          </w:cols>
          <w:pgMar w:left="220" w:top="948" w:right="139" w:bottom="1440" w:gutter="0" w:footer="0" w:header="0"/>
          <w:type w:val="continuous"/>
        </w:sectPr>
      </w:pP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jc w:val="center"/>
        <w:ind w:left="-79"/>
        <w:spacing w:after="0"/>
        <w:rPr>
          <w:sz w:val="20"/>
          <w:szCs w:val="20"/>
          <w:color w:val="auto"/>
        </w:rPr>
      </w:pPr>
      <w:r>
        <w:rPr>
          <w:rFonts w:ascii="Courier New" w:cs="Courier New" w:eastAsia="Courier New" w:hAnsi="Courier New"/>
          <w:sz w:val="14"/>
          <w:szCs w:val="14"/>
          <w:color w:val="auto"/>
        </w:rPr>
        <w:t>At June 30, 1998</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20"/>
        <w:spacing w:after="0"/>
        <w:rPr>
          <w:sz w:val="20"/>
          <w:szCs w:val="20"/>
          <w:color w:val="auto"/>
        </w:rPr>
      </w:pPr>
      <w:r>
        <w:rPr>
          <w:rFonts w:ascii="Courier New" w:cs="Courier New" w:eastAsia="Courier New" w:hAnsi="Courier New"/>
          <w:sz w:val="14"/>
          <w:szCs w:val="14"/>
          <w:color w:val="auto"/>
        </w:rPr>
        <w:t>At March 31, 1998</w:t>
      </w:r>
    </w:p>
    <w:p>
      <w:pPr>
        <w:spacing w:after="0" w:line="7"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340" w:space="720"/>
            <w:col w:w="3360" w:space="160"/>
            <w:col w:w="3960"/>
          </w:cols>
          <w:pgMar w:left="220" w:top="948" w:right="139" w:bottom="1440" w:gutter="0" w:footer="0" w:header="0"/>
          <w:type w:val="continuous"/>
        </w:sectPr>
      </w:pPr>
    </w:p>
    <w:p>
      <w:pPr>
        <w:ind w:left="138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firstLine="172"/>
        <w:spacing w:after="0" w:line="255" w:lineRule="auto"/>
        <w:rPr>
          <w:sz w:val="20"/>
          <w:szCs w:val="20"/>
          <w:color w:val="auto"/>
        </w:rPr>
      </w:pPr>
      <w:r>
        <w:rPr>
          <w:rFonts w:ascii="Courier New" w:cs="Courier New" w:eastAsia="Courier New" w:hAnsi="Courier New"/>
          <w:sz w:val="14"/>
          <w:szCs w:val="14"/>
          <w:color w:val="auto"/>
        </w:rPr>
        <w:t>Size Leased ------------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tabs>
          <w:tab w:leader="none" w:pos="1260" w:val="left"/>
        </w:tabs>
        <w:rPr>
          <w:sz w:val="20"/>
          <w:szCs w:val="20"/>
          <w:color w:val="auto"/>
        </w:rPr>
      </w:pP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2" w:lineRule="exact"/>
        <w:rPr>
          <w:sz w:val="20"/>
          <w:szCs w:val="20"/>
          <w:color w:val="auto"/>
        </w:rPr>
      </w:pPr>
    </w:p>
    <w:p>
      <w:pPr>
        <w:sectPr>
          <w:pgSz w:w="11900" w:h="16838" w:orient="portrait"/>
          <w:cols w:equalWidth="0" w:num="5">
            <w:col w:w="3620" w:space="600"/>
            <w:col w:w="2160" w:space="260"/>
            <w:col w:w="940" w:space="180"/>
            <w:col w:w="1040" w:space="260"/>
            <w:col w:w="2480"/>
          </w:cols>
          <w:pgMar w:left="220" w:top="948"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11,938,810</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11,358,594</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11,652,173</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11,119,804</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7">
            <w:col w:w="3460" w:space="680"/>
            <w:col w:w="860" w:space="260"/>
            <w:col w:w="860" w:space="700"/>
            <w:col w:w="260" w:space="600"/>
            <w:col w:w="860" w:space="520"/>
            <w:col w:w="860" w:space="680"/>
            <w:col w:w="940"/>
          </w:cols>
          <w:pgMar w:left="220" w:top="948" w:right="139" w:bottom="1440" w:gutter="0" w:footer="0" w:header="0"/>
          <w:type w:val="continuous"/>
        </w:sectPr>
      </w:pPr>
    </w:p>
    <w:bookmarkStart w:id="6" w:name="page7"/>
    <w:bookmarkEnd w:id="6"/>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Overall Economic Occupancy</w:t>
            </w: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(Quarter to Quarter Analysis)</w:t>
            </w:r>
          </w:p>
        </w:tc>
        <w:tc>
          <w:tcPr>
            <w:tcW w:w="2760" w:type="dxa"/>
            <w:vAlign w:val="bottom"/>
            <w:gridSpan w:val="2"/>
          </w:tcPr>
          <w:p>
            <w:pPr>
              <w:jc w:val="center"/>
              <w:ind w:left="1108"/>
              <w:spacing w:after="0"/>
              <w:rPr>
                <w:sz w:val="20"/>
                <w:szCs w:val="20"/>
                <w:color w:val="auto"/>
              </w:rPr>
            </w:pPr>
            <w:r>
              <w:rPr>
                <w:rFonts w:ascii="Courier New" w:cs="Courier New" w:eastAsia="Courier New" w:hAnsi="Courier New"/>
                <w:sz w:val="14"/>
                <w:szCs w:val="14"/>
                <w:color w:val="auto"/>
              </w:rPr>
              <w:t>December 31, 1998</w:t>
            </w:r>
          </w:p>
        </w:tc>
        <w:tc>
          <w:tcPr>
            <w:tcW w:w="980" w:type="dxa"/>
            <w:vAlign w:val="bottom"/>
          </w:tcPr>
          <w:p>
            <w:pPr>
              <w:spacing w:after="0"/>
              <w:rPr>
                <w:sz w:val="14"/>
                <w:szCs w:val="14"/>
                <w:color w:val="auto"/>
              </w:rPr>
            </w:pPr>
          </w:p>
        </w:tc>
        <w:tc>
          <w:tcPr>
            <w:tcW w:w="2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1997</w:t>
            </w:r>
          </w:p>
        </w:tc>
        <w:tc>
          <w:tcPr>
            <w:tcW w:w="1080" w:type="dxa"/>
            <w:vAlign w:val="bottom"/>
          </w:tcPr>
          <w:p>
            <w:pPr>
              <w:spacing w:after="0"/>
              <w:rPr>
                <w:sz w:val="14"/>
                <w:szCs w:val="14"/>
                <w:color w:val="auto"/>
              </w:rPr>
            </w:pPr>
          </w:p>
        </w:tc>
      </w:tr>
      <w:tr>
        <w:trPr>
          <w:trHeight w:val="166"/>
        </w:trPr>
        <w:tc>
          <w:tcPr>
            <w:tcW w:w="3760" w:type="dxa"/>
            <w:vAlign w:val="bottom"/>
          </w:tcPr>
          <w:p>
            <w:pPr>
              <w:spacing w:after="0"/>
              <w:rPr>
                <w:sz w:val="14"/>
                <w:szCs w:val="14"/>
                <w:color w:val="auto"/>
              </w:rPr>
            </w:pPr>
          </w:p>
        </w:tc>
        <w:tc>
          <w:tcPr>
            <w:tcW w:w="754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w:t>
            </w:r>
          </w:p>
        </w:tc>
      </w:tr>
      <w:tr>
        <w:trPr>
          <w:trHeight w:val="497"/>
        </w:trPr>
        <w:tc>
          <w:tcPr>
            <w:tcW w:w="3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Leases</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spacing w:after="0"/>
              <w:rPr>
                <w:sz w:val="24"/>
                <w:szCs w:val="24"/>
                <w:color w:val="auto"/>
              </w:rPr>
            </w:pPr>
          </w:p>
        </w:tc>
      </w:tr>
      <w:tr>
        <w:trPr>
          <w:trHeight w:val="166"/>
        </w:trPr>
        <w:tc>
          <w:tcPr>
            <w:tcW w:w="3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Generating</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c>
          <w:tcPr>
            <w:tcW w:w="1420" w:type="dxa"/>
            <w:vAlign w:val="bottom"/>
          </w:tcPr>
          <w:p>
            <w:pPr>
              <w:spacing w:after="0"/>
              <w:rPr>
                <w:sz w:val="14"/>
                <w:szCs w:val="14"/>
                <w:color w:val="auto"/>
              </w:rPr>
            </w:pPr>
          </w:p>
        </w:tc>
        <w:tc>
          <w:tcPr>
            <w:tcW w:w="13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76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Type</w:t>
            </w: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Size</w:t>
            </w:r>
          </w:p>
        </w:tc>
        <w:tc>
          <w:tcPr>
            <w:tcW w:w="13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Income</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w:t>
            </w:r>
          </w:p>
        </w:tc>
        <w:tc>
          <w:tcPr>
            <w:tcW w:w="23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14,497,898</w:t>
            </w:r>
          </w:p>
        </w:tc>
        <w:tc>
          <w:tcPr>
            <w:tcW w:w="13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13,626,536</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13,518,197</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12,757,485</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281</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279</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99%</w:t>
            </w:r>
          </w:p>
        </w:tc>
      </w:tr>
    </w:tbl>
    <w:p>
      <w:pPr>
        <w:spacing w:after="0" w:line="200" w:lineRule="exact"/>
        <w:rPr>
          <w:sz w:val="20"/>
          <w:szCs w:val="20"/>
          <w:color w:val="auto"/>
        </w:rPr>
      </w:pPr>
    </w:p>
    <w:p>
      <w:pPr>
        <w:sectPr>
          <w:pgSz w:w="11900" w:h="16877" w:orient="portrait"/>
          <w:cols w:equalWidth="0" w:num="1">
            <w:col w:w="11460"/>
          </w:cols>
          <w:pgMar w:left="220" w:top="616"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Overall Economic Occupancy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120"/>
        <w:spacing w:after="0"/>
        <w:tabs>
          <w:tab w:leader="none" w:pos="4720" w:val="left"/>
        </w:tabs>
        <w:rPr>
          <w:sz w:val="20"/>
          <w:szCs w:val="20"/>
          <w:color w:val="auto"/>
        </w:rPr>
      </w:pPr>
      <w:r>
        <w:rPr>
          <w:rFonts w:ascii="Courier New" w:cs="Courier New" w:eastAsia="Courier New" w:hAnsi="Courier New"/>
          <w:sz w:val="14"/>
          <w:szCs w:val="14"/>
          <w:color w:val="auto"/>
        </w:rPr>
        <w:t>December 31, 1998</w:t>
      </w:r>
      <w:r>
        <w:rPr>
          <w:sz w:val="20"/>
          <w:szCs w:val="20"/>
          <w:color w:val="auto"/>
        </w:rPr>
        <w:tab/>
      </w:r>
      <w:r>
        <w:rPr>
          <w:rFonts w:ascii="Courier New" w:cs="Courier New" w:eastAsia="Courier New" w:hAnsi="Courier New"/>
          <w:sz w:val="14"/>
          <w:szCs w:val="14"/>
          <w:color w:val="auto"/>
        </w:rPr>
        <w:t>September 30,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ectPr>
          <w:pgSz w:w="11900" w:h="16877" w:orient="portrait"/>
          <w:cols w:equalWidth="0" w:num="2">
            <w:col w:w="3160" w:space="720"/>
            <w:col w:w="7580"/>
          </w:cols>
          <w:pgMar w:left="220" w:top="616" w:right="219" w:bottom="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Generating</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w:t>
      </w:r>
    </w:p>
    <w:p>
      <w:pPr>
        <w:spacing w:after="0" w:line="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4"/>
          <w:szCs w:val="14"/>
          <w:color w:val="auto"/>
        </w:rPr>
        <w:t>Occupancy</w:t>
      </w:r>
      <w:r>
        <w:rPr>
          <w:sz w:val="20"/>
          <w:szCs w:val="20"/>
          <w:color w:val="auto"/>
        </w:rPr>
        <w:tab/>
      </w: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4"/>
          <w:szCs w:val="14"/>
          <w:color w:val="auto"/>
        </w:rPr>
        <w:t>Generating</w:t>
      </w:r>
      <w:r>
        <w:rPr>
          <w:sz w:val="20"/>
          <w:szCs w:val="20"/>
          <w:color w:val="auto"/>
        </w:rPr>
        <w:tab/>
      </w:r>
      <w:r>
        <w:rPr>
          <w:rFonts w:ascii="Courier New" w:cs="Courier New" w:eastAsia="Courier New" w:hAnsi="Courier New"/>
          <w:sz w:val="14"/>
          <w:szCs w:val="14"/>
          <w:color w:val="auto"/>
        </w:rPr>
        <w:t>Economic</w:t>
      </w:r>
    </w:p>
    <w:p>
      <w:pPr>
        <w:spacing w:after="0" w:line="7" w:lineRule="exact"/>
        <w:rPr>
          <w:sz w:val="20"/>
          <w:szCs w:val="20"/>
          <w:color w:val="auto"/>
        </w:rPr>
      </w:pPr>
    </w:p>
    <w:p>
      <w:pPr>
        <w:ind w:left="160"/>
        <w:spacing w:after="0"/>
        <w:tabs>
          <w:tab w:leader="none" w:pos="1180" w:val="left"/>
        </w:tabs>
        <w:rPr>
          <w:sz w:val="20"/>
          <w:szCs w:val="20"/>
          <w:color w:val="auto"/>
        </w:rPr>
      </w:pP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77" w:orient="portrait"/>
          <w:cols w:equalWidth="0" w:num="5">
            <w:col w:w="3620" w:space="440"/>
            <w:col w:w="1040" w:space="240"/>
            <w:col w:w="1040" w:space="180"/>
            <w:col w:w="2240" w:space="260"/>
            <w:col w:w="2400"/>
          </w:cols>
          <w:pgMar w:left="220" w:top="616" w:right="21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14,497,898</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13,626,536</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14,419,458</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13,578,116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77" w:orient="portrait"/>
          <w:cols w:equalWidth="0" w:num="7">
            <w:col w:w="3460" w:space="520"/>
            <w:col w:w="860" w:space="500"/>
            <w:col w:w="880" w:space="680"/>
            <w:col w:w="260" w:space="520"/>
            <w:col w:w="860" w:space="600"/>
            <w:col w:w="860" w:space="440"/>
            <w:col w:w="1020"/>
          </w:cols>
          <w:pgMar w:left="220" w:top="616" w:right="2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Overall Economic Occupancy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ind w:left="620"/>
              <w:spacing w:after="0"/>
              <w:rPr>
                <w:sz w:val="20"/>
                <w:szCs w:val="20"/>
                <w:color w:val="auto"/>
              </w:rPr>
            </w:pPr>
            <w:r>
              <w:rPr>
                <w:rFonts w:ascii="Courier New" w:cs="Courier New" w:eastAsia="Courier New" w:hAnsi="Courier New"/>
                <w:sz w:val="14"/>
                <w:szCs w:val="14"/>
                <w:color w:val="auto"/>
              </w:rPr>
              <w:t>(Rolling 12 Months)</w:t>
            </w:r>
          </w:p>
        </w:tc>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June 30, 1998</w:t>
            </w:r>
          </w:p>
        </w:tc>
        <w:tc>
          <w:tcPr>
            <w:tcW w:w="980" w:type="dxa"/>
            <w:vAlign w:val="bottom"/>
          </w:tcPr>
          <w:p>
            <w:pPr>
              <w:spacing w:after="0"/>
              <w:rPr>
                <w:sz w:val="24"/>
                <w:szCs w:val="24"/>
                <w:color w:val="auto"/>
              </w:rPr>
            </w:pPr>
          </w:p>
        </w:tc>
        <w:tc>
          <w:tcPr>
            <w:tcW w:w="2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March 31, 1998</w:t>
            </w:r>
          </w:p>
        </w:tc>
        <w:tc>
          <w:tcPr>
            <w:tcW w:w="1000" w:type="dxa"/>
            <w:vAlign w:val="bottom"/>
          </w:tcPr>
          <w:p>
            <w:pPr>
              <w:spacing w:after="0"/>
              <w:rPr>
                <w:sz w:val="24"/>
                <w:szCs w:val="24"/>
                <w:color w:val="auto"/>
              </w:rPr>
            </w:pPr>
          </w:p>
        </w:tc>
      </w:tr>
      <w:tr>
        <w:trPr>
          <w:trHeight w:val="166"/>
        </w:trPr>
        <w:tc>
          <w:tcPr>
            <w:tcW w:w="3840" w:type="dxa"/>
            <w:vAlign w:val="bottom"/>
          </w:tcPr>
          <w:p>
            <w:pPr>
              <w:spacing w:after="0"/>
              <w:rPr>
                <w:sz w:val="14"/>
                <w:szCs w:val="14"/>
                <w:color w:val="auto"/>
              </w:rPr>
            </w:pPr>
          </w:p>
        </w:tc>
        <w:tc>
          <w:tcPr>
            <w:tcW w:w="754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 ---------------------------------------</w:t>
            </w:r>
          </w:p>
        </w:tc>
      </w:tr>
      <w:tr>
        <w:trPr>
          <w:trHeight w:val="331"/>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Leases</w:t>
            </w: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r>
      <w:tr>
        <w:trPr>
          <w:trHeight w:val="166"/>
        </w:trPr>
        <w:tc>
          <w:tcPr>
            <w:tcW w:w="3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Generating</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c>
          <w:tcPr>
            <w:tcW w:w="1380" w:type="dxa"/>
            <w:vAlign w:val="bottom"/>
          </w:tcPr>
          <w:p>
            <w:pPr>
              <w:spacing w:after="0"/>
              <w:rPr>
                <w:sz w:val="14"/>
                <w:szCs w:val="14"/>
                <w:color w:val="auto"/>
              </w:rPr>
            </w:pP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840" w:type="dxa"/>
            <w:vAlign w:val="bottom"/>
          </w:tcPr>
          <w:p>
            <w:pPr>
              <w:ind w:left="1380"/>
              <w:spacing w:after="0"/>
              <w:rPr>
                <w:sz w:val="20"/>
                <w:szCs w:val="20"/>
                <w:color w:val="auto"/>
              </w:rPr>
            </w:pPr>
            <w:r>
              <w:rPr>
                <w:rFonts w:ascii="Courier New" w:cs="Courier New" w:eastAsia="Courier New" w:hAnsi="Courier New"/>
                <w:sz w:val="14"/>
                <w:szCs w:val="14"/>
                <w:color w:val="auto"/>
              </w:rPr>
              <w:t>Type</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Income</w:t>
            </w:r>
          </w:p>
        </w:tc>
        <w:tc>
          <w:tcPr>
            <w:tcW w:w="98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Size</w:t>
            </w:r>
          </w:p>
        </w:tc>
        <w:tc>
          <w:tcPr>
            <w:tcW w:w="12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13,658,940</w:t>
            </w:r>
          </w:p>
        </w:tc>
        <w:tc>
          <w:tcPr>
            <w:tcW w:w="13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12,778,700</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13,518,261</w:t>
            </w:r>
          </w:p>
        </w:tc>
        <w:tc>
          <w:tcPr>
            <w:tcW w:w="12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12,619,318</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6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274</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280</w:t>
            </w:r>
          </w:p>
        </w:tc>
        <w:tc>
          <w:tcPr>
            <w:tcW w:w="10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Same Center Economic Occupancy</w:t>
            </w:r>
          </w:p>
        </w:tc>
        <w:tc>
          <w:tcPr>
            <w:tcW w:w="1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(Quarter to Quarter Comparison)</w:t>
            </w:r>
          </w:p>
        </w:tc>
        <w:tc>
          <w:tcPr>
            <w:tcW w:w="2960" w:type="dxa"/>
            <w:vAlign w:val="bottom"/>
            <w:gridSpan w:val="2"/>
          </w:tcPr>
          <w:p>
            <w:pPr>
              <w:jc w:val="center"/>
              <w:ind w:left="1348"/>
              <w:spacing w:after="0"/>
              <w:rPr>
                <w:sz w:val="20"/>
                <w:szCs w:val="20"/>
                <w:color w:val="auto"/>
              </w:rPr>
            </w:pPr>
            <w:r>
              <w:rPr>
                <w:rFonts w:ascii="Courier New" w:cs="Courier New" w:eastAsia="Courier New" w:hAnsi="Courier New"/>
                <w:sz w:val="14"/>
                <w:szCs w:val="14"/>
                <w:color w:val="auto"/>
              </w:rPr>
              <w:t>December 31, 1998</w:t>
            </w:r>
          </w:p>
        </w:tc>
        <w:tc>
          <w:tcPr>
            <w:tcW w:w="1000" w:type="dxa"/>
            <w:vAlign w:val="bottom"/>
          </w:tcPr>
          <w:p>
            <w:pPr>
              <w:spacing w:after="0"/>
              <w:rPr>
                <w:sz w:val="14"/>
                <w:szCs w:val="1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1997</w:t>
            </w:r>
          </w:p>
        </w:tc>
        <w:tc>
          <w:tcPr>
            <w:tcW w:w="102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766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 ----------------------------------------</w:t>
            </w:r>
          </w:p>
        </w:tc>
      </w:tr>
      <w:tr>
        <w:trPr>
          <w:trHeight w:val="497"/>
        </w:trPr>
        <w:tc>
          <w:tcPr>
            <w:tcW w:w="3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Leases</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Leases</w:t>
            </w:r>
          </w:p>
        </w:tc>
        <w:tc>
          <w:tcPr>
            <w:tcW w:w="1020" w:type="dxa"/>
            <w:vAlign w:val="bottom"/>
          </w:tcPr>
          <w:p>
            <w:pPr>
              <w:spacing w:after="0"/>
              <w:rPr>
                <w:sz w:val="24"/>
                <w:szCs w:val="24"/>
                <w:color w:val="auto"/>
              </w:rPr>
            </w:pPr>
          </w:p>
        </w:tc>
      </w:tr>
      <w:tr>
        <w:trPr>
          <w:trHeight w:val="166"/>
        </w:trPr>
        <w:tc>
          <w:tcPr>
            <w:tcW w:w="3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Generating</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Economic</w:t>
            </w:r>
          </w:p>
        </w:tc>
        <w:tc>
          <w:tcPr>
            <w:tcW w:w="1420" w:type="dxa"/>
            <w:vAlign w:val="bottom"/>
          </w:tcPr>
          <w:p>
            <w:pPr>
              <w:spacing w:after="0"/>
              <w:rPr>
                <w:sz w:val="14"/>
                <w:szCs w:val="1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Generating</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80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Type</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Occupancy</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Size</w:t>
            </w:r>
          </w:p>
        </w:tc>
        <w:tc>
          <w:tcPr>
            <w:tcW w:w="12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Income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Occupancy</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w:t>
            </w:r>
          </w:p>
        </w:tc>
      </w:tr>
      <w:tr>
        <w:trPr>
          <w:trHeight w:val="331"/>
        </w:trPr>
        <w:tc>
          <w:tcPr>
            <w:tcW w:w="380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13,102,582</w:t>
            </w:r>
          </w:p>
        </w:tc>
        <w:tc>
          <w:tcPr>
            <w:tcW w:w="1320" w:type="dxa"/>
            <w:vAlign w:val="bottom"/>
          </w:tcPr>
          <w:p>
            <w:pPr>
              <w:ind w:left="80"/>
              <w:spacing w:after="0"/>
              <w:rPr>
                <w:sz w:val="20"/>
                <w:szCs w:val="20"/>
                <w:color w:val="auto"/>
              </w:rPr>
            </w:pPr>
            <w:r>
              <w:rPr>
                <w:rFonts w:ascii="Courier New" w:cs="Courier New" w:eastAsia="Courier New" w:hAnsi="Courier New"/>
                <w:sz w:val="14"/>
                <w:szCs w:val="14"/>
                <w:color w:val="auto"/>
              </w:rPr>
              <w:t>12,274,943</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13,086,129</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12,346,161</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8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Rollingwood Apartments (# of units)</w:t>
            </w:r>
          </w:p>
        </w:tc>
        <w:tc>
          <w:tcPr>
            <w:tcW w:w="1640" w:type="dxa"/>
            <w:vAlign w:val="bottom"/>
          </w:tcPr>
          <w:p>
            <w:pPr>
              <w:ind w:left="60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281</w:t>
            </w: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Same Center Economic Occupancy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(Rolling 12 Months)</w:t>
      </w:r>
    </w:p>
    <w:p>
      <w:pPr>
        <w:sectPr>
          <w:pgSz w:w="11900" w:h="16877" w:orient="portrait"/>
          <w:cols w:equalWidth="0" w:num="1">
            <w:col w:w="11460"/>
          </w:cols>
          <w:pgMar w:left="220" w:top="616" w:right="219" w:bottom="0" w:gutter="0" w:footer="0" w:header="0"/>
          <w:type w:val="continuous"/>
        </w:sectPr>
      </w:pP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At December 31, 1998</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780"/>
        <w:spacing w:after="0"/>
        <w:rPr>
          <w:sz w:val="20"/>
          <w:szCs w:val="20"/>
          <w:color w:val="auto"/>
        </w:rPr>
      </w:pPr>
      <w:r>
        <w:rPr>
          <w:rFonts w:ascii="Courier New" w:cs="Courier New" w:eastAsia="Courier New" w:hAnsi="Courier New"/>
          <w:sz w:val="14"/>
          <w:szCs w:val="14"/>
          <w:color w:val="auto"/>
        </w:rPr>
        <w:t>At September 30, 1998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77" w:orient="portrait"/>
          <w:cols w:equalWidth="0" w:num="2">
            <w:col w:w="7680" w:space="160"/>
            <w:col w:w="3620"/>
          </w:cols>
          <w:pgMar w:left="220" w:top="616" w:right="219" w:bottom="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Generating</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Leases</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Generating</w:t>
      </w:r>
      <w:r>
        <w:rPr>
          <w:sz w:val="20"/>
          <w:szCs w:val="20"/>
          <w:color w:val="auto"/>
        </w:rPr>
        <w:tab/>
      </w:r>
      <w:r>
        <w:rPr>
          <w:rFonts w:ascii="Courier New" w:cs="Courier New" w:eastAsia="Courier New" w:hAnsi="Courier New"/>
          <w:sz w:val="14"/>
          <w:szCs w:val="14"/>
          <w:color w:val="auto"/>
        </w:rPr>
        <w:t>Economic</w:t>
      </w:r>
    </w:p>
    <w:p>
      <w:pPr>
        <w:spacing w:after="0" w:line="7" w:lineRule="exact"/>
        <w:rPr>
          <w:sz w:val="20"/>
          <w:szCs w:val="20"/>
          <w:color w:val="auto"/>
        </w:rPr>
      </w:pPr>
    </w:p>
    <w:p>
      <w:pPr>
        <w:ind w:left="80"/>
        <w:spacing w:after="0"/>
        <w:tabs>
          <w:tab w:leader="none" w:pos="1020" w:val="left"/>
        </w:tabs>
        <w:rPr>
          <w:sz w:val="20"/>
          <w:szCs w:val="20"/>
          <w:color w:val="auto"/>
        </w:rPr>
      </w:pPr>
      <w:r>
        <w:rPr>
          <w:rFonts w:ascii="Courier New" w:cs="Courier New" w:eastAsia="Courier New" w:hAnsi="Courier New"/>
          <w:sz w:val="14"/>
          <w:szCs w:val="14"/>
          <w:color w:val="auto"/>
        </w:rPr>
        <w:t>Income</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ectPr>
          <w:pgSz w:w="11900" w:h="16877" w:orient="portrait"/>
          <w:cols w:equalWidth="0" w:num="6">
            <w:col w:w="3620" w:space="520"/>
            <w:col w:w="1040" w:space="160"/>
            <w:col w:w="1120" w:space="360"/>
            <w:col w:w="1020" w:space="260"/>
            <w:col w:w="1040" w:space="260"/>
            <w:col w:w="2060"/>
          </w:cols>
          <w:pgMar w:left="220" w:top="616" w:right="21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13,102,582</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12,274,943</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94%</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12,056,443</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11,315,875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77" w:orient="portrait"/>
          <w:cols w:equalWidth="0" w:num="7">
            <w:col w:w="3460" w:space="600"/>
            <w:col w:w="860" w:space="420"/>
            <w:col w:w="1020" w:space="720"/>
            <w:col w:w="240" w:space="700"/>
            <w:col w:w="860" w:space="520"/>
            <w:col w:w="860" w:space="420"/>
            <w:col w:w="780"/>
          </w:cols>
          <w:pgMar w:left="220" w:top="616" w:right="219" w:bottom="0" w:gutter="0" w:footer="0" w:header="0"/>
          <w:type w:val="continuous"/>
        </w:sectPr>
      </w:pPr>
    </w:p>
    <w:p>
      <w:pPr>
        <w:spacing w:after="0" w:line="30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Same Center Economic Occupancy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(Rolling 12 Months)</w:t>
      </w:r>
    </w:p>
    <w:p>
      <w:pPr>
        <w:sectPr>
          <w:pgSz w:w="11900" w:h="16877" w:orient="portrait"/>
          <w:cols w:equalWidth="0" w:num="1">
            <w:col w:w="11460"/>
          </w:cols>
          <w:pgMar w:left="220" w:top="616" w:right="219" w:bottom="0" w:gutter="0" w:footer="0" w:header="0"/>
          <w:type w:val="continuous"/>
        </w:sectPr>
      </w:pPr>
    </w:p>
    <w:p>
      <w:pPr>
        <w:spacing w:after="0" w:line="173"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At June 30, 1998</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March 31, 1998</w:t>
      </w:r>
    </w:p>
    <w:p>
      <w:pPr>
        <w:sectPr>
          <w:pgSz w:w="11900" w:h="16877" w:orient="portrait"/>
          <w:cols w:equalWidth="0" w:num="2">
            <w:col w:w="7820" w:space="720"/>
            <w:col w:w="2920"/>
          </w:cols>
          <w:pgMar w:left="220" w:top="616" w:right="21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200" w:type="dxa"/>
            <w:vAlign w:val="bottom"/>
          </w:tcPr>
          <w:p>
            <w:pPr>
              <w:spacing w:after="0"/>
              <w:rPr>
                <w:sz w:val="14"/>
                <w:szCs w:val="14"/>
                <w:color w:val="auto"/>
              </w:rPr>
            </w:pPr>
          </w:p>
        </w:tc>
        <w:tc>
          <w:tcPr>
            <w:tcW w:w="362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497"/>
        </w:trPr>
        <w:tc>
          <w:tcPr>
            <w:tcW w:w="3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Leases</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spacing w:after="0"/>
              <w:rPr>
                <w:sz w:val="24"/>
                <w:szCs w:val="24"/>
                <w:color w:val="auto"/>
              </w:rPr>
            </w:pPr>
          </w:p>
        </w:tc>
      </w:tr>
      <w:tr>
        <w:trPr>
          <w:trHeight w:val="166"/>
        </w:trPr>
        <w:tc>
          <w:tcPr>
            <w:tcW w:w="3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Generating</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3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Generating</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720" w:type="dxa"/>
            <w:vAlign w:val="bottom"/>
          </w:tcPr>
          <w:p>
            <w:pPr>
              <w:ind w:left="1480"/>
              <w:spacing w:after="0"/>
              <w:rPr>
                <w:sz w:val="20"/>
                <w:szCs w:val="20"/>
                <w:color w:val="auto"/>
              </w:rPr>
            </w:pPr>
            <w:r>
              <w:rPr>
                <w:rFonts w:ascii="Courier New" w:cs="Courier New" w:eastAsia="Courier New" w:hAnsi="Courier New"/>
                <w:sz w:val="14"/>
                <w:szCs w:val="14"/>
                <w:color w:val="auto"/>
              </w:rPr>
              <w:t>Type</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Income</w:t>
            </w:r>
          </w:p>
        </w:tc>
        <w:tc>
          <w:tcPr>
            <w:tcW w:w="1200" w:type="dxa"/>
            <w:vAlign w:val="bottom"/>
          </w:tcPr>
          <w:p>
            <w:pPr>
              <w:ind w:left="160"/>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3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Retail Properties (leasable square feet)</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11,938,810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11,167,083</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c>
          <w:tcPr>
            <w:tcW w:w="1240" w:type="dxa"/>
            <w:vAlign w:val="bottom"/>
          </w:tcPr>
          <w:p>
            <w:pPr>
              <w:spacing w:after="0"/>
              <w:rPr>
                <w:sz w:val="20"/>
                <w:szCs w:val="20"/>
                <w:color w:val="auto"/>
              </w:rPr>
            </w:pPr>
            <w:r>
              <w:rPr>
                <w:rFonts w:ascii="Courier New" w:cs="Courier New" w:eastAsia="Courier New" w:hAnsi="Courier New"/>
                <w:sz w:val="14"/>
                <w:szCs w:val="14"/>
                <w:color w:val="auto"/>
              </w:rPr>
              <w:t>11,652,173</w:t>
            </w:r>
          </w:p>
        </w:tc>
        <w:tc>
          <w:tcPr>
            <w:tcW w:w="13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10,819,572</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274</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c>
          <w:tcPr>
            <w:tcW w:w="124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280</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99%</w:t>
            </w:r>
          </w:p>
        </w:tc>
      </w:tr>
    </w:tbl>
    <w:p>
      <w:pPr>
        <w:sectPr>
          <w:pgSz w:w="11900" w:h="16838" w:orient="portrait"/>
          <w:cols w:equalWidth="0" w:num="1">
            <w:col w:w="11380"/>
          </w:cols>
          <w:pgMar w:left="220" w:top="141" w:right="29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Square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240" w:type="dxa"/>
            <w:vAlign w:val="bottom"/>
          </w:tcPr>
          <w:p>
            <w:pPr>
              <w:ind w:left="1220"/>
              <w:spacing w:after="0"/>
              <w:rPr>
                <w:sz w:val="20"/>
                <w:szCs w:val="20"/>
                <w:color w:val="auto"/>
              </w:rPr>
            </w:pPr>
            <w:r>
              <w:rPr>
                <w:rFonts w:ascii="Courier New" w:cs="Courier New" w:eastAsia="Courier New" w:hAnsi="Courier New"/>
                <w:sz w:val="14"/>
                <w:szCs w:val="14"/>
                <w:color w:val="auto"/>
              </w:rPr>
              <w:t>Region</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Footage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12/31/98</w:t>
            </w:r>
          </w:p>
        </w:tc>
      </w:tr>
      <w:tr>
        <w:trPr>
          <w:trHeight w:val="166"/>
        </w:trPr>
        <w:tc>
          <w:tcPr>
            <w:tcW w:w="2240" w:type="dxa"/>
            <w:vAlign w:val="bottom"/>
          </w:tcPr>
          <w:p>
            <w:pPr>
              <w:spacing w:after="0"/>
              <w:rPr>
                <w:sz w:val="14"/>
                <w:szCs w:val="14"/>
                <w:color w:val="auto"/>
              </w:rPr>
            </w:pP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6,221,543</w:t>
            </w:r>
          </w:p>
        </w:tc>
        <w:tc>
          <w:tcPr>
            <w:tcW w:w="11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5,677,055</w:t>
            </w:r>
          </w:p>
        </w:tc>
        <w:tc>
          <w:tcPr>
            <w:tcW w:w="11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921,548</w:t>
            </w:r>
          </w:p>
        </w:tc>
        <w:tc>
          <w:tcPr>
            <w:tcW w:w="11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93%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635,890</w:t>
            </w:r>
          </w:p>
        </w:tc>
        <w:tc>
          <w:tcPr>
            <w:tcW w:w="11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76%</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1,002,287</w:t>
            </w:r>
          </w:p>
        </w:tc>
        <w:tc>
          <w:tcPr>
            <w:tcW w:w="11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39,575</w:t>
            </w:r>
          </w:p>
        </w:tc>
        <w:tc>
          <w:tcPr>
            <w:tcW w:w="11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 Square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040" w:type="dxa"/>
            <w:vAlign w:val="bottom"/>
          </w:tcPr>
          <w:p>
            <w:pPr>
              <w:ind w:left="1300"/>
              <w:spacing w:after="0"/>
              <w:rPr>
                <w:sz w:val="20"/>
                <w:szCs w:val="20"/>
                <w:color w:val="auto"/>
              </w:rPr>
            </w:pPr>
            <w:r>
              <w:rPr>
                <w:rFonts w:ascii="Courier New" w:cs="Courier New" w:eastAsia="Courier New" w:hAnsi="Courier New"/>
                <w:sz w:val="14"/>
                <w:szCs w:val="14"/>
                <w:color w:val="auto"/>
              </w:rPr>
              <w:t>Region</w:t>
            </w:r>
          </w:p>
        </w:tc>
        <w:tc>
          <w:tcPr>
            <w:tcW w:w="22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Footage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12/31/98</w:t>
            </w:r>
          </w:p>
        </w:tc>
      </w:tr>
      <w:tr>
        <w:trPr>
          <w:trHeight w:val="166"/>
        </w:trPr>
        <w:tc>
          <w:tcPr>
            <w:tcW w:w="2040" w:type="dxa"/>
            <w:vAlign w:val="bottom"/>
          </w:tcPr>
          <w:p>
            <w:pPr>
              <w:spacing w:after="0"/>
              <w:rPr>
                <w:sz w:val="14"/>
                <w:szCs w:val="14"/>
                <w:color w:val="auto"/>
              </w:rPr>
            </w:pP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6,221,543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3,773,964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2,447,579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5,677,055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2,735,678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2,941,377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921,548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585,816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335,732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635,890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304,894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330,996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1,002,287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232,338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769,949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Southwest</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20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39,575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bl>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w:t>
      </w:r>
    </w:p>
    <w:p>
      <w:pPr>
        <w:spacing w:after="0" w:line="338"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Average Prior</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Average Current</w:t>
            </w:r>
          </w:p>
        </w:tc>
        <w:tc>
          <w:tcPr>
            <w:tcW w:w="168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15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Square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Average Lease</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Rent Per</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Rent Per</w:t>
            </w:r>
          </w:p>
        </w:tc>
        <w:tc>
          <w:tcPr>
            <w:tcW w:w="16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Annualized</w:t>
            </w:r>
          </w:p>
        </w:tc>
      </w:tr>
      <w:tr>
        <w:trPr>
          <w:trHeight w:val="166"/>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Rolling 12 Months</w:t>
            </w:r>
          </w:p>
        </w:tc>
        <w:tc>
          <w:tcPr>
            <w:tcW w:w="15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Leases Signed</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Feet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Term (Years)</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Square Foot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Square Foot</w:t>
            </w:r>
          </w:p>
        </w:tc>
        <w:tc>
          <w:tcPr>
            <w:tcW w:w="16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Increase in Rent</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w w:val="77"/>
              </w:rPr>
              <w:t>- ------------------------------------------------------</w:t>
            </w:r>
          </w:p>
        </w:tc>
        <w:tc>
          <w:tcPr>
            <w:tcW w:w="1080" w:type="dxa"/>
            <w:vAlign w:val="bottom"/>
          </w:tcPr>
          <w:p>
            <w:pPr>
              <w:spacing w:after="0"/>
              <w:rPr>
                <w:sz w:val="14"/>
                <w:szCs w:val="14"/>
                <w:color w:val="auto"/>
              </w:rPr>
            </w:pP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4th Quarter 1998</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59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314,603</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$15.52</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$17.45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$607,238</w:t>
            </w:r>
          </w:p>
        </w:tc>
      </w:tr>
      <w:tr>
        <w:trPr>
          <w:trHeight w:val="166"/>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3rd Quarter 1998</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59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230,114</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$14.04</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$15.47</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$330,680</w:t>
            </w:r>
          </w:p>
        </w:tc>
      </w:tr>
      <w:tr>
        <w:trPr>
          <w:trHeight w:val="166"/>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2nd Quarter 1998</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68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241,132</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$20.14</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$1,160,247</w:t>
            </w:r>
          </w:p>
        </w:tc>
      </w:tr>
      <w:tr>
        <w:trPr>
          <w:trHeight w:val="166"/>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1st Quarter 1998</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78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304,204</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$15.38</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$17.43</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$623,425</w:t>
            </w:r>
          </w:p>
        </w:tc>
      </w:tr>
      <w:tr>
        <w:trPr>
          <w:trHeight w:val="166"/>
        </w:trPr>
        <w:tc>
          <w:tcPr>
            <w:tcW w:w="21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264</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1,090,053</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$15.12</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$17.62</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$2,721,590</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160" w:type="dxa"/>
            <w:vAlign w:val="bottom"/>
          </w:tcPr>
          <w:p>
            <w:pPr>
              <w:spacing w:after="0"/>
              <w:rPr>
                <w:sz w:val="14"/>
                <w:szCs w:val="14"/>
                <w:color w:val="auto"/>
              </w:rPr>
            </w:pP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Estimated</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1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Percentage</w:t>
            </w:r>
          </w:p>
        </w:tc>
        <w:tc>
          <w:tcPr>
            <w:tcW w:w="1500" w:type="dxa"/>
            <w:vAlign w:val="bottom"/>
          </w:tcPr>
          <w:p>
            <w:pPr>
              <w:ind w:left="520"/>
              <w:spacing w:after="0"/>
              <w:rPr>
                <w:sz w:val="20"/>
                <w:szCs w:val="20"/>
                <w:color w:val="auto"/>
              </w:rPr>
            </w:pPr>
            <w:r>
              <w:rPr>
                <w:rFonts w:ascii="Courier New" w:cs="Courier New" w:eastAsia="Courier New" w:hAnsi="Courier New"/>
                <w:sz w:val="14"/>
                <w:szCs w:val="14"/>
                <w:color w:val="auto"/>
              </w:rPr>
              <w:t>Tenant</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1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Increase</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Improvement</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over Prior Rent</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Costs</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21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12%</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$588,000</w:t>
            </w: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1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10%</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$333,000</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1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31%</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$933,000</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1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13%</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$990,000</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1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17%</w:t>
            </w:r>
          </w:p>
        </w:tc>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$2,844,000</w:t>
            </w:r>
          </w:p>
        </w:tc>
        <w:tc>
          <w:tcPr>
            <w:tcW w:w="1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Average</w:t>
            </w:r>
          </w:p>
        </w:tc>
        <w:tc>
          <w:tcPr>
            <w:tcW w:w="176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Annualized</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160" w:type="dxa"/>
            <w:vAlign w:val="bottom"/>
          </w:tcPr>
          <w:p>
            <w:pPr>
              <w:spacing w:after="0"/>
              <w:rPr>
                <w:sz w:val="14"/>
                <w:szCs w:val="14"/>
                <w:color w:val="auto"/>
              </w:rPr>
            </w:pPr>
          </w:p>
        </w:tc>
        <w:tc>
          <w:tcPr>
            <w:tcW w:w="15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Number of</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Square</w:t>
            </w:r>
          </w:p>
        </w:tc>
        <w:tc>
          <w:tcPr>
            <w:tcW w:w="1560" w:type="dxa"/>
            <w:vAlign w:val="bottom"/>
          </w:tcPr>
          <w:p>
            <w:pPr>
              <w:jc w:val="center"/>
              <w:ind w:left="8"/>
              <w:spacing w:after="0"/>
              <w:rPr>
                <w:sz w:val="20"/>
                <w:szCs w:val="20"/>
                <w:color w:val="auto"/>
              </w:rPr>
            </w:pPr>
            <w:r>
              <w:rPr>
                <w:rFonts w:ascii="Courier New" w:cs="Courier New" w:eastAsia="Courier New" w:hAnsi="Courier New"/>
                <w:sz w:val="14"/>
                <w:szCs w:val="14"/>
                <w:color w:val="auto"/>
              </w:rPr>
              <w:t>Lease</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Average Rent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Current</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Rolling 12 Months</w:t>
            </w:r>
          </w:p>
        </w:tc>
        <w:tc>
          <w:tcPr>
            <w:tcW w:w="15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Leases Signed</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Feet</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Term (Years)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Per Square Foot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Rent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w w:val="77"/>
              </w:rPr>
              <w:t>- ------------------------------------------------------</w:t>
            </w:r>
          </w:p>
        </w:tc>
        <w:tc>
          <w:tcPr>
            <w:tcW w:w="1080" w:type="dxa"/>
            <w:vAlign w:val="bottom"/>
          </w:tcPr>
          <w:p>
            <w:pPr>
              <w:spacing w:after="0"/>
              <w:rPr>
                <w:sz w:val="14"/>
                <w:szCs w:val="14"/>
                <w:color w:val="auto"/>
              </w:rPr>
            </w:pPr>
          </w:p>
        </w:tc>
        <w:tc>
          <w:tcPr>
            <w:tcW w:w="156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4th Quarter 1998</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19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130,798</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$2,808,414</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$280,000</w:t>
            </w:r>
          </w:p>
        </w:tc>
      </w:tr>
      <w:tr>
        <w:trPr>
          <w:trHeight w:val="166"/>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3rd Quarter 1998</w:t>
            </w:r>
          </w:p>
        </w:tc>
        <w:tc>
          <w:tcPr>
            <w:tcW w:w="150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4"/>
              </w:rPr>
              <w:t>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57,613</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$22.15</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$1,276,091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$121,000</w:t>
            </w:r>
          </w:p>
        </w:tc>
      </w:tr>
      <w:tr>
        <w:trPr>
          <w:trHeight w:val="166"/>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2nd Quarter 1998</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63,474</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$14.30</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$907,455</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$78,000</w:t>
            </w:r>
          </w:p>
        </w:tc>
      </w:tr>
      <w:tr>
        <w:trPr>
          <w:trHeight w:val="166"/>
        </w:trPr>
        <w:tc>
          <w:tcPr>
            <w:tcW w:w="2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1st Quarter 1998</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55,877</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$22.49</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$1,256,594</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$585,000</w:t>
            </w:r>
          </w:p>
        </w:tc>
      </w:tr>
      <w:tr>
        <w:trPr>
          <w:trHeight w:val="166"/>
        </w:trPr>
        <w:tc>
          <w:tcPr>
            <w:tcW w:w="21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ind w:left="440"/>
              <w:spacing w:after="0"/>
              <w:rPr>
                <w:sz w:val="20"/>
                <w:szCs w:val="20"/>
                <w:color w:val="auto"/>
              </w:rPr>
            </w:pPr>
            <w:r>
              <w:rPr>
                <w:rFonts w:ascii="Courier New" w:cs="Courier New" w:eastAsia="Courier New" w:hAnsi="Courier New"/>
                <w:sz w:val="14"/>
                <w:szCs w:val="14"/>
                <w:color w:val="auto"/>
              </w:rPr>
              <w:t>51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307,762</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$20.30</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$6,248,554</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$1,064,000</w:t>
            </w:r>
          </w:p>
        </w:tc>
      </w:tr>
    </w:tbl>
    <w:p>
      <w:pPr>
        <w:sectPr>
          <w:pgSz w:w="11900" w:h="16838" w:orient="portrait"/>
          <w:cols w:equalWidth="0" w:num="1">
            <w:col w:w="11380"/>
          </w:cols>
          <w:pgMar w:left="220" w:top="616" w:right="299"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242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Total</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Percent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1380" w:type="dxa"/>
            <w:vAlign w:val="bottom"/>
          </w:tcPr>
          <w:p>
            <w:pPr>
              <w:spacing w:after="0"/>
              <w:rPr>
                <w:sz w:val="14"/>
                <w:szCs w:val="14"/>
                <w:color w:val="auto"/>
              </w:rPr>
            </w:pPr>
          </w:p>
        </w:tc>
        <w:tc>
          <w:tcPr>
            <w:tcW w:w="24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Square Feet</w:t>
            </w:r>
          </w:p>
        </w:tc>
        <w:tc>
          <w:tcPr>
            <w:tcW w:w="1800" w:type="dxa"/>
            <w:vAlign w:val="bottom"/>
          </w:tcPr>
          <w:p>
            <w:pPr>
              <w:ind w:left="520"/>
              <w:spacing w:after="0"/>
              <w:rPr>
                <w:sz w:val="20"/>
                <w:szCs w:val="20"/>
                <w:color w:val="auto"/>
              </w:rPr>
            </w:pPr>
            <w:r>
              <w:rPr>
                <w:rFonts w:ascii="Courier New" w:cs="Courier New" w:eastAsia="Courier New" w:hAnsi="Courier New"/>
                <w:sz w:val="14"/>
                <w:szCs w:val="14"/>
                <w:color w:val="auto"/>
              </w:rPr>
              <w:t>of Total</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1380" w:type="dxa"/>
            <w:vAlign w:val="bottom"/>
          </w:tcPr>
          <w:p>
            <w:pPr>
              <w:spacing w:after="0"/>
              <w:rPr>
                <w:sz w:val="14"/>
                <w:szCs w:val="14"/>
                <w:color w:val="auto"/>
              </w:rPr>
            </w:pPr>
          </w:p>
        </w:tc>
        <w:tc>
          <w:tcPr>
            <w:tcW w:w="24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Expiring (1)</w:t>
            </w: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Portfolio(2)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1380" w:type="dxa"/>
            <w:vAlign w:val="bottom"/>
          </w:tcPr>
          <w:p>
            <w:pPr>
              <w:spacing w:after="0"/>
              <w:rPr>
                <w:sz w:val="14"/>
                <w:szCs w:val="14"/>
                <w:color w:val="auto"/>
              </w:rPr>
            </w:pPr>
          </w:p>
        </w:tc>
        <w:tc>
          <w:tcPr>
            <w:tcW w:w="2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24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393,926</w:t>
            </w: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$16.21</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24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424,999</w:t>
            </w: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$19.02</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c>
          <w:tcPr>
            <w:tcW w:w="24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451,888</w:t>
            </w: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$18.12</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2002</w:t>
            </w:r>
          </w:p>
        </w:tc>
        <w:tc>
          <w:tcPr>
            <w:tcW w:w="24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430,148</w:t>
            </w: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3%</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$19.24</w:t>
            </w:r>
          </w:p>
        </w:tc>
      </w:tr>
      <w:tr>
        <w:trPr>
          <w:trHeight w:val="166"/>
        </w:trPr>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2003</w:t>
            </w:r>
          </w:p>
        </w:tc>
        <w:tc>
          <w:tcPr>
            <w:tcW w:w="24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373,538</w:t>
            </w:r>
          </w:p>
        </w:tc>
        <w:tc>
          <w:tcPr>
            <w:tcW w:w="180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4"/>
              </w:rPr>
              <w:t>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$21.08</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(1) Excludes lease expirations with options</w:t>
            </w: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(2) Total square footage December 31, 1998:</w:t>
            </w:r>
          </w:p>
        </w:tc>
        <w:tc>
          <w:tcPr>
            <w:tcW w:w="18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15,520,322</w:t>
            </w:r>
          </w:p>
        </w:tc>
      </w:tr>
    </w:tbl>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 - Anchors and Small Shops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2400" w:type="dxa"/>
            <w:vAlign w:val="bottom"/>
          </w:tcPr>
          <w:p>
            <w:pPr>
              <w:ind w:left="1080"/>
              <w:spacing w:after="0"/>
              <w:rPr>
                <w:sz w:val="20"/>
                <w:szCs w:val="20"/>
                <w:color w:val="auto"/>
              </w:rPr>
            </w:pPr>
            <w:r>
              <w:rPr>
                <w:rFonts w:ascii="Courier New" w:cs="Courier New" w:eastAsia="Courier New" w:hAnsi="Courier New"/>
                <w:sz w:val="14"/>
                <w:szCs w:val="14"/>
                <w:color w:val="auto"/>
              </w:rPr>
              <w:t>Total</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1780" w:type="dxa"/>
            <w:vAlign w:val="bottom"/>
          </w:tcPr>
          <w:p>
            <w:pPr>
              <w:spacing w:after="0"/>
              <w:rPr>
                <w:sz w:val="14"/>
                <w:szCs w:val="14"/>
                <w:color w:val="auto"/>
              </w:rPr>
            </w:pPr>
          </w:p>
        </w:tc>
        <w:tc>
          <w:tcPr>
            <w:tcW w:w="2400" w:type="dxa"/>
            <w:vAlign w:val="bottom"/>
          </w:tcPr>
          <w:p>
            <w:pPr>
              <w:ind w:left="820"/>
              <w:spacing w:after="0"/>
              <w:rPr>
                <w:sz w:val="20"/>
                <w:szCs w:val="20"/>
                <w:color w:val="auto"/>
              </w:rPr>
            </w:pPr>
            <w:r>
              <w:rPr>
                <w:rFonts w:ascii="Courier New" w:cs="Courier New" w:eastAsia="Courier New" w:hAnsi="Courier New"/>
                <w:sz w:val="14"/>
                <w:szCs w:val="14"/>
                <w:color w:val="auto"/>
              </w:rPr>
              <w:t>Square Feet</w:t>
            </w:r>
          </w:p>
        </w:tc>
        <w:tc>
          <w:tcPr>
            <w:tcW w:w="2200" w:type="dxa"/>
            <w:vAlign w:val="bottom"/>
          </w:tcPr>
          <w:p>
            <w:pPr>
              <w:ind w:left="660"/>
              <w:spacing w:after="0"/>
              <w:rPr>
                <w:sz w:val="20"/>
                <w:szCs w:val="20"/>
                <w:color w:val="auto"/>
              </w:rPr>
            </w:pPr>
            <w:r>
              <w:rPr>
                <w:rFonts w:ascii="Courier New" w:cs="Courier New" w:eastAsia="Courier New" w:hAnsi="Courier New"/>
                <w:sz w:val="14"/>
                <w:szCs w:val="14"/>
                <w:color w:val="auto"/>
              </w:rPr>
              <w:t>of Total</w:t>
            </w:r>
          </w:p>
        </w:tc>
      </w:tr>
      <w:tr>
        <w:trPr>
          <w:trHeight w:val="166"/>
        </w:trPr>
        <w:tc>
          <w:tcPr>
            <w:tcW w:w="1780" w:type="dxa"/>
            <w:vAlign w:val="bottom"/>
          </w:tcPr>
          <w:p>
            <w:pPr>
              <w:spacing w:after="0"/>
              <w:rPr>
                <w:sz w:val="14"/>
                <w:szCs w:val="14"/>
                <w:color w:val="auto"/>
              </w:rPr>
            </w:pPr>
          </w:p>
        </w:tc>
        <w:tc>
          <w:tcPr>
            <w:tcW w:w="2400" w:type="dxa"/>
            <w:vAlign w:val="bottom"/>
          </w:tcPr>
          <w:p>
            <w:pPr>
              <w:ind w:left="820"/>
              <w:spacing w:after="0"/>
              <w:rPr>
                <w:sz w:val="20"/>
                <w:szCs w:val="20"/>
                <w:color w:val="auto"/>
              </w:rPr>
            </w:pPr>
            <w:r>
              <w:rPr>
                <w:rFonts w:ascii="Courier New" w:cs="Courier New" w:eastAsia="Courier New" w:hAnsi="Courier New"/>
                <w:sz w:val="14"/>
                <w:szCs w:val="14"/>
                <w:color w:val="auto"/>
              </w:rPr>
              <w:t>Expiring (1)</w:t>
            </w:r>
          </w:p>
        </w:tc>
        <w:tc>
          <w:tcPr>
            <w:tcW w:w="2200" w:type="dxa"/>
            <w:vAlign w:val="bottom"/>
          </w:tcPr>
          <w:p>
            <w:pPr>
              <w:ind w:left="480"/>
              <w:spacing w:after="0"/>
              <w:rPr>
                <w:sz w:val="20"/>
                <w:szCs w:val="20"/>
                <w:color w:val="auto"/>
              </w:rPr>
            </w:pPr>
            <w:r>
              <w:rPr>
                <w:rFonts w:ascii="Courier New" w:cs="Courier New" w:eastAsia="Courier New" w:hAnsi="Courier New"/>
                <w:sz w:val="14"/>
                <w:szCs w:val="14"/>
                <w:color w:val="auto"/>
              </w:rPr>
              <w:t>Portfolio(2)</w:t>
            </w:r>
          </w:p>
        </w:tc>
      </w:tr>
      <w:tr>
        <w:trPr>
          <w:trHeight w:val="166"/>
        </w:trPr>
        <w:tc>
          <w:tcPr>
            <w:tcW w:w="1780" w:type="dxa"/>
            <w:vAlign w:val="bottom"/>
          </w:tcPr>
          <w:p>
            <w:pPr>
              <w:spacing w:after="0"/>
              <w:rPr>
                <w:sz w:val="14"/>
                <w:szCs w:val="14"/>
                <w:color w:val="auto"/>
              </w:rPr>
            </w:pPr>
          </w:p>
        </w:tc>
        <w:tc>
          <w:tcPr>
            <w:tcW w:w="240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61,298</w:t>
            </w:r>
          </w:p>
        </w:tc>
        <w:tc>
          <w:tcPr>
            <w:tcW w:w="2200" w:type="dxa"/>
            <w:vAlign w:val="bottom"/>
          </w:tcPr>
          <w:p>
            <w:pPr>
              <w:jc w:val="center"/>
              <w:spacing w:after="0"/>
              <w:rPr>
                <w:sz w:val="20"/>
                <w:szCs w:val="20"/>
                <w:color w:val="auto"/>
              </w:rPr>
            </w:pPr>
            <w:r>
              <w:rPr>
                <w:rFonts w:ascii="Courier New" w:cs="Courier New" w:eastAsia="Courier New" w:hAnsi="Courier New"/>
                <w:sz w:val="14"/>
                <w:szCs w:val="14"/>
                <w:color w:val="auto"/>
              </w:rPr>
              <w:t>less than 1%</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332,628</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2%</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23,075</w:t>
            </w:r>
          </w:p>
        </w:tc>
        <w:tc>
          <w:tcPr>
            <w:tcW w:w="2200" w:type="dxa"/>
            <w:vAlign w:val="bottom"/>
          </w:tcPr>
          <w:p>
            <w:pPr>
              <w:jc w:val="center"/>
              <w:spacing w:after="0"/>
              <w:rPr>
                <w:sz w:val="20"/>
                <w:szCs w:val="20"/>
                <w:color w:val="auto"/>
              </w:rPr>
            </w:pPr>
            <w:r>
              <w:rPr>
                <w:rFonts w:ascii="Courier New" w:cs="Courier New" w:eastAsia="Courier New" w:hAnsi="Courier New"/>
                <w:sz w:val="14"/>
                <w:szCs w:val="14"/>
                <w:color w:val="auto"/>
              </w:rPr>
              <w:t>less than 1%</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401,924</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3%</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52,139</w:t>
            </w:r>
          </w:p>
        </w:tc>
        <w:tc>
          <w:tcPr>
            <w:tcW w:w="2200" w:type="dxa"/>
            <w:vAlign w:val="bottom"/>
          </w:tcPr>
          <w:p>
            <w:pPr>
              <w:jc w:val="center"/>
              <w:spacing w:after="0"/>
              <w:rPr>
                <w:sz w:val="20"/>
                <w:szCs w:val="20"/>
                <w:color w:val="auto"/>
              </w:rPr>
            </w:pPr>
            <w:r>
              <w:rPr>
                <w:rFonts w:ascii="Courier New" w:cs="Courier New" w:eastAsia="Courier New" w:hAnsi="Courier New"/>
                <w:sz w:val="14"/>
                <w:szCs w:val="14"/>
                <w:color w:val="auto"/>
              </w:rPr>
              <w:t>less than 1%</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399,749</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3%</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82,894</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1%</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347,254</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2%</w:t>
            </w:r>
          </w:p>
        </w:tc>
      </w:tr>
      <w:tr>
        <w:trPr>
          <w:trHeight w:val="331"/>
        </w:trPr>
        <w:tc>
          <w:tcPr>
            <w:tcW w:w="17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4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19,600</w:t>
            </w:r>
          </w:p>
        </w:tc>
        <w:tc>
          <w:tcPr>
            <w:tcW w:w="2200" w:type="dxa"/>
            <w:vAlign w:val="bottom"/>
          </w:tcPr>
          <w:p>
            <w:pPr>
              <w:jc w:val="center"/>
              <w:spacing w:after="0"/>
              <w:rPr>
                <w:sz w:val="20"/>
                <w:szCs w:val="20"/>
                <w:color w:val="auto"/>
              </w:rPr>
            </w:pPr>
            <w:r>
              <w:rPr>
                <w:rFonts w:ascii="Courier New" w:cs="Courier New" w:eastAsia="Courier New" w:hAnsi="Courier New"/>
                <w:sz w:val="14"/>
                <w:szCs w:val="14"/>
                <w:color w:val="auto"/>
              </w:rPr>
              <w:t>less than 1%</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2400" w:type="dxa"/>
            <w:vAlign w:val="bottom"/>
          </w:tcPr>
          <w:p>
            <w:pPr>
              <w:ind w:left="980"/>
              <w:spacing w:after="0"/>
              <w:rPr>
                <w:sz w:val="20"/>
                <w:szCs w:val="20"/>
                <w:color w:val="auto"/>
              </w:rPr>
            </w:pPr>
            <w:r>
              <w:rPr>
                <w:rFonts w:ascii="Courier New" w:cs="Courier New" w:eastAsia="Courier New" w:hAnsi="Courier New"/>
                <w:sz w:val="14"/>
                <w:szCs w:val="14"/>
                <w:color w:val="auto"/>
              </w:rPr>
              <w:t>353,938</w:t>
            </w:r>
          </w:p>
        </w:tc>
        <w:tc>
          <w:tcPr>
            <w:tcW w:w="2200" w:type="dxa"/>
            <w:vAlign w:val="bottom"/>
          </w:tcPr>
          <w:p>
            <w:pPr>
              <w:ind w:left="740"/>
              <w:spacing w:after="0"/>
              <w:rPr>
                <w:sz w:val="20"/>
                <w:szCs w:val="20"/>
                <w:color w:val="auto"/>
              </w:rPr>
            </w:pPr>
            <w:r>
              <w:rPr>
                <w:rFonts w:ascii="Courier New" w:cs="Courier New" w:eastAsia="Courier New" w:hAnsi="Courier New"/>
                <w:sz w:val="14"/>
                <w:szCs w:val="14"/>
                <w:color w:val="auto"/>
              </w:rPr>
              <w:t>2%</w:t>
            </w:r>
          </w:p>
        </w:tc>
      </w:tr>
      <w:tr>
        <w:trPr>
          <w:trHeight w:val="497"/>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(1) Excludes lease expirations with options</w:t>
            </w:r>
          </w:p>
        </w:tc>
        <w:tc>
          <w:tcPr>
            <w:tcW w:w="2200" w:type="dxa"/>
            <w:vAlign w:val="bottom"/>
          </w:tcPr>
          <w:p>
            <w:pPr>
              <w:spacing w:after="0"/>
              <w:rPr>
                <w:sz w:val="24"/>
                <w:szCs w:val="24"/>
                <w:color w:val="auto"/>
              </w:rPr>
            </w:pP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(2) Total square footage December 31, 1998:</w:t>
            </w:r>
          </w:p>
        </w:tc>
        <w:tc>
          <w:tcPr>
            <w:tcW w:w="2200" w:type="dxa"/>
            <w:vAlign w:val="bottom"/>
          </w:tcPr>
          <w:p>
            <w:pPr>
              <w:ind w:left="1340"/>
              <w:spacing w:after="0"/>
              <w:rPr>
                <w:sz w:val="20"/>
                <w:szCs w:val="20"/>
                <w:color w:val="auto"/>
              </w:rPr>
            </w:pPr>
            <w:r>
              <w:rPr>
                <w:rFonts w:ascii="Courier New" w:cs="Courier New" w:eastAsia="Courier New" w:hAnsi="Courier New"/>
                <w:sz w:val="14"/>
                <w:szCs w:val="14"/>
                <w:color w:val="auto"/>
                <w:w w:val="99"/>
              </w:rPr>
              <w:t>15,520,322</w:t>
            </w:r>
          </w:p>
        </w:tc>
      </w:tr>
    </w:tbl>
    <w:p>
      <w:pPr>
        <w:sectPr>
          <w:pgSz w:w="11900" w:h="16838" w:orient="portrait"/>
          <w:cols w:equalWidth="0" w:num="1">
            <w:col w:w="10239"/>
          </w:cols>
          <w:pgMar w:left="220" w:top="616"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 Tenants by Revenue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Square</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4060" w:type="dxa"/>
            <w:vAlign w:val="bottom"/>
          </w:tcPr>
          <w:p>
            <w:pPr>
              <w:ind w:left="2760"/>
              <w:spacing w:after="0"/>
              <w:rPr>
                <w:sz w:val="20"/>
                <w:szCs w:val="20"/>
                <w:color w:val="auto"/>
              </w:rPr>
            </w:pPr>
            <w:r>
              <w:rPr>
                <w:rFonts w:ascii="Courier New" w:cs="Courier New" w:eastAsia="Courier New" w:hAnsi="Courier New"/>
                <w:sz w:val="14"/>
                <w:szCs w:val="14"/>
                <w:color w:val="auto"/>
              </w:rPr>
              <w:t>Tenant</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Footage</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Revenue (1)</w:t>
            </w:r>
          </w:p>
        </w:tc>
      </w:tr>
      <w:tr>
        <w:trPr>
          <w:trHeight w:val="166"/>
        </w:trPr>
        <w:tc>
          <w:tcPr>
            <w:tcW w:w="4060" w:type="dxa"/>
            <w:vAlign w:val="bottom"/>
          </w:tcPr>
          <w:p>
            <w:pPr>
              <w:spacing w:after="0"/>
              <w:rPr>
                <w:sz w:val="14"/>
                <w:szCs w:val="14"/>
                <w:color w:val="auto"/>
              </w:rPr>
            </w:pP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Bed, Bath &amp; Beyond, Inc.</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323,090</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2.04%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CVS Corporation</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198,947</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1.90%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Barnes &amp; Noble, Inc.</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164,189</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1.68%</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The TJX Companies (Marshalls/TJ Maxx)</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386,200</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1.60%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Toys R Us, Inc.</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325,582</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1.53%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Kmart Corporation</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508,580</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1.15%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The May Department Stores Company (Filene's)</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244,198</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1.09%</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MTS, Inc. (Tower Records)</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91,122</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1.03%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Dress Barn</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121,766</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0.95%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CompUSA</w:t>
            </w: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108,219</w:t>
            </w:r>
          </w:p>
        </w:tc>
        <w:tc>
          <w:tcPr>
            <w:tcW w:w="216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0.90%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Balances consist of 1998 minimum and percentage rent charges</w:t>
      </w:r>
    </w:p>
    <w:p>
      <w:pPr>
        <w:sectPr>
          <w:pgSz w:w="11900" w:h="16838" w:orient="portrait"/>
          <w:cols w:equalWidth="0" w:num="1">
            <w:col w:w="10239"/>
          </w:cols>
          <w:pgMar w:left="220" w:top="616" w:right="1440" w:bottom="1440" w:gutter="0" w:footer="0" w:header="0"/>
        </w:sectPr>
      </w:pPr>
    </w:p>
    <w:bookmarkStart w:id="13" w:name="page14"/>
    <w:bookmarkEnd w:id="13"/>
    <w:p>
      <w:pPr>
        <w:ind w:left="2600"/>
        <w:spacing w:after="0"/>
        <w:rPr>
          <w:sz w:val="20"/>
          <w:szCs w:val="20"/>
          <w:color w:val="auto"/>
        </w:rPr>
      </w:pPr>
      <w:r>
        <w:rPr>
          <w:rFonts w:ascii="Courier New" w:cs="Courier New" w:eastAsia="Courier New" w:hAnsi="Courier New"/>
          <w:sz w:val="14"/>
          <w:szCs w:val="14"/>
          <w:color w:val="auto"/>
        </w:rPr>
        <w:t>Glossary of Terms</w:t>
      </w:r>
    </w:p>
    <w:p>
      <w:pPr>
        <w:spacing w:after="0" w:line="338"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ectPr>
          <w:pgSz w:w="11900" w:h="16838" w:orient="portrait"/>
          <w:cols w:equalWidth="0" w:num="1">
            <w:col w:w="10239"/>
          </w:cols>
          <w:pgMar w:left="220" w:top="616" w:right="1440" w:bottom="1440" w:gutter="0" w:footer="0" w:header="0"/>
        </w:sectPr>
      </w:pPr>
    </w:p>
    <w:bookmarkStart w:id="14" w:name="page15"/>
    <w:bookmarkEnd w:id="14"/>
    <w:p>
      <w:pPr>
        <w:ind w:left="3980"/>
        <w:spacing w:after="0"/>
        <w:rPr>
          <w:sz w:val="20"/>
          <w:szCs w:val="20"/>
          <w:color w:val="auto"/>
        </w:rPr>
      </w:pPr>
      <w:r>
        <w:rPr>
          <w:rFonts w:ascii="Courier New" w:cs="Courier New" w:eastAsia="Courier New" w:hAnsi="Courier New"/>
          <w:sz w:val="14"/>
          <w:szCs w:val="14"/>
          <w:color w:val="auto"/>
        </w:rPr>
        <w:t>Kathy Klein</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Corporate Communications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301/998-8211</w:t>
      </w:r>
    </w:p>
    <w:p>
      <w:pPr>
        <w:spacing w:after="0" w:line="200" w:lineRule="exact"/>
        <w:rPr>
          <w:sz w:val="20"/>
          <w:szCs w:val="20"/>
          <w:color w:val="auto"/>
        </w:rPr>
      </w:pPr>
    </w:p>
    <w:p>
      <w:pPr>
        <w:spacing w:after="0" w:line="30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1998 OPERATING RESULTS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Realty Investment Trust (NYSE:FRT) reported today that funds from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for the year ended December 31, 1998 increased 9% to $87 million from</w:t>
      </w:r>
    </w:p>
    <w:p>
      <w:pPr>
        <w:spacing w:after="0" w:line="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$80 million in 1997.</w:t>
        <w:tab/>
        <w:t>On a per share basis, funds from operations rose 5% to</w:t>
      </w:r>
    </w:p>
    <w:p>
      <w:pPr>
        <w:spacing w:after="0" w:line="7"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$2.16 per share in 1998 from $2.05 in 1997.</w:t>
        <w:tab/>
        <w:t>This increase was achieved despite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change in accounting policy effective earlier this year (EITF 97-11) that</w:t>
      </w:r>
    </w:p>
    <w:p>
      <w:pPr>
        <w:spacing w:after="0" w:line="7"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4"/>
          <w:szCs w:val="14"/>
          <w:color w:val="auto"/>
        </w:rPr>
        <w:t>requires the expensing of certain internal acquisition costs.</w:t>
        <w:tab/>
        <w:t>If the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were adjusted for the accounting change, funds from operations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would have increased 7% from 1997 to 1998.</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Funds from operations for the fourth quarter of 1998 rose 10% to $23 million from $21 million in the fourth quarter of 1997. On a per share basis, funds from operations per share increased 8% to $.57 in the fourth quarter of 1998 as compared to $.53 per share in the comparable period of 1997.</w:t>
      </w:r>
    </w:p>
    <w:p>
      <w:pPr>
        <w:spacing w:after="0" w:line="328"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year ended 1998 versus 1997 shows the following:</w:t>
      </w:r>
    </w:p>
    <w:p>
      <w:pPr>
        <w:spacing w:after="0" w:line="160" w:lineRule="exact"/>
        <w:rPr>
          <w:sz w:val="20"/>
          <w:szCs w:val="20"/>
          <w:color w:val="auto"/>
        </w:rPr>
      </w:pPr>
    </w:p>
    <w:p>
      <w:pPr>
        <w:ind w:left="700" w:right="3259" w:hanging="606"/>
        <w:spacing w:after="0" w:line="252" w:lineRule="auto"/>
        <w:tabs>
          <w:tab w:leader="none" w:pos="78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18% to $222 million in 1998 from $189 million in 1997. When adjusted to exclude properties acquired and sold during 1997 and 1998, rental income increased 5% to $187 million in 1998 from $177 million in 1997.</w:t>
      </w:r>
    </w:p>
    <w:p>
      <w:pPr>
        <w:spacing w:after="0" w:line="328" w:lineRule="exact"/>
        <w:rPr>
          <w:sz w:val="20"/>
          <w:szCs w:val="20"/>
          <w:color w:val="auto"/>
        </w:rPr>
      </w:pPr>
    </w:p>
    <w:p>
      <w:pPr>
        <w:ind w:left="700" w:right="3259" w:hanging="606"/>
        <w:spacing w:after="0" w:line="251" w:lineRule="auto"/>
        <w:tabs>
          <w:tab w:leader="none" w:pos="78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1998, the Trust signed leases for a total 1.4 million square feet of retail space. On a same space basis, the Trust re-leased 1.1 million square feet of retail space at an average increase in rent per square foot of 17%. The weighted average rent on these leases was $17.62 per square foot compared to the previous average rent of $15.12 per square foot. During 1997, the Trust leased a total 1.4 million</w:t>
      </w:r>
    </w:p>
    <w:p>
      <w:pPr>
        <w:sectPr>
          <w:pgSz w:w="11900" w:h="16838" w:orient="portrait"/>
          <w:cols w:equalWidth="0" w:num="1">
            <w:col w:w="10239"/>
          </w:cols>
          <w:pgMar w:left="220" w:top="616" w:right="1440" w:bottom="1440" w:gutter="0" w:footer="0" w:header="0"/>
        </w:sectPr>
      </w:pPr>
    </w:p>
    <w:bookmarkStart w:id="15" w:name="page16"/>
    <w:bookmarkEnd w:id="15"/>
    <w:p>
      <w:pPr>
        <w:ind w:left="700" w:right="3779"/>
        <w:spacing w:after="0" w:line="252" w:lineRule="auto"/>
        <w:rPr>
          <w:sz w:val="20"/>
          <w:szCs w:val="20"/>
          <w:color w:val="auto"/>
        </w:rPr>
      </w:pPr>
      <w:r>
        <w:rPr>
          <w:rFonts w:ascii="Courier New" w:cs="Courier New" w:eastAsia="Courier New" w:hAnsi="Courier New"/>
          <w:sz w:val="14"/>
          <w:szCs w:val="14"/>
          <w:color w:val="auto"/>
        </w:rPr>
        <w:t>square feet. On a same space basis, 1.1 million square feet was re-leased at an average increase in rent per square foot of 17%. The weighted average rent on these leases was $16.40 per square foot compared to the previous average rent per square foot of $14.01.</w:t>
      </w:r>
    </w:p>
    <w:p>
      <w:pPr>
        <w:spacing w:after="0" w:line="200" w:lineRule="exact"/>
        <w:rPr>
          <w:sz w:val="20"/>
          <w:szCs w:val="20"/>
          <w:color w:val="auto"/>
        </w:rPr>
      </w:pPr>
    </w:p>
    <w:p>
      <w:pPr>
        <w:spacing w:after="0" w:line="293" w:lineRule="exact"/>
        <w:rPr>
          <w:sz w:val="20"/>
          <w:szCs w:val="20"/>
          <w:color w:val="auto"/>
        </w:rPr>
      </w:pPr>
    </w:p>
    <w:p>
      <w:pPr>
        <w:ind w:left="700" w:right="3259" w:hanging="606"/>
        <w:spacing w:after="0" w:line="252" w:lineRule="auto"/>
        <w:tabs>
          <w:tab w:leader="none" w:pos="78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property occupancy stood at 95.0% at year end December 31, 1998 and 95.6% at year end 1997. The Trust's overall portfolio was 95.2% leased at December 31, 1998 as compared to 95.6% a year ago.</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Commenting on the results, Steven Guttman, President and Chief Executive Officer stated, "We are optimistic about our long-term growth prospects. Demand for our retail space remains strong as evidenced by our rental income growth and high occupancy levels. In addition, our comprehensive corporate reengineering initiative is expected to yield cost and revenue opportunities that will add positively to our growth beginning in 1999. We continue to benefit from our acquisition and redevelopment efforts and have strengthened our development capabilities and formed strategic partnerships that will enable us to maximize and expand our pipeline of retail and mixed-use urban development and redevelopment opportunities. Collectively, these initiatives should position us for accelerated growth in 1999 and beyond."</w:t>
      </w:r>
    </w:p>
    <w:p>
      <w:pPr>
        <w:spacing w:after="0" w:line="16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120 retail properties, consisting of neighborhood and community shopping centers and main street retail properties, located in strategic metropolitan markets across the United States. These markets include Boston, New York, Philadelphia, Washington D.C., Chicago, San Antonio, Portland, San Francisco, Los Angeles, San Jose and San Diego.</w:t>
      </w:r>
    </w:p>
    <w:p>
      <w:pPr>
        <w:spacing w:after="0" w:line="33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31 consecutive years. Shares of the Trust are traded on the New York Stock Exchange under the symbol:FRT.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6" w:name="page17"/>
    <w:bookmarkEnd w:id="16"/>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ind w:left="900"/>
              <w:spacing w:after="0"/>
              <w:rPr>
                <w:sz w:val="20"/>
                <w:szCs w:val="20"/>
                <w:color w:val="auto"/>
              </w:rPr>
            </w:pPr>
            <w:r>
              <w:rPr>
                <w:rFonts w:ascii="Courier New" w:cs="Courier New" w:eastAsia="Courier New" w:hAnsi="Courier New"/>
                <w:sz w:val="14"/>
                <w:szCs w:val="14"/>
                <w:color w:val="auto"/>
              </w:rPr>
              <w:t>(in thousands, except per share data)</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63"/>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gridSpan w:val="3"/>
          </w:tcPr>
          <w:p>
            <w:pPr>
              <w:jc w:val="right"/>
              <w:ind w:right="1868"/>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24"/>
                <w:szCs w:val="24"/>
                <w:color w:val="auto"/>
              </w:rPr>
            </w:pPr>
          </w:p>
        </w:tc>
        <w:tc>
          <w:tcPr>
            <w:tcW w:w="16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Year Ended</w:t>
            </w:r>
          </w:p>
        </w:tc>
        <w:tc>
          <w:tcPr>
            <w:tcW w:w="760" w:type="dxa"/>
            <w:vAlign w:val="bottom"/>
          </w:tcPr>
          <w:p>
            <w:pPr>
              <w:spacing w:after="0"/>
              <w:rPr>
                <w:sz w:val="24"/>
                <w:szCs w:val="24"/>
                <w:color w:val="auto"/>
              </w:rPr>
            </w:pP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3"/>
          </w:tcPr>
          <w:p>
            <w:pPr>
              <w:jc w:val="right"/>
              <w:ind w:right="2048"/>
              <w:spacing w:after="0"/>
              <w:rPr>
                <w:sz w:val="20"/>
                <w:szCs w:val="20"/>
                <w:color w:val="auto"/>
              </w:rPr>
            </w:pPr>
            <w:r>
              <w:rPr>
                <w:rFonts w:ascii="Courier New" w:cs="Courier New" w:eastAsia="Courier New" w:hAnsi="Courier New"/>
                <w:sz w:val="14"/>
                <w:szCs w:val="14"/>
                <w:color w:val="auto"/>
              </w:rPr>
              <w:t>December 31,</w:t>
            </w:r>
          </w:p>
        </w:tc>
        <w:tc>
          <w:tcPr>
            <w:tcW w:w="220" w:type="dxa"/>
            <w:vAlign w:val="bottom"/>
          </w:tcPr>
          <w:p>
            <w:pPr>
              <w:spacing w:after="0"/>
              <w:rPr>
                <w:sz w:val="14"/>
                <w:szCs w:val="14"/>
                <w:color w:val="auto"/>
              </w:rPr>
            </w:pPr>
          </w:p>
        </w:tc>
        <w:tc>
          <w:tcPr>
            <w:tcW w:w="16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December 31,</w:t>
            </w:r>
          </w:p>
        </w:tc>
        <w:tc>
          <w:tcPr>
            <w:tcW w:w="760" w:type="dxa"/>
            <w:vAlign w:val="bottom"/>
          </w:tcPr>
          <w:p>
            <w:pPr>
              <w:spacing w:after="0"/>
              <w:rPr>
                <w:sz w:val="14"/>
                <w:szCs w:val="14"/>
                <w:color w:val="auto"/>
              </w:rPr>
            </w:pPr>
          </w:p>
        </w:tc>
      </w:tr>
      <w:tr>
        <w:trPr>
          <w:trHeight w:val="331"/>
        </w:trPr>
        <w:tc>
          <w:tcPr>
            <w:tcW w:w="5000" w:type="dxa"/>
            <w:vAlign w:val="bottom"/>
            <w:gridSpan w:val="3"/>
          </w:tcPr>
          <w:p>
            <w:pPr>
              <w:spacing w:after="0"/>
              <w:rPr>
                <w:sz w:val="20"/>
                <w:szCs w:val="20"/>
                <w:color w:val="auto"/>
              </w:rPr>
            </w:pPr>
            <w:r>
              <w:rPr>
                <w:rFonts w:ascii="Courier New" w:cs="Courier New" w:eastAsia="Courier New" w:hAnsi="Courier New"/>
                <w:sz w:val="14"/>
                <w:szCs w:val="14"/>
                <w:color w:val="auto"/>
              </w:rPr>
              <w:t>Operating Results</w:t>
            </w:r>
          </w:p>
        </w:tc>
        <w:tc>
          <w:tcPr>
            <w:tcW w:w="100" w:type="dxa"/>
            <w:vAlign w:val="bottom"/>
          </w:tcPr>
          <w:p>
            <w:pPr>
              <w:spacing w:after="0"/>
              <w:rPr>
                <w:sz w:val="24"/>
                <w:szCs w:val="2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24"/>
                <w:szCs w:val="24"/>
                <w:color w:val="auto"/>
              </w:rPr>
            </w:pPr>
          </w:p>
        </w:tc>
        <w:tc>
          <w:tcPr>
            <w:tcW w:w="220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24"/>
                <w:szCs w:val="24"/>
                <w:color w:val="auto"/>
              </w:rPr>
            </w:pP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Revenues</w:t>
            </w: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Rental income</w:t>
            </w: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$60,145</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8"/>
              </w:rPr>
              <w:t>$51,439</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$222,186</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$188,529</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Interest and other income</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2,017</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1,377</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5,945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6,037</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Other property income</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2,734</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2,193</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10,347</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9,705</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64,896</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55,009</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238,478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204,271</w:t>
            </w:r>
          </w:p>
        </w:tc>
      </w:tr>
      <w:tr>
        <w:trPr>
          <w:trHeight w:val="166"/>
        </w:trPr>
        <w:tc>
          <w:tcPr>
            <w:tcW w:w="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Expenses</w:t>
            </w: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Rental</w:t>
            </w: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14,216</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11,648</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49,490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42,844</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Real estate taxes</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5,996</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5,123</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23,271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19,525</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Interest</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15,389</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11,336</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55,125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47,288</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3,060</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3,231</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11,796</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9,793</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Reorganization expenses</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1,951</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1,951</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12,663</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10,546</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46,047</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41,399</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51,324</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43,835</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8"/>
              </w:rPr>
              <w:t>190,394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162,800</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Operating income before investors' share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operations and gain (loss) on sale of real estate</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13,572</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11,174</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48,084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41,471</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Investor's share of operations</w:t>
            </w:r>
          </w:p>
        </w:tc>
        <w:tc>
          <w:tcPr>
            <w:tcW w:w="1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(789)</w:t>
            </w:r>
          </w:p>
        </w:tc>
        <w:tc>
          <w:tcPr>
            <w:tcW w:w="380" w:type="dxa"/>
            <w:vAlign w:val="bottom"/>
          </w:tcPr>
          <w:p>
            <w:pPr>
              <w:spacing w:after="0"/>
              <w:rPr>
                <w:sz w:val="14"/>
                <w:szCs w:val="14"/>
                <w:color w:val="auto"/>
              </w:rPr>
            </w:pPr>
          </w:p>
        </w:tc>
        <w:tc>
          <w:tcPr>
            <w:tcW w:w="22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(480)</w:t>
            </w: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(1,342)</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8"/>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Income before gain on sale of real estate</w:t>
            </w: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$12,783</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8"/>
              </w:rPr>
              <w:t>$10,694</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44,960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40,129</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Gain on sale of real estate</w:t>
            </w:r>
          </w:p>
        </w:tc>
        <w:tc>
          <w:tcPr>
            <w:tcW w:w="10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0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6,375</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25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$12,783</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w w:val="98"/>
              </w:rPr>
              <w:t>$10,694</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$ 44,960</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$ 46,504</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Dividends on preferred stock</w:t>
            </w:r>
          </w:p>
        </w:tc>
        <w:tc>
          <w:tcPr>
            <w:tcW w:w="1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(1,987)</w:t>
            </w:r>
          </w:p>
        </w:tc>
        <w:tc>
          <w:tcPr>
            <w:tcW w:w="380" w:type="dxa"/>
            <w:vAlign w:val="bottom"/>
          </w:tcPr>
          <w:p>
            <w:pPr>
              <w:spacing w:after="0"/>
              <w:rPr>
                <w:sz w:val="14"/>
                <w:szCs w:val="14"/>
                <w:color w:val="auto"/>
              </w:rPr>
            </w:pPr>
          </w:p>
        </w:tc>
        <w:tc>
          <w:tcPr>
            <w:tcW w:w="2200" w:type="dxa"/>
            <w:vAlign w:val="bottom"/>
          </w:tcPr>
          <w:p>
            <w:pPr>
              <w:jc w:val="right"/>
              <w:ind w:right="1428"/>
              <w:spacing w:after="0"/>
              <w:rPr>
                <w:sz w:val="20"/>
                <w:szCs w:val="20"/>
                <w:color w:val="auto"/>
              </w:rPr>
            </w:pPr>
            <w:r>
              <w:rPr>
                <w:rFonts w:ascii="Courier New" w:cs="Courier New" w:eastAsia="Courier New" w:hAnsi="Courier New"/>
                <w:sz w:val="14"/>
                <w:szCs w:val="14"/>
                <w:color w:val="auto"/>
              </w:rPr>
              <w:t>(1,877)</w:t>
            </w: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(7,950)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(1,877)</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25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$10,796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8,817</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$ 37,010</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$ 44,627</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25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Earnings per common share, basic</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0.23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0.94</w:t>
            </w:r>
          </w:p>
        </w:tc>
        <w:tc>
          <w:tcPr>
            <w:tcW w:w="220" w:type="dxa"/>
            <w:vAlign w:val="bottom"/>
          </w:tcPr>
          <w:p>
            <w:pPr>
              <w:spacing w:after="0"/>
              <w:rPr>
                <w:sz w:val="14"/>
                <w:szCs w:val="14"/>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25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Earnings per common share, diluted</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0.94</w:t>
            </w:r>
          </w:p>
        </w:tc>
        <w:tc>
          <w:tcPr>
            <w:tcW w:w="220" w:type="dxa"/>
            <w:vAlign w:val="bottom"/>
          </w:tcPr>
          <w:p>
            <w:pPr>
              <w:spacing w:after="0"/>
              <w:rPr>
                <w:sz w:val="14"/>
                <w:szCs w:val="14"/>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25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Weighted average shares outstanding, basic</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39,348</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38,849</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39,174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38,475</w:t>
            </w:r>
          </w:p>
        </w:tc>
      </w:tr>
      <w:tr>
        <w:trPr>
          <w:trHeight w:val="331"/>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100" w:type="dxa"/>
            <w:vAlign w:val="bottom"/>
          </w:tcPr>
          <w:p>
            <w:pPr>
              <w:spacing w:after="0"/>
              <w:rPr>
                <w:sz w:val="24"/>
                <w:szCs w:val="2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40,456</w:t>
            </w:r>
          </w:p>
        </w:tc>
        <w:tc>
          <w:tcPr>
            <w:tcW w:w="380" w:type="dxa"/>
            <w:vAlign w:val="bottom"/>
          </w:tcPr>
          <w:p>
            <w:pPr>
              <w:spacing w:after="0"/>
              <w:rPr>
                <w:sz w:val="24"/>
                <w:szCs w:val="2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39,436</w:t>
            </w:r>
          </w:p>
        </w:tc>
        <w:tc>
          <w:tcPr>
            <w:tcW w:w="2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40,080</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38,988</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Funds from Operations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$10,796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8,817</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$ 37,010</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$ 44,627</w:t>
            </w:r>
          </w:p>
        </w:tc>
      </w:tr>
      <w:tr>
        <w:trPr>
          <w:trHeight w:val="166"/>
        </w:trPr>
        <w:tc>
          <w:tcPr>
            <w:tcW w:w="860" w:type="dxa"/>
            <w:vAlign w:val="bottom"/>
          </w:tcPr>
          <w:p>
            <w:pPr>
              <w:ind w:left="360"/>
              <w:spacing w:after="0"/>
              <w:rPr>
                <w:sz w:val="20"/>
                <w:szCs w:val="20"/>
                <w:color w:val="auto"/>
              </w:rPr>
            </w:pPr>
            <w:r>
              <w:rPr>
                <w:rFonts w:ascii="Courier New" w:cs="Courier New" w:eastAsia="Courier New" w:hAnsi="Courier New"/>
                <w:sz w:val="14"/>
                <w:szCs w:val="14"/>
                <w:color w:val="auto"/>
              </w:rPr>
              <w:t>Less:</w:t>
            </w:r>
          </w:p>
        </w:tc>
        <w:tc>
          <w:tcPr>
            <w:tcW w:w="6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gain on sale of real estate</w:t>
            </w:r>
          </w:p>
        </w:tc>
        <w:tc>
          <w:tcPr>
            <w:tcW w:w="10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0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w:t>
            </w:r>
          </w:p>
        </w:tc>
      </w:tr>
      <w:tr>
        <w:trPr>
          <w:trHeight w:val="331"/>
        </w:trPr>
        <w:tc>
          <w:tcPr>
            <w:tcW w:w="860" w:type="dxa"/>
            <w:vAlign w:val="bottom"/>
          </w:tcPr>
          <w:p>
            <w:pPr>
              <w:ind w:left="360"/>
              <w:spacing w:after="0"/>
              <w:rPr>
                <w:sz w:val="20"/>
                <w:szCs w:val="20"/>
                <w:color w:val="auto"/>
              </w:rPr>
            </w:pPr>
            <w:r>
              <w:rPr>
                <w:rFonts w:ascii="Courier New" w:cs="Courier New" w:eastAsia="Courier New" w:hAnsi="Courier New"/>
                <w:sz w:val="14"/>
                <w:szCs w:val="14"/>
                <w:color w:val="auto"/>
              </w:rPr>
              <w:t>Add:</w:t>
            </w:r>
          </w:p>
        </w:tc>
        <w:tc>
          <w:tcPr>
            <w:tcW w:w="60" w:type="dxa"/>
            <w:vAlign w:val="bottom"/>
          </w:tcPr>
          <w:p>
            <w:pPr>
              <w:spacing w:after="0"/>
              <w:rPr>
                <w:sz w:val="24"/>
                <w:szCs w:val="2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nonrecurring charge</w:t>
            </w:r>
          </w:p>
        </w:tc>
        <w:tc>
          <w:tcPr>
            <w:tcW w:w="100" w:type="dxa"/>
            <w:vAlign w:val="bottom"/>
          </w:tcPr>
          <w:p>
            <w:pPr>
              <w:spacing w:after="0"/>
              <w:rPr>
                <w:sz w:val="24"/>
                <w:szCs w:val="2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1,951</w:t>
            </w:r>
          </w:p>
        </w:tc>
        <w:tc>
          <w:tcPr>
            <w:tcW w:w="2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4,665</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1,951</w:t>
            </w:r>
          </w:p>
        </w:tc>
      </w:tr>
      <w:tr>
        <w:trPr>
          <w:trHeight w:val="166"/>
        </w:trPr>
        <w:tc>
          <w:tcPr>
            <w:tcW w:w="860" w:type="dxa"/>
            <w:vAlign w:val="bottom"/>
          </w:tcPr>
          <w:p>
            <w:pPr>
              <w:ind w:left="360"/>
              <w:spacing w:after="0"/>
              <w:rPr>
                <w:sz w:val="20"/>
                <w:szCs w:val="20"/>
                <w:color w:val="auto"/>
              </w:rPr>
            </w:pPr>
            <w:r>
              <w:rPr>
                <w:rFonts w:ascii="Courier New" w:cs="Courier New" w:eastAsia="Courier New" w:hAnsi="Courier New"/>
                <w:sz w:val="14"/>
                <w:szCs w:val="14"/>
                <w:color w:val="auto"/>
              </w:rPr>
              <w:t>Add:</w:t>
            </w:r>
          </w:p>
        </w:tc>
        <w:tc>
          <w:tcPr>
            <w:tcW w:w="6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depreciation and amortization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of real estate assets</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11,563</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9,547</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41,792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37,281</w:t>
            </w:r>
          </w:p>
        </w:tc>
      </w:tr>
      <w:tr>
        <w:trPr>
          <w:trHeight w:val="166"/>
        </w:trPr>
        <w:tc>
          <w:tcPr>
            <w:tcW w:w="860" w:type="dxa"/>
            <w:vAlign w:val="bottom"/>
          </w:tcPr>
          <w:p>
            <w:pPr>
              <w:ind w:left="360"/>
              <w:spacing w:after="0"/>
              <w:rPr>
                <w:sz w:val="20"/>
                <w:szCs w:val="20"/>
                <w:color w:val="auto"/>
              </w:rPr>
            </w:pPr>
            <w:r>
              <w:rPr>
                <w:rFonts w:ascii="Courier New" w:cs="Courier New" w:eastAsia="Courier New" w:hAnsi="Courier New"/>
                <w:sz w:val="14"/>
                <w:szCs w:val="14"/>
                <w:color w:val="auto"/>
              </w:rPr>
              <w:t>Add:</w:t>
            </w:r>
          </w:p>
        </w:tc>
        <w:tc>
          <w:tcPr>
            <w:tcW w:w="4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amortization of initial direct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costs of leases</w:t>
            </w:r>
          </w:p>
        </w:tc>
        <w:tc>
          <w:tcPr>
            <w:tcW w:w="10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664</w:t>
            </w:r>
          </w:p>
        </w:tc>
        <w:tc>
          <w:tcPr>
            <w:tcW w:w="380" w:type="dxa"/>
            <w:vAlign w:val="bottom"/>
          </w:tcPr>
          <w:p>
            <w:pPr>
              <w:spacing w:after="0"/>
              <w:rPr>
                <w:sz w:val="14"/>
                <w:szCs w:val="14"/>
                <w:color w:val="auto"/>
              </w:rPr>
            </w:pP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556</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2,491</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2,249</w:t>
            </w:r>
          </w:p>
        </w:tc>
      </w:tr>
      <w:tr>
        <w:trPr>
          <w:trHeight w:val="166"/>
        </w:trPr>
        <w:tc>
          <w:tcPr>
            <w:tcW w:w="860" w:type="dxa"/>
            <w:vAlign w:val="bottom"/>
          </w:tcPr>
          <w:p>
            <w:pPr>
              <w:ind w:left="360"/>
              <w:spacing w:after="0"/>
              <w:rPr>
                <w:sz w:val="20"/>
                <w:szCs w:val="20"/>
                <w:color w:val="auto"/>
              </w:rPr>
            </w:pPr>
            <w:r>
              <w:rPr>
                <w:rFonts w:ascii="Courier New" w:cs="Courier New" w:eastAsia="Courier New" w:hAnsi="Courier New"/>
                <w:sz w:val="14"/>
                <w:szCs w:val="14"/>
                <w:color w:val="auto"/>
              </w:rPr>
              <w:t>Add:</w:t>
            </w:r>
          </w:p>
        </w:tc>
        <w:tc>
          <w:tcPr>
            <w:tcW w:w="41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income attributable to operating</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ind w:left="40"/>
              <w:spacing w:after="0"/>
              <w:rPr>
                <w:sz w:val="20"/>
                <w:szCs w:val="20"/>
                <w:color w:val="auto"/>
              </w:rPr>
            </w:pPr>
            <w:r>
              <w:rPr>
                <w:rFonts w:ascii="Courier New" w:cs="Courier New" w:eastAsia="Courier New" w:hAnsi="Courier New"/>
                <w:sz w:val="14"/>
                <w:szCs w:val="14"/>
                <w:color w:val="auto"/>
              </w:rPr>
              <w:t>partnership units</w:t>
            </w:r>
          </w:p>
        </w:tc>
        <w:tc>
          <w:tcPr>
            <w:tcW w:w="1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w:t>
            </w:r>
          </w:p>
        </w:tc>
        <w:tc>
          <w:tcPr>
            <w:tcW w:w="380" w:type="dxa"/>
            <w:vAlign w:val="bottom"/>
          </w:tcPr>
          <w:p>
            <w:pPr>
              <w:spacing w:after="0"/>
              <w:rPr>
                <w:sz w:val="14"/>
                <w:szCs w:val="14"/>
                <w:color w:val="auto"/>
              </w:rPr>
            </w:pPr>
          </w:p>
        </w:tc>
        <w:tc>
          <w:tcPr>
            <w:tcW w:w="220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25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Funds from operations, diluted</w:t>
            </w: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$22,919</w:t>
            </w:r>
          </w:p>
        </w:tc>
        <w:tc>
          <w:tcPr>
            <w:tcW w:w="25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$ 20,871</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$ 86,536</w:t>
            </w:r>
          </w:p>
        </w:tc>
        <w:tc>
          <w:tcPr>
            <w:tcW w:w="220" w:type="dxa"/>
            <w:vAlign w:val="bottom"/>
          </w:tcPr>
          <w:p>
            <w:pPr>
              <w:spacing w:after="0"/>
              <w:rPr>
                <w:sz w:val="24"/>
                <w:szCs w:val="2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$ 79,733</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25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Funds from operations per share, diluted</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0.53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2.16</w:t>
            </w:r>
          </w:p>
        </w:tc>
        <w:tc>
          <w:tcPr>
            <w:tcW w:w="220" w:type="dxa"/>
            <w:vAlign w:val="bottom"/>
          </w:tcPr>
          <w:p>
            <w:pPr>
              <w:spacing w:after="0"/>
              <w:rPr>
                <w:sz w:val="14"/>
                <w:szCs w:val="14"/>
                <w:color w:val="auto"/>
              </w:rPr>
            </w:pP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w w:val="98"/>
              </w:rPr>
              <w:t>=======</w:t>
            </w:r>
          </w:p>
        </w:tc>
        <w:tc>
          <w:tcPr>
            <w:tcW w:w="258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3"/>
          </w:tcPr>
          <w:p>
            <w:pPr>
              <w:ind w:left="2060"/>
              <w:spacing w:after="0"/>
              <w:rPr>
                <w:sz w:val="20"/>
                <w:szCs w:val="20"/>
                <w:color w:val="auto"/>
              </w:rPr>
            </w:pPr>
            <w:r>
              <w:rPr>
                <w:rFonts w:ascii="Courier New" w:cs="Courier New" w:eastAsia="Courier New" w:hAnsi="Courier New"/>
                <w:sz w:val="14"/>
                <w:szCs w:val="14"/>
                <w:color w:val="auto"/>
              </w:rPr>
              <w:t>December 31,</w:t>
            </w:r>
          </w:p>
        </w:tc>
        <w:tc>
          <w:tcPr>
            <w:tcW w:w="220" w:type="dxa"/>
            <w:vAlign w:val="bottom"/>
          </w:tcPr>
          <w:p>
            <w:pPr>
              <w:spacing w:after="0"/>
              <w:rPr>
                <w:sz w:val="24"/>
                <w:szCs w:val="2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000" w:type="dxa"/>
            <w:vAlign w:val="bottom"/>
            <w:gridSpan w:val="3"/>
          </w:tcPr>
          <w:p>
            <w:pPr>
              <w:spacing w:after="0"/>
              <w:rPr>
                <w:sz w:val="20"/>
                <w:szCs w:val="20"/>
                <w:color w:val="auto"/>
              </w:rPr>
            </w:pPr>
            <w:r>
              <w:rPr>
                <w:rFonts w:ascii="Courier New" w:cs="Courier New" w:eastAsia="Courier New" w:hAnsi="Courier New"/>
                <w:sz w:val="14"/>
                <w:szCs w:val="14"/>
                <w:color w:val="auto"/>
              </w:rPr>
              <w:t>BALANCE SHEET DATA</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1998</w:t>
            </w:r>
          </w:p>
        </w:tc>
        <w:tc>
          <w:tcPr>
            <w:tcW w:w="220" w:type="dxa"/>
            <w:vAlign w:val="bottom"/>
          </w:tcPr>
          <w:p>
            <w:pPr>
              <w:spacing w:after="0"/>
              <w:rPr>
                <w:sz w:val="14"/>
                <w:szCs w:val="14"/>
                <w:color w:val="auto"/>
              </w:rPr>
            </w:pPr>
          </w:p>
        </w:tc>
        <w:tc>
          <w:tcPr>
            <w:tcW w:w="120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00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Assets</w:t>
            </w:r>
          </w:p>
        </w:tc>
        <w:tc>
          <w:tcPr>
            <w:tcW w:w="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Real estate, at cost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ind w:left="206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1,642,136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1,453,639</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(286,053)</w:t>
            </w:r>
          </w:p>
        </w:tc>
        <w:tc>
          <w:tcPr>
            <w:tcW w:w="22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(247,497)</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1,356,083</w:t>
            </w:r>
          </w:p>
        </w:tc>
        <w:tc>
          <w:tcPr>
            <w:tcW w:w="220" w:type="dxa"/>
            <w:vAlign w:val="bottom"/>
          </w:tcPr>
          <w:p>
            <w:pPr>
              <w:spacing w:after="0"/>
              <w:rPr>
                <w:sz w:val="14"/>
                <w:szCs w:val="14"/>
                <w:color w:val="auto"/>
              </w:rPr>
            </w:pP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1,206,142</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Mortgage notes receivable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51,154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38,360</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Cash and investments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17,230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17,043</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Receivables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17,873</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18,794</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Other assets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41,977</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36,234</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Total assets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ind w:left="206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1,484,317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Liabilities and Shareholders' Equity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ind w:left="206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173,480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221,573</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Notes payable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263,159</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119,028</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Senior Notes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335,000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255,000</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75,289</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5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Other liabilities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107,442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91,873</w:t>
            </w:r>
          </w:p>
        </w:tc>
      </w:tr>
      <w:tr>
        <w:trPr>
          <w:trHeight w:val="331"/>
        </w:trPr>
        <w:tc>
          <w:tcPr>
            <w:tcW w:w="5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52,9947</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553,810</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tcPr>
          <w:p>
            <w:pPr>
              <w:ind w:left="206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1,484,317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1" w:lineRule="exact"/>
        <w:rPr>
          <w:sz w:val="20"/>
          <w:szCs w:val="20"/>
          <w:color w:val="auto"/>
        </w:rPr>
      </w:pPr>
    </w:p>
    <w:sectPr>
      <w:pgSz w:w="11900" w:h="16838" w:orient="portrait"/>
      <w:cols w:equalWidth="0" w:num="1">
        <w:col w:w="11200"/>
      </w:cols>
      <w:pgMar w:left="220" w:top="616" w:right="479" w:bottom="91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3"/>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2020-02-22T10:05:34Z</dcterms:created>
  <dcterms:modified xsi:type="dcterms:W3CDTF">2020-02-22T10:05:34Z</dcterms:modified>
</cp:coreProperties>
</file>