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11-K</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ANNUAL REPORT</w:t>
      </w:r>
    </w:p>
    <w:p>
      <w:pPr>
        <w:jc w:val="center"/>
        <w:ind w:right="1779"/>
        <w:spacing w:after="0"/>
        <w:rPr>
          <w:sz w:val="20"/>
          <w:szCs w:val="20"/>
          <w:color w:val="auto"/>
        </w:rPr>
      </w:pPr>
      <w:r>
        <w:rPr>
          <w:rFonts w:ascii="Courier New" w:cs="Courier New" w:eastAsia="Courier New" w:hAnsi="Courier New"/>
          <w:sz w:val="18"/>
          <w:szCs w:val="18"/>
          <w:color w:val="auto"/>
        </w:rPr>
        <w:t>PURSUANT TO SECTION 15(d) OF THE</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187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 (NO FEE REQUIRED, EFFECTIVE OCTOBER 7, 1996).</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fiscal year ended December 31, 2001</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TRANSITION REPORT PURSUANT TO SECTION 15(d) OF THE SECURITIES EXCHANGE ACT OF 1934 (NO FEES REQUIRED).</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transition period from ____________ to ____________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1-07533</w:t>
      </w:r>
    </w:p>
    <w:p>
      <w:pPr>
        <w:spacing w:after="0" w:line="207" w:lineRule="exact"/>
        <w:rPr>
          <w:sz w:val="24"/>
          <w:szCs w:val="24"/>
          <w:color w:val="auto"/>
        </w:rPr>
      </w:pPr>
    </w:p>
    <w:p>
      <w:pPr>
        <w:ind w:left="1480" w:right="199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 and the address of the plan, if different from that of the issuer named below:</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2440"/>
        <w:spacing w:after="0" w:line="238" w:lineRule="auto"/>
        <w:rPr>
          <w:sz w:val="20"/>
          <w:szCs w:val="20"/>
          <w:color w:val="auto"/>
        </w:rPr>
      </w:pPr>
      <w:r>
        <w:rPr>
          <w:rFonts w:ascii="Courier New" w:cs="Courier New" w:eastAsia="Courier New" w:hAnsi="Courier New"/>
          <w:sz w:val="18"/>
          <w:szCs w:val="18"/>
          <w:color w:val="auto"/>
        </w:rPr>
        <w:t>SAVINGS AND RETIREMENT 401(K) PLAN</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left="1480" w:right="1779" w:hanging="524"/>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ROCKVILLE, MARYLAND 20852</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Report of Independent Certified Public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Trustees of the</w:t>
      </w:r>
    </w:p>
    <w:p>
      <w:pPr>
        <w:spacing w:after="0" w:line="238" w:lineRule="auto"/>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0" w:lineRule="exact"/>
        <w:rPr>
          <w:sz w:val="20"/>
          <w:szCs w:val="20"/>
          <w:color w:val="auto"/>
        </w:rPr>
      </w:pP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Federal Realty Investment Trust Savings and Retirement 401(k) Plan (the Plan) as of December 31, 2001, and the related statement of changes in net assets available for plan benefits for the year then ended and the supplemental schedule of assets held for investment purposes as of December 31, 2001. These financial statements and the schedule referred to below are the responsibility of the Plan's management. Our responsibility is to express an opinion on these financial statements based on our audit. The financial statements of the Plan as of December 31, 2000, were audited by other auditors whose report dated June 22, 2001, expressed an unqualified opinion on those statements.</w:t>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plan benefits of the Federal Realty Investment Trust Savings and Retirement 401(k) Plan as of December 31, 2001, and the changes in net assets available for plan benefits for the year then ended in conformity with accounting principles generally accepted in the United States of America.</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Our audit of the Plan's financial statements as of December 31, 2001, and for the year ended, was made for the purpose of forming an opinion on the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 of the basic financial statements for the year ended December 31, 2001, and, in our opinion, is fairly stated in all material respects in relation to the basic financial statements taken as a whole.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Grant Thornton, LLP</w:t>
      </w:r>
    </w:p>
    <w:p>
      <w:pPr>
        <w:spacing w:after="0" w:line="238" w:lineRule="auto"/>
        <w:rPr>
          <w:sz w:val="20"/>
          <w:szCs w:val="20"/>
          <w:color w:val="auto"/>
        </w:rPr>
      </w:pPr>
      <w:r>
        <w:rPr>
          <w:rFonts w:ascii="Courier New" w:cs="Courier New" w:eastAsia="Courier New" w:hAnsi="Courier New"/>
          <w:sz w:val="18"/>
          <w:szCs w:val="18"/>
          <w:color w:val="auto"/>
        </w:rPr>
        <w:t>Vienna, Virginia</w:t>
      </w:r>
    </w:p>
    <w:p>
      <w:pPr>
        <w:spacing w:after="0"/>
        <w:rPr>
          <w:sz w:val="20"/>
          <w:szCs w:val="20"/>
          <w:color w:val="auto"/>
        </w:rPr>
      </w:pPr>
      <w:r>
        <w:rPr>
          <w:rFonts w:ascii="Courier New" w:cs="Courier New" w:eastAsia="Courier New" w:hAnsi="Courier New"/>
          <w:sz w:val="18"/>
          <w:szCs w:val="18"/>
          <w:color w:val="auto"/>
        </w:rPr>
        <w:t>June 20, 2002</w:t>
      </w:r>
    </w:p>
    <w:p>
      <w:pPr>
        <w:sectPr>
          <w:pgSz w:w="11900" w:h="16838" w:orient="portrait"/>
          <w:cols w:equalWidth="0" w:num="1">
            <w:col w:w="10219"/>
          </w:cols>
          <w:pgMar w:left="240" w:top="717"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[This is a copy of the audit report previously issued by Andersen in connection with the Plan's filing on Form 11-K for the year ended December 31, 2000. This audit report has not been reissued by Andersen in connection with this filing on Form 11-K. See exhibit 23.2 for further discussion.]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Trustees of the</w:t>
      </w:r>
    </w:p>
    <w:p>
      <w:pPr>
        <w:spacing w:after="0" w:line="238" w:lineRule="auto"/>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statements of net assets available for benefits of Federal Realty Investment Trust Savings and Retirement 401(k) Plan (the Plan) as of December 31, 2000 and 1999, and the related statement of changes in net assets available for benefits for the year ended December 31, 2000. These financial statements and the schedule referred to below are the responsibility of the Plan's management. Our responsibility is to express an opinion on these financial statements and the schedule based on our audits.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benefits of the Federal Realty Investment Trust Savings and Retirement 401(k) Plan as of December 31, 2000 and 1999, and the changes in its net assets available for benefits for the year ended December 31, 2000, in conformity with accounting principles generally accepted in the United States.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Our audit of the Plan's financial statements as of December 31, 2000 and 1999, and for the year ended December 31, 2000, was made for the purpose of forming an opinion on the financial statements taken as a whole. The supplemental schedule of assets held for investment purposes as of December 31, 2000, is presented for purposes of additional analysis and is not a required part of the basic financial statements but is supplementary information required by the Department of Labor Rules and Regulations for Reporting and Disclosure under the Employee Retirement Income Security Act of 1974. The supplemental schedule has been subjected to the auditing procedures applied in the audits of the basic financial statements as of December 31, 2000 and 1999, and for the year ended December 31, 2000, and, in our opinion, is fairly stated in all material respects in relation to the basic financial statements taken as a whole.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June 22, 2001</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Net Assets Available for Plan Benefits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3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Investments, at fair value</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7,983,871</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9,531,581</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107,867</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106,819</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Contributions receivable</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36,097</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3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64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8,127,835</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9,638,400</w:t>
            </w:r>
          </w:p>
        </w:tc>
      </w:tr>
      <w:tr>
        <w:trPr>
          <w:trHeight w:val="203"/>
        </w:trPr>
        <w:tc>
          <w:tcPr>
            <w:tcW w:w="4380" w:type="dxa"/>
            <w:vAlign w:val="bottom"/>
          </w:tcPr>
          <w:p>
            <w:pPr>
              <w:spacing w:after="0"/>
              <w:rPr>
                <w:sz w:val="17"/>
                <w:szCs w:val="17"/>
                <w:color w:val="auto"/>
              </w:rPr>
            </w:pPr>
          </w:p>
        </w:tc>
        <w:tc>
          <w:tcPr>
            <w:tcW w:w="3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Assets Available for Plan Benefits</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8,127,835</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9,638,400</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Changes in Net Assets Available for Plan Benefits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jc w:val="center"/>
              <w:ind w:right="2072"/>
              <w:spacing w:after="0"/>
              <w:rPr>
                <w:sz w:val="20"/>
                <w:szCs w:val="20"/>
                <w:color w:val="auto"/>
              </w:rPr>
            </w:pPr>
            <w:r>
              <w:rPr>
                <w:rFonts w:ascii="Courier New" w:cs="Courier New" w:eastAsia="Courier New" w:hAnsi="Courier New"/>
                <w:sz w:val="18"/>
                <w:szCs w:val="18"/>
                <w:color w:val="auto"/>
                <w:w w:val="97"/>
              </w:rPr>
              <w:t>Additions to Net Assets Attributed to:</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6180" w:type="dxa"/>
            <w:vAlign w:val="bottom"/>
          </w:tcPr>
          <w:p>
            <w:pPr>
              <w:ind w:left="420"/>
              <w:spacing w:after="0"/>
              <w:rPr>
                <w:sz w:val="20"/>
                <w:szCs w:val="20"/>
                <w:color w:val="auto"/>
              </w:rPr>
            </w:pPr>
            <w:r>
              <w:rPr>
                <w:rFonts w:ascii="Courier New" w:cs="Courier New" w:eastAsia="Courier New" w:hAnsi="Courier New"/>
                <w:sz w:val="18"/>
                <w:szCs w:val="18"/>
                <w:color w:val="auto"/>
              </w:rPr>
              <w:t>Contributions</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180" w:type="dxa"/>
            <w:vAlign w:val="bottom"/>
          </w:tcPr>
          <w:p>
            <w:pPr>
              <w:jc w:val="center"/>
              <w:ind w:right="2072"/>
              <w:spacing w:after="0" w:line="203" w:lineRule="exact"/>
              <w:rPr>
                <w:sz w:val="20"/>
                <w:szCs w:val="20"/>
                <w:color w:val="auto"/>
              </w:rPr>
            </w:pPr>
            <w:r>
              <w:rPr>
                <w:rFonts w:ascii="Courier New" w:cs="Courier New" w:eastAsia="Courier New" w:hAnsi="Courier New"/>
                <w:sz w:val="18"/>
                <w:szCs w:val="18"/>
                <w:color w:val="auto"/>
                <w:w w:val="96"/>
              </w:rPr>
              <w:t>Employee contributions</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815,661</w:t>
            </w:r>
          </w:p>
        </w:tc>
      </w:tr>
      <w:tr>
        <w:trPr>
          <w:trHeight w:val="203"/>
        </w:trPr>
        <w:tc>
          <w:tcPr>
            <w:tcW w:w="6180" w:type="dxa"/>
            <w:vAlign w:val="bottom"/>
          </w:tcPr>
          <w:p>
            <w:pPr>
              <w:jc w:val="center"/>
              <w:ind w:right="2072"/>
              <w:spacing w:after="0" w:line="203" w:lineRule="exact"/>
              <w:rPr>
                <w:sz w:val="20"/>
                <w:szCs w:val="20"/>
                <w:color w:val="auto"/>
              </w:rPr>
            </w:pPr>
            <w:r>
              <w:rPr>
                <w:rFonts w:ascii="Courier New" w:cs="Courier New" w:eastAsia="Courier New" w:hAnsi="Courier New"/>
                <w:sz w:val="18"/>
                <w:szCs w:val="18"/>
                <w:color w:val="auto"/>
                <w:w w:val="96"/>
              </w:rPr>
              <w:t>Employer contributions</w:t>
            </w:r>
          </w:p>
        </w:tc>
        <w:tc>
          <w:tcPr>
            <w:tcW w:w="8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219,556</w:t>
            </w:r>
          </w:p>
        </w:tc>
      </w:tr>
      <w:tr>
        <w:trPr>
          <w:trHeight w:val="203"/>
        </w:trPr>
        <w:tc>
          <w:tcPr>
            <w:tcW w:w="6180" w:type="dxa"/>
            <w:vAlign w:val="bottom"/>
          </w:tcPr>
          <w:p>
            <w:pPr>
              <w:jc w:val="center"/>
              <w:ind w:right="2072"/>
              <w:spacing w:after="0" w:line="203" w:lineRule="exact"/>
              <w:rPr>
                <w:sz w:val="20"/>
                <w:szCs w:val="20"/>
                <w:color w:val="auto"/>
              </w:rPr>
            </w:pPr>
            <w:r>
              <w:rPr>
                <w:rFonts w:ascii="Courier New" w:cs="Courier New" w:eastAsia="Courier New" w:hAnsi="Courier New"/>
                <w:sz w:val="18"/>
                <w:szCs w:val="18"/>
                <w:color w:val="auto"/>
                <w:w w:val="96"/>
              </w:rPr>
              <w:t>Rollover contributions</w:t>
            </w:r>
          </w:p>
        </w:tc>
        <w:tc>
          <w:tcPr>
            <w:tcW w:w="8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129,740</w:t>
            </w:r>
          </w:p>
        </w:tc>
      </w:tr>
      <w:tr>
        <w:trPr>
          <w:trHeight w:val="203"/>
        </w:trPr>
        <w:tc>
          <w:tcPr>
            <w:tcW w:w="6180" w:type="dxa"/>
            <w:vAlign w:val="bottom"/>
          </w:tcPr>
          <w:p>
            <w:pPr>
              <w:spacing w:after="0"/>
              <w:rPr>
                <w:sz w:val="17"/>
                <w:szCs w:val="17"/>
                <w:color w:val="auto"/>
              </w:rPr>
            </w:pP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420"/>
              <w:spacing w:after="0"/>
              <w:rPr>
                <w:sz w:val="20"/>
                <w:szCs w:val="20"/>
                <w:color w:val="auto"/>
              </w:rPr>
            </w:pPr>
            <w:r>
              <w:rPr>
                <w:rFonts w:ascii="Courier New" w:cs="Courier New" w:eastAsia="Courier New" w:hAnsi="Courier New"/>
                <w:sz w:val="18"/>
                <w:szCs w:val="18"/>
                <w:color w:val="auto"/>
              </w:rPr>
              <w:t>Total contributions</w:t>
            </w:r>
          </w:p>
        </w:tc>
        <w:tc>
          <w:tcPr>
            <w:tcW w:w="84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1,164,957</w:t>
            </w:r>
          </w:p>
        </w:tc>
      </w:tr>
      <w:tr>
        <w:trPr>
          <w:trHeight w:val="203"/>
        </w:trPr>
        <w:tc>
          <w:tcPr>
            <w:tcW w:w="6180" w:type="dxa"/>
            <w:vAlign w:val="bottom"/>
          </w:tcPr>
          <w:p>
            <w:pPr>
              <w:spacing w:after="0"/>
              <w:rPr>
                <w:sz w:val="17"/>
                <w:szCs w:val="17"/>
                <w:color w:val="auto"/>
              </w:rPr>
            </w:pP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420"/>
              <w:spacing w:after="0"/>
              <w:rPr>
                <w:sz w:val="20"/>
                <w:szCs w:val="20"/>
                <w:color w:val="auto"/>
              </w:rPr>
            </w:pPr>
            <w:r>
              <w:rPr>
                <w:rFonts w:ascii="Courier New" w:cs="Courier New" w:eastAsia="Courier New" w:hAnsi="Courier New"/>
                <w:sz w:val="18"/>
                <w:szCs w:val="18"/>
                <w:color w:val="auto"/>
              </w:rPr>
              <w:t>Investment income (loss)</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180" w:type="dxa"/>
            <w:vAlign w:val="bottom"/>
          </w:tcPr>
          <w:p>
            <w:pPr>
              <w:jc w:val="center"/>
              <w:ind w:right="2072"/>
              <w:spacing w:after="0" w:line="203" w:lineRule="exact"/>
              <w:rPr>
                <w:sz w:val="20"/>
                <w:szCs w:val="20"/>
                <w:color w:val="auto"/>
              </w:rPr>
            </w:pPr>
            <w:r>
              <w:rPr>
                <w:rFonts w:ascii="Courier New" w:cs="Courier New" w:eastAsia="Courier New" w:hAnsi="Courier New"/>
                <w:sz w:val="18"/>
                <w:szCs w:val="18"/>
                <w:color w:val="auto"/>
                <w:w w:val="96"/>
              </w:rPr>
              <w:t>Interest and dividends</w:t>
            </w:r>
          </w:p>
        </w:tc>
        <w:tc>
          <w:tcPr>
            <w:tcW w:w="8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231,585</w:t>
            </w:r>
          </w:p>
        </w:tc>
      </w:tr>
      <w:tr>
        <w:trPr>
          <w:trHeight w:val="203"/>
        </w:trPr>
        <w:tc>
          <w:tcPr>
            <w:tcW w:w="6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depreciation in fair value of investments</w:t>
            </w:r>
          </w:p>
        </w:tc>
        <w:tc>
          <w:tcPr>
            <w:tcW w:w="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(1,663,031)</w:t>
            </w:r>
          </w:p>
        </w:tc>
      </w:tr>
      <w:tr>
        <w:trPr>
          <w:trHeight w:val="203"/>
        </w:trPr>
        <w:tc>
          <w:tcPr>
            <w:tcW w:w="6180" w:type="dxa"/>
            <w:vAlign w:val="bottom"/>
          </w:tcPr>
          <w:p>
            <w:pPr>
              <w:spacing w:after="0"/>
              <w:rPr>
                <w:sz w:val="17"/>
                <w:szCs w:val="17"/>
                <w:color w:val="auto"/>
              </w:rPr>
            </w:pP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center"/>
              <w:ind w:right="2092"/>
              <w:spacing w:after="0"/>
              <w:rPr>
                <w:sz w:val="20"/>
                <w:szCs w:val="20"/>
                <w:color w:val="auto"/>
              </w:rPr>
            </w:pPr>
            <w:r>
              <w:rPr>
                <w:rFonts w:ascii="Courier New" w:cs="Courier New" w:eastAsia="Courier New" w:hAnsi="Courier New"/>
                <w:sz w:val="18"/>
                <w:szCs w:val="18"/>
                <w:color w:val="auto"/>
                <w:w w:val="97"/>
              </w:rPr>
              <w:t>Total investment income (loss)</w:t>
            </w:r>
          </w:p>
        </w:tc>
        <w:tc>
          <w:tcPr>
            <w:tcW w:w="8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(1,431,446)</w:t>
            </w:r>
          </w:p>
        </w:tc>
      </w:tr>
      <w:tr>
        <w:trPr>
          <w:trHeight w:val="203"/>
        </w:trPr>
        <w:tc>
          <w:tcPr>
            <w:tcW w:w="6180" w:type="dxa"/>
            <w:vAlign w:val="bottom"/>
          </w:tcPr>
          <w:p>
            <w:pPr>
              <w:spacing w:after="0"/>
              <w:rPr>
                <w:sz w:val="17"/>
                <w:szCs w:val="17"/>
                <w:color w:val="auto"/>
              </w:rPr>
            </w:pP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Total Additions (Losses)</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(266,489)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20"/>
                <w:szCs w:val="20"/>
                <w:color w:val="auto"/>
              </w:rPr>
            </w:pPr>
            <w:r>
              <w:rPr>
                <w:rFonts w:ascii="Courier New" w:cs="Courier New" w:eastAsia="Courier New" w:hAnsi="Courier New"/>
                <w:sz w:val="18"/>
                <w:szCs w:val="18"/>
                <w:color w:val="auto"/>
              </w:rPr>
              <w:t>Deductions from Net Assets Attributed to:</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6380" w:type="dxa"/>
            <w:vAlign w:val="bottom"/>
          </w:tcPr>
          <w:p>
            <w:pPr>
              <w:ind w:left="420"/>
              <w:spacing w:after="0"/>
              <w:rPr>
                <w:sz w:val="20"/>
                <w:szCs w:val="20"/>
                <w:color w:val="auto"/>
              </w:rPr>
            </w:pPr>
            <w:r>
              <w:rPr>
                <w:rFonts w:ascii="Courier New" w:cs="Courier New" w:eastAsia="Courier New" w:hAnsi="Courier New"/>
                <w:sz w:val="18"/>
                <w:szCs w:val="18"/>
                <w:color w:val="auto"/>
              </w:rPr>
              <w:t>Benefits paid to participants</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1,240,242</w:t>
            </w:r>
          </w:p>
        </w:tc>
      </w:tr>
      <w:tr>
        <w:trPr>
          <w:trHeight w:val="203"/>
        </w:trPr>
        <w:tc>
          <w:tcPr>
            <w:tcW w:w="6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6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3,834</w:t>
            </w:r>
          </w:p>
        </w:tc>
      </w:tr>
      <w:tr>
        <w:trPr>
          <w:trHeight w:val="203"/>
        </w:trPr>
        <w:tc>
          <w:tcPr>
            <w:tcW w:w="6380" w:type="dxa"/>
            <w:vAlign w:val="bottom"/>
          </w:tcPr>
          <w:p>
            <w:pPr>
              <w:spacing w:after="0"/>
              <w:rPr>
                <w:sz w:val="17"/>
                <w:szCs w:val="17"/>
                <w:color w:val="auto"/>
              </w:rPr>
            </w:pP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Total Deductions</w:t>
            </w:r>
          </w:p>
        </w:tc>
        <w:tc>
          <w:tcPr>
            <w:tcW w:w="64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1,244,076</w:t>
            </w:r>
          </w:p>
        </w:tc>
      </w:tr>
      <w:tr>
        <w:trPr>
          <w:trHeight w:val="203"/>
        </w:trPr>
        <w:tc>
          <w:tcPr>
            <w:tcW w:w="6380" w:type="dxa"/>
            <w:vAlign w:val="bottom"/>
          </w:tcPr>
          <w:p>
            <w:pPr>
              <w:spacing w:after="0"/>
              <w:rPr>
                <w:sz w:val="17"/>
                <w:szCs w:val="17"/>
                <w:color w:val="auto"/>
              </w:rPr>
            </w:pP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Net Decrease</w:t>
            </w:r>
          </w:p>
        </w:tc>
        <w:tc>
          <w:tcPr>
            <w:tcW w:w="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(1,510,565)</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Net Assets Available for Plan Benefits, beginning of year</w:t>
            </w:r>
          </w:p>
        </w:tc>
        <w:tc>
          <w:tcPr>
            <w:tcW w:w="64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9,638,400</w:t>
            </w:r>
          </w:p>
        </w:tc>
      </w:tr>
      <w:tr>
        <w:trPr>
          <w:trHeight w:val="203"/>
        </w:trPr>
        <w:tc>
          <w:tcPr>
            <w:tcW w:w="6380" w:type="dxa"/>
            <w:vAlign w:val="bottom"/>
          </w:tcPr>
          <w:p>
            <w:pPr>
              <w:spacing w:after="0"/>
              <w:rPr>
                <w:sz w:val="17"/>
                <w:szCs w:val="17"/>
                <w:color w:val="auto"/>
              </w:rPr>
            </w:pP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Net Assets Available for Plan Benefits, end of year</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8,127,835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A--SIGNIFICANT ACCOUNTING POLICIES</w:t>
      </w:r>
    </w:p>
    <w:p>
      <w:pPr>
        <w:spacing w:after="0" w:line="207" w:lineRule="exact"/>
        <w:rPr>
          <w:sz w:val="20"/>
          <w:szCs w:val="20"/>
          <w:color w:val="auto"/>
        </w:rPr>
      </w:pPr>
    </w:p>
    <w:p>
      <w:pPr>
        <w:ind w:left="420" w:right="2099"/>
        <w:spacing w:after="0" w:line="236" w:lineRule="auto"/>
        <w:rPr>
          <w:sz w:val="20"/>
          <w:szCs w:val="20"/>
          <w:color w:val="auto"/>
        </w:rPr>
      </w:pPr>
      <w:r>
        <w:rPr>
          <w:rFonts w:ascii="Courier New" w:cs="Courier New" w:eastAsia="Courier New" w:hAnsi="Courier New"/>
          <w:sz w:val="18"/>
          <w:szCs w:val="18"/>
          <w:color w:val="auto"/>
        </w:rPr>
        <w:t>A summary of significant accounting policies of Federal Realty Investment Trust (the Trust) Savings and Retirement 401(k) Plan (the Plan) is as follows: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Basis of Accounting</w:t>
      </w:r>
    </w:p>
    <w:p>
      <w:pPr>
        <w:spacing w:after="0" w:line="207" w:lineRule="exact"/>
        <w:rPr>
          <w:sz w:val="20"/>
          <w:szCs w:val="20"/>
          <w:color w:val="auto"/>
        </w:rPr>
      </w:pPr>
    </w:p>
    <w:p>
      <w:pPr>
        <w:ind w:left="740" w:right="2319"/>
        <w:spacing w:after="0" w:line="235" w:lineRule="auto"/>
        <w:rPr>
          <w:sz w:val="20"/>
          <w:szCs w:val="20"/>
          <w:color w:val="auto"/>
        </w:rPr>
      </w:pPr>
      <w:r>
        <w:rPr>
          <w:rFonts w:ascii="Courier New" w:cs="Courier New" w:eastAsia="Courier New" w:hAnsi="Courier New"/>
          <w:sz w:val="18"/>
          <w:szCs w:val="18"/>
          <w:color w:val="auto"/>
        </w:rPr>
        <w:t>The financial statements of the Plan were prepared under the accrual method of accounting.</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left="740" w:right="2199"/>
        <w:spacing w:after="0" w:line="235" w:lineRule="auto"/>
        <w:rPr>
          <w:sz w:val="20"/>
          <w:szCs w:val="20"/>
          <w:color w:val="auto"/>
        </w:rPr>
      </w:pPr>
      <w:r>
        <w:rPr>
          <w:rFonts w:ascii="Courier New" w:cs="Courier New" w:eastAsia="Courier New" w:hAnsi="Courier New"/>
          <w:sz w:val="18"/>
          <w:szCs w:val="18"/>
          <w:color w:val="auto"/>
        </w:rPr>
        <w:t>The Plan's investments are stated at fair value. Fluctuations in fair value are charged to participant's accounts.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B--DESCRIPTION OF THE PLAN</w:t>
      </w:r>
    </w:p>
    <w:p>
      <w:pPr>
        <w:spacing w:after="0" w:line="200" w:lineRule="exact"/>
        <w:rPr>
          <w:sz w:val="20"/>
          <w:szCs w:val="20"/>
          <w:color w:val="auto"/>
        </w:rPr>
      </w:pPr>
    </w:p>
    <w:p>
      <w:pPr>
        <w:spacing w:after="0" w:line="209" w:lineRule="exact"/>
        <w:rPr>
          <w:sz w:val="20"/>
          <w:szCs w:val="20"/>
          <w:color w:val="auto"/>
        </w:rPr>
      </w:pPr>
    </w:p>
    <w:p>
      <w:pPr>
        <w:jc w:val="both"/>
        <w:ind w:left="420" w:right="2199"/>
        <w:spacing w:after="0" w:line="236" w:lineRule="auto"/>
        <w:rPr>
          <w:sz w:val="20"/>
          <w:szCs w:val="20"/>
          <w:color w:val="auto"/>
        </w:rPr>
      </w:pPr>
      <w:r>
        <w:rPr>
          <w:rFonts w:ascii="Courier New" w:cs="Courier New" w:eastAsia="Courier New" w:hAnsi="Courier New"/>
          <w:sz w:val="18"/>
          <w:szCs w:val="18"/>
          <w:color w:val="auto"/>
        </w:rPr>
        <w:t>The following description of the Plan provides only general information. Participants should refer to the Plan agreement for a more comprehensive description of the Plan's provisions.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The Plan is a defined contribution plan in accordance with the provisions of the Employee Retirement Income Security Act of 1974 (ERISA) and of Section 401(k) of the Internal Revenue Code of 1986, as amended. The Plan was established on January 1, 1985, restated effective January 1, 1997, and was most recently amended effective October 1, 2001. The most recent amendment altered the allocation of forfeitures so that they reduce employer-matching contributions.</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420" w:right="1999"/>
        <w:spacing w:after="0" w:line="237" w:lineRule="auto"/>
        <w:rPr>
          <w:sz w:val="20"/>
          <w:szCs w:val="20"/>
          <w:color w:val="auto"/>
        </w:rPr>
      </w:pPr>
      <w:r>
        <w:rPr>
          <w:rFonts w:ascii="Courier New" w:cs="Courier New" w:eastAsia="Courier New" w:hAnsi="Courier New"/>
          <w:sz w:val="18"/>
          <w:szCs w:val="18"/>
          <w:color w:val="auto"/>
        </w:rPr>
        <w:t>All employees, except members of collective bargaining units, may participate in the elective deferrals portion of the Plan immediately upon employment. There are no members of a collective bargaining unit as of December 31, 2001.</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Contributions</w:t>
      </w:r>
    </w:p>
    <w:p>
      <w:pPr>
        <w:spacing w:after="0" w:line="207" w:lineRule="exact"/>
        <w:rPr>
          <w:sz w:val="20"/>
          <w:szCs w:val="20"/>
          <w:color w:val="auto"/>
        </w:rPr>
      </w:pPr>
    </w:p>
    <w:p>
      <w:pPr>
        <w:ind w:left="420" w:right="1999"/>
        <w:spacing w:after="0" w:line="237" w:lineRule="auto"/>
        <w:rPr>
          <w:sz w:val="20"/>
          <w:szCs w:val="20"/>
          <w:color w:val="auto"/>
        </w:rPr>
      </w:pPr>
      <w:r>
        <w:rPr>
          <w:rFonts w:ascii="Courier New" w:cs="Courier New" w:eastAsia="Courier New" w:hAnsi="Courier New"/>
          <w:sz w:val="18"/>
          <w:szCs w:val="18"/>
          <w:color w:val="auto"/>
        </w:rPr>
        <w:t>Participants make contributions to the Plan by means of a salary deferral agreement. Participants may defer their salary by an amount equal to not less than 1 percent but not more than 20 percent of their compensation, to the extent permitted by the law. The dollar value of contributions may not exceed $10,500.</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97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B--DESCRIPTION OF PLAN--Continued</w:t>
      </w:r>
    </w:p>
    <w:p>
      <w:pPr>
        <w:spacing w:after="0" w:line="200" w:lineRule="exact"/>
        <w:rPr>
          <w:sz w:val="20"/>
          <w:szCs w:val="20"/>
          <w:color w:val="auto"/>
        </w:rPr>
      </w:pPr>
    </w:p>
    <w:p>
      <w:pPr>
        <w:spacing w:after="0" w:line="209"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The Trust will make employer-matching contributions to the Plan on behalf of all qualified participants. The amount of employer matching contributions for each eligible participant will be 50 percent of elective deferrals up to 5 percent of earnings. Employer matching and discretionary contributions will be made after one year of service is rendered with 1,000 or more hours completed by the participant, or if the participant retires, dies, or becomes disabled during the Plan year.</w:t>
      </w:r>
    </w:p>
    <w:p>
      <w:pPr>
        <w:spacing w:after="0" w:line="211" w:lineRule="exact"/>
        <w:rPr>
          <w:sz w:val="20"/>
          <w:szCs w:val="20"/>
          <w:color w:val="auto"/>
        </w:rPr>
      </w:pPr>
    </w:p>
    <w:p>
      <w:pPr>
        <w:ind w:left="420" w:right="1879"/>
        <w:spacing w:after="0" w:line="279" w:lineRule="auto"/>
        <w:rPr>
          <w:sz w:val="20"/>
          <w:szCs w:val="20"/>
          <w:color w:val="auto"/>
        </w:rPr>
      </w:pPr>
      <w:r>
        <w:rPr>
          <w:rFonts w:ascii="Courier New" w:cs="Courier New" w:eastAsia="Courier New" w:hAnsi="Courier New"/>
          <w:sz w:val="16"/>
          <w:szCs w:val="16"/>
          <w:color w:val="auto"/>
        </w:rPr>
        <w:t>Additionally, the Plan allows for discretionary contributions to be made at the end of the Plan year in an amount to be determined by the Trust. There were no such contributions made for the year ended December 31, 2001.</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Vesting</w:t>
      </w:r>
    </w:p>
    <w:p>
      <w:pPr>
        <w:spacing w:after="0" w:line="207" w:lineRule="exact"/>
        <w:rPr>
          <w:sz w:val="20"/>
          <w:szCs w:val="20"/>
          <w:color w:val="auto"/>
        </w:rPr>
      </w:pPr>
    </w:p>
    <w:p>
      <w:pPr>
        <w:ind w:left="420" w:right="1879"/>
        <w:spacing w:after="0" w:line="237" w:lineRule="auto"/>
        <w:rPr>
          <w:sz w:val="20"/>
          <w:szCs w:val="20"/>
          <w:color w:val="auto"/>
        </w:rPr>
      </w:pPr>
      <w:r>
        <w:rPr>
          <w:rFonts w:ascii="Courier New" w:cs="Courier New" w:eastAsia="Courier New" w:hAnsi="Courier New"/>
          <w:sz w:val="18"/>
          <w:szCs w:val="18"/>
          <w:color w:val="auto"/>
        </w:rPr>
        <w:t>Participants are always vested in elective deferral, employer matching, and rollover contributions. Discretionary contributions are vested based on years of service, with 100 percent vesting after five years of credited service.</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Participant Loans</w:t>
      </w:r>
    </w:p>
    <w:p>
      <w:pPr>
        <w:spacing w:after="0" w:line="20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Participants may borrow from their accounts a maximum equal to the lesser of $50,000 or 50 percent of their vested account balance. Loan transactions are treated as a transfer to (from) the investment fund from (to) the Participant Loan Fund. Loan terms range from one to five years or up to a reasonable time for the purchase of a principal residence. The loans are secured by 50 percent of the vested balance in the participant's accounts and bear interest at a rate determined by the Trust based on prevailing market conditions. At December 31, 2001, interest rates ranged from 6.5 percent to 10.5 percent.</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Payment of Benefits</w:t>
      </w:r>
    </w:p>
    <w:p>
      <w:pPr>
        <w:spacing w:after="0" w:line="20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Upon termination of services for reasons other than death, retirement, or disability, a participant will receive the vested percentage of his or her account balance plus earnings. The distribution can be a lump-sum distribution or may be in the form of an annuity beginning at retirement age if requested by the participant.</w:t>
      </w:r>
    </w:p>
    <w:p>
      <w:pPr>
        <w:spacing w:after="0" w:line="209"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Participants should refer to their summary plan description for more information regarding payment of benefits.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Administrative Expense</w:t>
      </w:r>
    </w:p>
    <w:p>
      <w:pPr>
        <w:spacing w:after="0" w:line="207" w:lineRule="exact"/>
        <w:rPr>
          <w:sz w:val="20"/>
          <w:szCs w:val="20"/>
          <w:color w:val="auto"/>
        </w:rPr>
      </w:pPr>
    </w:p>
    <w:p>
      <w:pPr>
        <w:ind w:left="420" w:right="1779"/>
        <w:spacing w:after="0" w:line="236" w:lineRule="auto"/>
        <w:rPr>
          <w:sz w:val="20"/>
          <w:szCs w:val="20"/>
          <w:color w:val="auto"/>
        </w:rPr>
      </w:pPr>
      <w:r>
        <w:rPr>
          <w:rFonts w:ascii="Courier New" w:cs="Courier New" w:eastAsia="Courier New" w:hAnsi="Courier New"/>
          <w:sz w:val="18"/>
          <w:szCs w:val="18"/>
          <w:color w:val="auto"/>
        </w:rPr>
        <w:t>The Trust pays all third party expenses of maintaining the Plan. Total third party administrative expense for the Plan was $3,834 for the year ended December 31, 2001.</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B--DESCRIPTION OF PLAN--Continued</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left="420" w:right="2739"/>
        <w:spacing w:after="0" w:line="290" w:lineRule="auto"/>
        <w:rPr>
          <w:sz w:val="20"/>
          <w:szCs w:val="20"/>
          <w:color w:val="auto"/>
        </w:rPr>
      </w:pPr>
      <w:r>
        <w:rPr>
          <w:rFonts w:ascii="Courier New" w:cs="Courier New" w:eastAsia="Courier New" w:hAnsi="Courier New"/>
          <w:sz w:val="16"/>
          <w:szCs w:val="16"/>
          <w:color w:val="auto"/>
        </w:rPr>
        <w:t>Putnam Fiduciary Trust Company (Putnam) is the trustee for the Plan portfolio. All investments are self-directed by participants.</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Investment Options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Following are the investment options offered under Putnam:</w:t>
      </w:r>
    </w:p>
    <w:p>
      <w:pPr>
        <w:spacing w:after="0" w:line="207" w:lineRule="exact"/>
        <w:rPr>
          <w:sz w:val="20"/>
          <w:szCs w:val="20"/>
          <w:color w:val="auto"/>
        </w:rPr>
      </w:pPr>
    </w:p>
    <w:p>
      <w:pPr>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Lazard Small Cap Fund--Seeks long-term capital appreciation by investing primarily in the equity securities of relatively small U.S. companies with market capitalizations in the range of the Russell 2000 Index, that the Investment Manager believes are undervalued based on their earnings, cash flow, or asset values.</w:t>
      </w:r>
    </w:p>
    <w:p>
      <w:pPr>
        <w:spacing w:after="0" w:line="209" w:lineRule="exact"/>
        <w:rPr>
          <w:sz w:val="20"/>
          <w:szCs w:val="20"/>
          <w:color w:val="auto"/>
        </w:rPr>
      </w:pPr>
    </w:p>
    <w:p>
      <w:pPr>
        <w:ind w:left="1060" w:right="2099" w:hanging="525"/>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Growth and Income Fund--Invests primarily in dividend paying stocks to provide income in addition to the growth potential of equities.</w:t>
      </w:r>
    </w:p>
    <w:p>
      <w:pPr>
        <w:spacing w:after="0" w:line="209" w:lineRule="exact"/>
        <w:rPr>
          <w:sz w:val="20"/>
          <w:szCs w:val="20"/>
          <w:color w:val="auto"/>
        </w:rPr>
      </w:pPr>
    </w:p>
    <w:p>
      <w:pPr>
        <w:jc w:val="both"/>
        <w:ind w:left="1060" w:right="1779" w:hanging="525"/>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Investors Fund--Seeks long-term growth of capital and increased income that results from this growth by investing mainly in the common stocks of U.S. companies, with a focus on growth stocks.</w:t>
      </w:r>
    </w:p>
    <w:p>
      <w:pPr>
        <w:spacing w:after="0" w:line="178" w:lineRule="exact"/>
        <w:rPr>
          <w:sz w:val="20"/>
          <w:szCs w:val="20"/>
          <w:color w:val="auto"/>
        </w:rPr>
      </w:pPr>
    </w:p>
    <w:p>
      <w:pPr>
        <w:ind w:left="1060" w:right="199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Income Fund--Designated to provide a relatively dependable income stream and to help reduce investment risk by spreading assets across a variety of fixed-income market sectors including, but not limited to, investment grade corporate bonds, mortgage-backed securities, U.S. Treasuries, high-yield corporate bonds and foreign bonds.</w:t>
      </w:r>
    </w:p>
    <w:p>
      <w:pPr>
        <w:spacing w:after="0" w:line="210" w:lineRule="exact"/>
        <w:rPr>
          <w:sz w:val="20"/>
          <w:szCs w:val="20"/>
          <w:color w:val="auto"/>
        </w:rPr>
      </w:pPr>
    </w:p>
    <w:p>
      <w:pPr>
        <w:ind w:left="1060" w:right="2199" w:hanging="525"/>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Vista Fund--Targets the stocks of a broad group of dynamic companies in many industries that Putnam's management believes are well positioned for earnings acceleration.</w:t>
      </w:r>
    </w:p>
    <w:p>
      <w:pPr>
        <w:spacing w:after="0" w:line="209" w:lineRule="exact"/>
        <w:rPr>
          <w:sz w:val="20"/>
          <w:szCs w:val="20"/>
          <w:color w:val="auto"/>
        </w:rPr>
      </w:pPr>
    </w:p>
    <w:p>
      <w:pPr>
        <w:ind w:left="1060" w:right="2099" w:hanging="525"/>
        <w:spacing w:after="0" w:line="236"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New Opportunities Fund--Seeks long-term capital appreciation through investment in common stock in companies believed to have above-average growth potential.</w:t>
      </w:r>
    </w:p>
    <w:p>
      <w:pPr>
        <w:spacing w:after="0" w:line="209" w:lineRule="exact"/>
        <w:rPr>
          <w:sz w:val="20"/>
          <w:szCs w:val="20"/>
          <w:color w:val="auto"/>
        </w:rPr>
      </w:pPr>
    </w:p>
    <w:p>
      <w:pPr>
        <w:ind w:left="1060" w:right="1779" w:hanging="525"/>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International Growth Fund--Seeks capital appreciation through a diversified portfolio of equity securities of companies located in a country other than the United States.</w:t>
      </w:r>
    </w:p>
    <w:p>
      <w:pPr>
        <w:spacing w:after="0" w:line="209" w:lineRule="exact"/>
        <w:rPr>
          <w:sz w:val="20"/>
          <w:szCs w:val="20"/>
          <w:color w:val="auto"/>
        </w:rPr>
      </w:pPr>
    </w:p>
    <w:p>
      <w:pPr>
        <w:ind w:left="1060" w:right="2419" w:hanging="525"/>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Money Market Fund--Seeks current income with stability of principal.</w:t>
      </w:r>
    </w:p>
    <w:p>
      <w:pPr>
        <w:spacing w:after="0" w:line="208" w:lineRule="exact"/>
        <w:rPr>
          <w:sz w:val="20"/>
          <w:szCs w:val="20"/>
          <w:color w:val="auto"/>
        </w:rPr>
      </w:pPr>
    </w:p>
    <w:p>
      <w:pPr>
        <w:ind w:left="1060" w:right="1879" w:hanging="52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Asset Allocation Conservation--Invests in stocks, bonds, and cash to pursue the maximum advantage of changing markets. Designed to meet the needs of investors who seek to preserve principal yet have some equity exposure to keep pace with inflation.</w:t>
      </w:r>
    </w:p>
    <w:p>
      <w:pPr>
        <w:spacing w:after="0" w:line="207" w:lineRule="exact"/>
        <w:rPr>
          <w:sz w:val="20"/>
          <w:szCs w:val="20"/>
          <w:color w:val="auto"/>
        </w:rPr>
      </w:pPr>
    </w:p>
    <w:p>
      <w:pPr>
        <w:ind w:left="1060" w:right="1999" w:hanging="525"/>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Bond Index Fund--Seeks investment in government and corporate bonds that match the performance of the bond index.</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right="3259"/>
        <w:spacing w:after="0" w:line="470" w:lineRule="auto"/>
        <w:rPr>
          <w:sz w:val="20"/>
          <w:szCs w:val="20"/>
          <w:color w:val="auto"/>
        </w:rPr>
      </w:pPr>
      <w:r>
        <w:rPr>
          <w:rFonts w:ascii="Courier New" w:cs="Courier New" w:eastAsia="Courier New" w:hAnsi="Courier New"/>
          <w:sz w:val="18"/>
          <w:szCs w:val="18"/>
          <w:color w:val="auto"/>
        </w:rPr>
        <w:t>Federal Realty Investment Trust Savings and Retirement 401(k) Plan Notes to Financial Statements--Continued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B--DESCRIPTION OF PLAN--Continued</w:t>
      </w:r>
    </w:p>
    <w:p>
      <w:pPr>
        <w:spacing w:after="0" w:line="200" w:lineRule="exact"/>
        <w:rPr>
          <w:sz w:val="20"/>
          <w:szCs w:val="20"/>
          <w:color w:val="auto"/>
        </w:rPr>
      </w:pPr>
    </w:p>
    <w:p>
      <w:pPr>
        <w:spacing w:after="0" w:line="209" w:lineRule="exact"/>
        <w:rPr>
          <w:sz w:val="20"/>
          <w:szCs w:val="20"/>
          <w:color w:val="auto"/>
        </w:rPr>
      </w:pPr>
    </w:p>
    <w:p>
      <w:pPr>
        <w:ind w:left="1060" w:right="1779" w:hanging="525"/>
        <w:spacing w:after="0" w:line="237"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Global Equity Fund--Invests in both U.S. and international markets. Targets large, well established multinational companies whose stocks are priced attractively and whose size, scale, and power give them a competitive advantage.</w:t>
      </w:r>
    </w:p>
    <w:p>
      <w:pPr>
        <w:spacing w:after="0" w:line="207" w:lineRule="exact"/>
        <w:rPr>
          <w:sz w:val="20"/>
          <w:szCs w:val="20"/>
          <w:color w:val="auto"/>
        </w:rPr>
      </w:pPr>
    </w:p>
    <w:p>
      <w:pPr>
        <w:ind w:left="1060" w:right="1879" w:hanging="525"/>
        <w:spacing w:after="0" w:line="237"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Growth Opportunities Fund--Invests primarily in stocks of very large, highly competitive American growth companies that are world leaders in their industries. Targeted companies have strong revenue and earnings growth rates, and dominate both domestic and foreign markets.</w:t>
      </w:r>
    </w:p>
    <w:p>
      <w:pPr>
        <w:spacing w:after="0" w:line="209" w:lineRule="exact"/>
        <w:rPr>
          <w:sz w:val="20"/>
          <w:szCs w:val="20"/>
          <w:color w:val="auto"/>
        </w:rPr>
      </w:pPr>
    </w:p>
    <w:p>
      <w:pPr>
        <w:jc w:val="both"/>
        <w:ind w:left="1060" w:right="1779" w:hanging="525"/>
        <w:spacing w:after="0" w:line="236"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Health Sciences Trust--Seeks growth potential through all areas of the health-care industry, encompassing medical devices, health-care services, pharmaceuticals, and others.</w:t>
      </w:r>
    </w:p>
    <w:p>
      <w:pPr>
        <w:spacing w:after="0" w:line="209" w:lineRule="exact"/>
        <w:rPr>
          <w:sz w:val="20"/>
          <w:szCs w:val="20"/>
          <w:color w:val="auto"/>
        </w:rPr>
      </w:pPr>
    </w:p>
    <w:p>
      <w:pPr>
        <w:ind w:left="1060" w:right="2319" w:hanging="525"/>
        <w:spacing w:after="0" w:line="237"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New Century Growth Fund--Invests in companies ranging from Internet, software, and telecommunications companies to more traditional businesses such as broadcasting, retail, finance, and electronics. Its portfolio may contain varying amounts of small-, mid-, and large-cap growth stocks.</w:t>
      </w:r>
    </w:p>
    <w:p>
      <w:pPr>
        <w:spacing w:after="0" w:line="209" w:lineRule="exact"/>
        <w:rPr>
          <w:sz w:val="20"/>
          <w:szCs w:val="20"/>
          <w:color w:val="auto"/>
        </w:rPr>
      </w:pPr>
    </w:p>
    <w:p>
      <w:pPr>
        <w:ind w:left="1060" w:right="1779" w:hanging="525"/>
        <w:spacing w:after="0" w:line="273"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Over-the-Counter &amp; Emerging Growth Fund--Invests primarily in common stocks of small to midsize companies whose sales and earnings are growing at very strong rates. The portfolio may include common stocks that are traded on the over-the-counter (OTC) market as well as stocks of emerging growth companies listed on securities exchanges.</w:t>
      </w:r>
    </w:p>
    <w:p>
      <w:pPr>
        <w:spacing w:after="0" w:line="185" w:lineRule="exact"/>
        <w:rPr>
          <w:sz w:val="20"/>
          <w:szCs w:val="20"/>
          <w:color w:val="auto"/>
        </w:rPr>
      </w:pPr>
    </w:p>
    <w:p>
      <w:pPr>
        <w:ind w:left="1060" w:right="2419" w:hanging="525"/>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S&amp;P 500 Fund--Targets stocks in the S&amp;P 500 that generate returns similar to the S&amp;P 500 Index.</w:t>
      </w:r>
    </w:p>
    <w:p>
      <w:pPr>
        <w:spacing w:after="0" w:line="208" w:lineRule="exact"/>
        <w:rPr>
          <w:sz w:val="20"/>
          <w:szCs w:val="20"/>
          <w:color w:val="auto"/>
        </w:rPr>
      </w:pPr>
    </w:p>
    <w:p>
      <w:pPr>
        <w:ind w:left="1060" w:right="1879" w:hanging="525"/>
        <w:spacing w:after="0" w:line="275"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Small Cap Value Fund--Seeks capital appreciation. The fund normally invests in common stocks of small and medium-sized companies similar in size to the Russell 2000 Index. It typically invests in companies that have market capitalizations of less than $500 million.</w:t>
      </w:r>
    </w:p>
    <w:p>
      <w:pPr>
        <w:spacing w:after="0" w:line="182" w:lineRule="exact"/>
        <w:rPr>
          <w:sz w:val="20"/>
          <w:szCs w:val="20"/>
          <w:color w:val="auto"/>
        </w:rPr>
      </w:pPr>
    </w:p>
    <w:p>
      <w:pPr>
        <w:ind w:left="1060" w:right="1879" w:hanging="525"/>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Capital Opportunities Fund--Seeks long-term growth of capital. The fund primarily invests in common stocks of U.S. companies. It invests mainly in small and mid-sized companies. The fund may invest in foreign securities.</w:t>
      </w:r>
    </w:p>
    <w:p>
      <w:pPr>
        <w:spacing w:after="0" w:line="207" w:lineRule="exact"/>
        <w:rPr>
          <w:sz w:val="20"/>
          <w:szCs w:val="20"/>
          <w:color w:val="auto"/>
        </w:rPr>
      </w:pPr>
    </w:p>
    <w:p>
      <w:pPr>
        <w:ind w:left="1060" w:right="1779" w:hanging="525"/>
        <w:spacing w:after="0" w:line="279" w:lineRule="auto"/>
        <w:tabs>
          <w:tab w:leader="none" w:pos="10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CSFBDirect Securities Account--Is a self-directed brokerage window in which participants can establish a brokerage account, and subsequently purchase individual stocks and bonds--as well as mutual funds.</w:t>
      </w:r>
    </w:p>
    <w:p>
      <w:pPr>
        <w:spacing w:after="0" w:line="178" w:lineRule="exact"/>
        <w:rPr>
          <w:sz w:val="20"/>
          <w:szCs w:val="20"/>
          <w:color w:val="auto"/>
        </w:rPr>
      </w:pPr>
    </w:p>
    <w:p>
      <w:pPr>
        <w:ind w:left="1060" w:right="177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Money Market Fund--SDB-- Seeks current income with stability of principal. The fund is only for the self-directed brokerage.</w:t>
      </w:r>
    </w:p>
    <w:p>
      <w:pPr>
        <w:spacing w:after="0" w:line="208" w:lineRule="exact"/>
        <w:rPr>
          <w:sz w:val="20"/>
          <w:szCs w:val="20"/>
          <w:color w:val="auto"/>
        </w:rPr>
      </w:pPr>
    </w:p>
    <w:p>
      <w:pPr>
        <w:jc w:val="both"/>
        <w:ind w:left="1060" w:right="2319" w:hanging="525"/>
        <w:spacing w:after="0" w:line="279"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Voyager Fund--Seeks capital appreciation. The fund invests primarily in common stocks. It generally invests in securities of large and midsize companies. The fund may employ leverage.</w:t>
      </w:r>
    </w:p>
    <w:p>
      <w:pPr>
        <w:spacing w:after="0" w:line="17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 w:name="page10"/>
    <w:bookmarkEnd w:id="9"/>
    <w:p>
      <w:pPr>
        <w:ind w:right="3259"/>
        <w:spacing w:after="0" w:line="470" w:lineRule="auto"/>
        <w:rPr>
          <w:sz w:val="20"/>
          <w:szCs w:val="20"/>
          <w:color w:val="auto"/>
        </w:rPr>
      </w:pPr>
      <w:r>
        <w:rPr>
          <w:rFonts w:ascii="Courier New" w:cs="Courier New" w:eastAsia="Courier New" w:hAnsi="Courier New"/>
          <w:sz w:val="18"/>
          <w:szCs w:val="18"/>
          <w:color w:val="auto"/>
        </w:rPr>
        <w:t>Federal Realty Investment Trust Savings and Retirement 401(k) Plan Notes to Financial Statements--Continued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B--DESCRIPTION OF PLAN--Continued</w:t>
      </w:r>
    </w:p>
    <w:p>
      <w:pPr>
        <w:spacing w:after="0" w:line="200" w:lineRule="exact"/>
        <w:rPr>
          <w:sz w:val="20"/>
          <w:szCs w:val="20"/>
          <w:color w:val="auto"/>
        </w:rPr>
      </w:pPr>
    </w:p>
    <w:p>
      <w:pPr>
        <w:spacing w:after="0" w:line="209" w:lineRule="exact"/>
        <w:rPr>
          <w:sz w:val="20"/>
          <w:szCs w:val="20"/>
          <w:color w:val="auto"/>
        </w:rPr>
      </w:pPr>
    </w:p>
    <w:p>
      <w:pPr>
        <w:ind w:left="1060" w:right="1779" w:hanging="525"/>
        <w:spacing w:after="0" w:line="237"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American Government Income Fund--Seeks high current income with preservation of capital as its secondary objective. The fund normally invests in bonds that are obligations of the U.S. Government, its agencies and instrumentalities, such as U.S. Treasury bonds and Ginnie Mae and Fannie Mae mortgage-backed bonds. The fund typically invests in bonds that have intermediate to long-term maturities (three years or longer).</w:t>
      </w:r>
    </w:p>
    <w:p>
      <w:pPr>
        <w:spacing w:after="0" w:line="211" w:lineRule="exact"/>
        <w:rPr>
          <w:sz w:val="20"/>
          <w:szCs w:val="20"/>
          <w:color w:val="auto"/>
        </w:rPr>
      </w:pPr>
    </w:p>
    <w:p>
      <w:pPr>
        <w:ind w:left="1060" w:right="2199" w:hanging="525"/>
        <w:spacing w:after="0" w:line="271" w:lineRule="auto"/>
        <w:tabs>
          <w:tab w:leader="none" w:pos="10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Balanced Retirement Fund--Seeks high current return and relative stability of principal. The fund mainly invests in a combination of bonds and U.S. value stocks in approximately equal portions. The fund mainly invests in large companies. It typically invests in government and private companies with intermediate- to long-term maturities. Usually the fund will invest no more than 35 percent of assets in non-investment grade investments.</w:t>
      </w:r>
    </w:p>
    <w:p>
      <w:pPr>
        <w:spacing w:after="0" w:line="188" w:lineRule="exact"/>
        <w:rPr>
          <w:sz w:val="20"/>
          <w:szCs w:val="20"/>
          <w:color w:val="auto"/>
        </w:rPr>
      </w:pPr>
    </w:p>
    <w:p>
      <w:pPr>
        <w:ind w:left="1060" w:right="1879" w:hanging="525"/>
        <w:spacing w:after="0" w:line="237"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Strategic Income Fund--Seeks current income consistent with capital preservation. The fund invests mainly in bonds that are obligations of corporations and governments worldwide. The fund will usually not invest more than 85 percent of assets in higher-yield, higher-risk debt investments rated below BBB or its equivalent. It will typically not invest more than 20 percent of assets below CCC or its equivalent.</w:t>
      </w:r>
    </w:p>
    <w:p>
      <w:pPr>
        <w:spacing w:after="0" w:line="211" w:lineRule="exact"/>
        <w:rPr>
          <w:sz w:val="20"/>
          <w:szCs w:val="20"/>
          <w:color w:val="auto"/>
        </w:rPr>
      </w:pPr>
    </w:p>
    <w:p>
      <w:pPr>
        <w:ind w:left="1060" w:right="1779" w:hanging="525"/>
        <w:spacing w:after="0" w:line="273" w:lineRule="auto"/>
        <w:tabs>
          <w:tab w:leader="none" w:pos="10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International Growth and Income Fund--Seeks capital growth. The fund invests mainly in common stocks of companies outside the United States. Although, the fund emphasizes investments in developed countries, it may also invest in companies in emerging markets. It invests mainly in value stocks and in mid-sized and large companies.</w:t>
      </w:r>
    </w:p>
    <w:p>
      <w:pPr>
        <w:spacing w:after="0" w:line="185" w:lineRule="exact"/>
        <w:rPr>
          <w:sz w:val="20"/>
          <w:szCs w:val="20"/>
          <w:color w:val="auto"/>
        </w:rPr>
      </w:pPr>
    </w:p>
    <w:p>
      <w:pPr>
        <w:ind w:left="1060" w:right="1779" w:hanging="525"/>
        <w:spacing w:after="0" w:line="237"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Emerging Markets Fund--Seeks long-term capital appreciation. The fund normally invests in common stocks of emerging market companies. Emerging market companies are companies that are located in or derive most of their revenues from business in countries with developing markets. The fund typically invests significantly in small and mid-sized companies.</w:t>
      </w:r>
    </w:p>
    <w:p>
      <w:pPr>
        <w:spacing w:after="0" w:line="210" w:lineRule="exact"/>
        <w:rPr>
          <w:sz w:val="20"/>
          <w:szCs w:val="20"/>
          <w:color w:val="auto"/>
        </w:rPr>
      </w:pPr>
    </w:p>
    <w:p>
      <w:pPr>
        <w:ind w:left="1060" w:right="1879" w:hanging="525"/>
        <w:spacing w:after="0" w:line="237" w:lineRule="auto"/>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International Voyager Fund--Seeks long-term capital appreciation. The fund normally invests at least 65 percent of assets in issuers located in at least three foreign countries other than the United States. It invests primarily in equities of small- to mid-capitalization issuers, however it can invest in companies of any size. The fund may invest in securities issued in developing, as well as developed foreign countries.</w:t>
      </w:r>
    </w:p>
    <w:p>
      <w:pPr>
        <w:spacing w:after="0" w:line="211" w:lineRule="exact"/>
        <w:rPr>
          <w:sz w:val="20"/>
          <w:szCs w:val="20"/>
          <w:color w:val="auto"/>
        </w:rPr>
      </w:pPr>
    </w:p>
    <w:p>
      <w:pPr>
        <w:ind w:left="1060" w:right="1779" w:hanging="525"/>
        <w:spacing w:after="0" w:line="271" w:lineRule="auto"/>
        <w:tabs>
          <w:tab w:leader="none" w:pos="10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Global Growth and Income Fund--Seeks capital growth, with current income as a secondary objective. The fund normally invests in common stocks of companies worldwide. Typically it invests in value stocks that offer the potential for income. The fund invests mainly in mid-sized and large companies, although it can invest in companies of any size. The fund emphasizes investments in developed countries; it may also invest in companies located in emerging markets.</w:t>
      </w:r>
    </w:p>
    <w:p>
      <w:pPr>
        <w:spacing w:after="0" w:line="188" w:lineRule="exact"/>
        <w:rPr>
          <w:sz w:val="20"/>
          <w:szCs w:val="20"/>
          <w:color w:val="auto"/>
        </w:rPr>
      </w:pPr>
    </w:p>
    <w:p>
      <w:pPr>
        <w:ind w:left="1060" w:right="1779" w:hanging="525"/>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New Value Fund--Seeks long-term capital appreciation. The fund normally invests in common stocks of U.S. companies, with a focus on value stocks--stocks that the fund's advisor believes are currently undervalued by the market. It typically invests in mid-sized and large companies.</w:t>
      </w:r>
    </w:p>
    <w:p>
      <w:pPr>
        <w:spacing w:after="0" w:line="203"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767"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B--DESCRIPTION OF PLAN--Continued</w:t>
      </w:r>
    </w:p>
    <w:p>
      <w:pPr>
        <w:spacing w:after="0" w:line="200" w:lineRule="exact"/>
        <w:rPr>
          <w:sz w:val="20"/>
          <w:szCs w:val="20"/>
          <w:color w:val="auto"/>
        </w:rPr>
      </w:pPr>
    </w:p>
    <w:p>
      <w:pPr>
        <w:spacing w:after="0" w:line="209" w:lineRule="exact"/>
        <w:rPr>
          <w:sz w:val="20"/>
          <w:szCs w:val="20"/>
          <w:color w:val="auto"/>
        </w:rPr>
      </w:pPr>
    </w:p>
    <w:p>
      <w:pPr>
        <w:ind w:left="1060" w:right="1999" w:hanging="525"/>
        <w:spacing w:after="0" w:line="271"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Balanced Fund--Seeks capital growth and current income. The fund typically invests in a combination of bonds and U.S. growth stocks, with a greater focus on growth stocks. It usually invests in mid-sized and large companies. The fund can invest in bonds of government and private companies mostly investment-grade in quality with intermediate- to long-term maturities. It can usually invest no more than 20 percent of assets in non-investment grade investments.</w:t>
      </w:r>
    </w:p>
    <w:p>
      <w:pPr>
        <w:spacing w:after="0" w:line="188" w:lineRule="exact"/>
        <w:rPr>
          <w:sz w:val="20"/>
          <w:szCs w:val="20"/>
          <w:color w:val="auto"/>
        </w:rPr>
      </w:pPr>
    </w:p>
    <w:p>
      <w:pPr>
        <w:ind w:left="1060" w:right="1779" w:hanging="525"/>
        <w:spacing w:after="0" w:line="237"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Equity Income Fund--Seeks current income; capital growth is a secondary consideration. The fund normally invests in common stocks of U.S. companies, with a focus on value stocks that offer the potential for current income and may also offer the potential for capital growth. It typically invests in large companies.</w:t>
      </w:r>
    </w:p>
    <w:p>
      <w:pPr>
        <w:spacing w:after="0" w:line="209" w:lineRule="exact"/>
        <w:rPr>
          <w:sz w:val="20"/>
          <w:szCs w:val="20"/>
          <w:color w:val="auto"/>
        </w:rPr>
      </w:pPr>
    </w:p>
    <w:p>
      <w:pPr>
        <w:ind w:left="320" w:right="4839" w:firstLine="215"/>
        <w:spacing w:after="0" w:line="470" w:lineRule="auto"/>
        <w:tabs>
          <w:tab w:leader="none" w:pos="105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Federal Realty Investment Trust Significant Assets</w:t>
      </w:r>
    </w:p>
    <w:p>
      <w:pPr>
        <w:spacing w:after="0" w:line="12" w:lineRule="exact"/>
        <w:rPr>
          <w:sz w:val="20"/>
          <w:szCs w:val="20"/>
          <w:color w:val="auto"/>
        </w:rPr>
      </w:pPr>
    </w:p>
    <w:p>
      <w:pPr>
        <w:jc w:val="both"/>
        <w:ind w:left="320" w:right="2099"/>
        <w:spacing w:after="0" w:line="290" w:lineRule="auto"/>
        <w:rPr>
          <w:sz w:val="20"/>
          <w:szCs w:val="20"/>
          <w:color w:val="auto"/>
        </w:rPr>
      </w:pPr>
      <w:r>
        <w:rPr>
          <w:rFonts w:ascii="Courier New" w:cs="Courier New" w:eastAsia="Courier New" w:hAnsi="Courier New"/>
          <w:sz w:val="16"/>
          <w:szCs w:val="16"/>
          <w:color w:val="auto"/>
        </w:rPr>
        <w:t>At December 31, 2001 and 2000, the fair market values of individual assets that represent 5 percent or more of the Plan's net assets were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December 31,</w:t>
            </w:r>
          </w:p>
        </w:tc>
        <w:tc>
          <w:tcPr>
            <w:tcW w:w="2620" w:type="dxa"/>
            <w:vAlign w:val="bottom"/>
          </w:tcPr>
          <w:p>
            <w:pPr>
              <w:spacing w:after="0"/>
              <w:rPr>
                <w:sz w:val="17"/>
                <w:szCs w:val="17"/>
                <w:color w:val="auto"/>
              </w:rPr>
            </w:pP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7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Putnam Growth and</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Income Fund</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1,630,692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1,873,053</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Putnam Vista Fund</w:t>
            </w:r>
          </w:p>
        </w:tc>
        <w:tc>
          <w:tcPr>
            <w:tcW w:w="262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1,869,269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3,323,236</w:t>
            </w:r>
          </w:p>
        </w:tc>
      </w:tr>
      <w:tr>
        <w:trPr>
          <w:trHeight w:val="203"/>
        </w:trPr>
        <w:tc>
          <w:tcPr>
            <w:tcW w:w="4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New Opportunities Fund</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997,622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1,310,729</w:t>
            </w:r>
          </w:p>
        </w:tc>
      </w:tr>
      <w:tr>
        <w:trPr>
          <w:trHeight w:val="203"/>
        </w:trPr>
        <w:tc>
          <w:tcPr>
            <w:tcW w:w="4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International Growth Fund</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734,262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1,001,139</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of Federal</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Realty Investment Trust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1,586,496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1,428,535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C--TAX STATUS</w:t>
      </w:r>
    </w:p>
    <w:p>
      <w:pPr>
        <w:spacing w:after="0" w:line="200" w:lineRule="exact"/>
        <w:rPr>
          <w:sz w:val="20"/>
          <w:szCs w:val="20"/>
          <w:color w:val="auto"/>
        </w:rPr>
      </w:pP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The Plan obtained a determination letter on November 4, 1994, in which the Internal Revenue Service stated that the Plan, as designed, was in compliance with the applicable requirements of the Internal Revenue Code (IRC) under Section 401(a). The Plan has been amended since receiving its determination letter. The Plan's trustees believe that the Plan is currently designed and operated in compliance with IRC and ERISA requirements.</w:t>
      </w:r>
    </w:p>
    <w:p>
      <w:pPr>
        <w:spacing w:after="0" w:line="205"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D--PARTY-IN-INTEREST TRANSACTIONS</w:t>
      </w:r>
    </w:p>
    <w:p>
      <w:pPr>
        <w:spacing w:after="0" w:line="207"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Party-in-interest transactions include those with fiduciaries or employees of the Plan, any person who provided services to the Plan, an employer whose employees were covered by the Plan, an employee organization whose members were covered by the Plan, a person who owned 50 percent or more of such an employer or employee association, or relatives of such persons.</w:t>
      </w:r>
    </w:p>
    <w:p>
      <w:pPr>
        <w:spacing w:after="0" w:line="209"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The Plan invests in shares of Federal Realty Investment Trust and funds managed by Putnam; therefore these transactions qualify as parties-in-interest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E--PLAN TERMINATION</w:t>
      </w:r>
    </w:p>
    <w:p>
      <w:pPr>
        <w:spacing w:after="0" w:line="207"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Although it has not expressed any intent to do so, Federal Realty Investment Trust has the right under the Plan to discontinue its contributions at any time and to terminate the Plan subject to the provisions of ERISA. In the event of the Plan termination, participants will become 100 percent vested in their accounts.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F--RECONCILIATION OF FINANCIAL STATEMENTS TO FORM 5500</w:t>
      </w:r>
    </w:p>
    <w:p>
      <w:pPr>
        <w:spacing w:after="0" w:line="207"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The following is a reconciliation of net assets available for benefits per the financial statements to the Form 5500: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40"/>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available for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benefits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per</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the financial statements</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8,127,835</w:t>
            </w:r>
          </w:p>
        </w:tc>
      </w:tr>
      <w:tr>
        <w:trPr>
          <w:trHeight w:val="405"/>
        </w:trPr>
        <w:tc>
          <w:tcPr>
            <w:tcW w:w="35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Less: contributions receivable at</w:t>
            </w:r>
          </w:p>
        </w:tc>
        <w:tc>
          <w:tcPr>
            <w:tcW w:w="3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(36,097)</w:t>
            </w:r>
          </w:p>
        </w:tc>
      </w:tr>
      <w:tr>
        <w:trPr>
          <w:trHeight w:val="203"/>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available for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benefits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per</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Form 5500</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8,091,738</w:t>
            </w:r>
          </w:p>
        </w:tc>
      </w:tr>
      <w:tr>
        <w:trPr>
          <w:trHeight w:val="203"/>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The following is a reconciliation of contributions per the financial statements to the Form 5500: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40"/>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per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financial statements</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1,164,957</w:t>
            </w:r>
          </w:p>
        </w:tc>
      </w:tr>
      <w:tr>
        <w:trPr>
          <w:trHeight w:val="405"/>
        </w:trPr>
        <w:tc>
          <w:tcPr>
            <w:tcW w:w="6280" w:type="dxa"/>
            <w:vAlign w:val="bottom"/>
            <w:gridSpan w:val="4"/>
          </w:tcPr>
          <w:p>
            <w:pPr>
              <w:spacing w:after="0"/>
              <w:rPr>
                <w:sz w:val="20"/>
                <w:szCs w:val="20"/>
                <w:color w:val="auto"/>
              </w:rPr>
            </w:pPr>
            <w:r>
              <w:rPr>
                <w:rFonts w:ascii="Courier New" w:cs="Courier New" w:eastAsia="Courier New" w:hAnsi="Courier New"/>
                <w:sz w:val="18"/>
                <w:szCs w:val="18"/>
                <w:color w:val="auto"/>
              </w:rPr>
              <w:t>Less: contributions receivable at December 31,</w:t>
            </w:r>
          </w:p>
        </w:tc>
        <w:tc>
          <w:tcPr>
            <w:tcW w:w="1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(36,097)</w:t>
            </w:r>
          </w:p>
        </w:tc>
      </w:tr>
      <w:tr>
        <w:trPr>
          <w:trHeight w:val="203"/>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per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Form 5500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1,128,860</w:t>
            </w:r>
          </w:p>
        </w:tc>
      </w:tr>
      <w:tr>
        <w:trPr>
          <w:trHeight w:val="203"/>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12" w:name="page13"/>
    <w:bookmarkEnd w:id="12"/>
    <w:p>
      <w:pPr>
        <w:ind w:left="5900"/>
        <w:spacing w:after="0"/>
        <w:rPr>
          <w:sz w:val="20"/>
          <w:szCs w:val="20"/>
          <w:color w:val="auto"/>
        </w:rPr>
      </w:pPr>
      <w:r>
        <w:rPr>
          <w:rFonts w:ascii="Courier New" w:cs="Courier New" w:eastAsia="Courier New" w:hAnsi="Courier New"/>
          <w:sz w:val="18"/>
          <w:szCs w:val="18"/>
          <w:color w:val="auto"/>
        </w:rPr>
        <w:t>Supplemental Information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of Assets Held for Investment Purposes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380"/>
        <w:spacing w:after="0"/>
        <w:tabs>
          <w:tab w:leader="none" w:pos="672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Market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Lazard Small Cap Fund</w:t>
            </w: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19,734</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Growth and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1,630,692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Investors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168,546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345,592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Vista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1,869,269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New Opportunities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997,622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International Growth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734,262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Money Market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332,468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Asset Allocation Conservation</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Bond Index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85,154</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Global Equity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Growth Opportunities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28,541</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Health Sciences Trust</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10,326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New Century Growth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Over-the-Counter and Emergency Growth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4,173</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S&amp;P 500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63,258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Small Cap Value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13,535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Capital Opportunities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4,933</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CSFBDirect Securities Account</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13,468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Money Market Fund--SDB</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Voyager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4,023</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American Government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Balanced Retirement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441</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Strategic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International Growth and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Emerging Markets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International Voyager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24,426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Global Growth and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New Value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11,782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Balanced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Equity Income Fund</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20,738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of Federal Realty Investment Trust</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1,586,496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Contributions Receivable</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36,097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Loans</w:t>
            </w:r>
          </w:p>
        </w:tc>
        <w:tc>
          <w:tcPr>
            <w:tcW w:w="7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107,867</w:t>
            </w:r>
          </w:p>
        </w:tc>
      </w:tr>
      <w:tr>
        <w:trPr>
          <w:trHeight w:val="203"/>
        </w:trPr>
        <w:tc>
          <w:tcPr>
            <w:tcW w:w="5540" w:type="dxa"/>
            <w:vAlign w:val="bottom"/>
          </w:tcPr>
          <w:p>
            <w:pPr>
              <w:spacing w:after="0"/>
              <w:rPr>
                <w:sz w:val="17"/>
                <w:szCs w:val="17"/>
                <w:color w:val="auto"/>
              </w:rPr>
            </w:pPr>
          </w:p>
        </w:tc>
        <w:tc>
          <w:tcPr>
            <w:tcW w:w="20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8,127,835</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Plan Administrator has duly caused this annual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FEDERAL REALTY INVESTMENT TRUST</w:t>
      </w:r>
    </w:p>
    <w:p>
      <w:pPr>
        <w:ind w:left="4120"/>
        <w:spacing w:after="0" w:line="238" w:lineRule="auto"/>
        <w:rPr>
          <w:sz w:val="20"/>
          <w:szCs w:val="20"/>
          <w:color w:val="auto"/>
        </w:rPr>
      </w:pPr>
      <w:r>
        <w:rPr>
          <w:rFonts w:ascii="Courier New" w:cs="Courier New" w:eastAsia="Courier New" w:hAnsi="Courier New"/>
          <w:sz w:val="18"/>
          <w:szCs w:val="18"/>
          <w:color w:val="auto"/>
        </w:rPr>
        <w:t>SAVINGS AND RETIREMENT 401(K) PLAN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27, 2002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Larry Finger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Name: Larry Finger, Senior Vice President</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Chief Financial Officer &amp; Treasurer</w:t>
      </w:r>
    </w:p>
    <w:p>
      <w:pPr>
        <w:sectPr>
          <w:pgSz w:w="11900" w:h="16838" w:orient="portrait"/>
          <w:cols w:equalWidth="0" w:num="1">
            <w:col w:w="10219"/>
          </w:cols>
          <w:pgMar w:left="240" w:top="717"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260" w:type="dxa"/>
            <w:vAlign w:val="bottom"/>
          </w:tcPr>
          <w:p>
            <w:pPr>
              <w:ind w:left="178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5260" w:type="dxa"/>
            <w:vAlign w:val="bottom"/>
          </w:tcPr>
          <w:p>
            <w:pPr>
              <w:ind w:left="32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5260" w:type="dxa"/>
            <w:vAlign w:val="bottom"/>
          </w:tcPr>
          <w:p>
            <w:pPr>
              <w:ind w:left="320"/>
              <w:spacing w:after="0"/>
              <w:rPr>
                <w:sz w:val="20"/>
                <w:szCs w:val="20"/>
                <w:color w:val="auto"/>
              </w:rPr>
            </w:pPr>
            <w:r>
              <w:rPr>
                <w:rFonts w:ascii="Courier New" w:cs="Courier New" w:eastAsia="Courier New" w:hAnsi="Courier New"/>
                <w:sz w:val="18"/>
                <w:szCs w:val="18"/>
                <w:color w:val="auto"/>
              </w:rPr>
              <w:t>Consent of Independent Public Accountants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23.2</w:t>
            </w:r>
          </w:p>
        </w:tc>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Notice Regarding Consent of Arthur Andersen LLP</w:t>
            </w:r>
          </w:p>
        </w:tc>
      </w:tr>
    </w:tbl>
    <w:p>
      <w:pPr>
        <w:sectPr>
          <w:pgSz w:w="11900" w:h="16838" w:orient="portrait"/>
          <w:cols w:equalWidth="0" w:num="1">
            <w:col w:w="10219"/>
          </w:cols>
          <w:pgMar w:left="240"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issued our report dated June 20, 2002, accompanying the financial statements and schedule incorporated by reference in the Annual Report of Federal Realty Investment Trust Savings and Retirement Plan on Form 11-K for the year ended December 31, 2001. We hereby consent to the incorporation by reference of said report in the Registrations Statements of Federal Realty Investment Trust Savings and Retirement Plan on Form S-8 (File No. 333-63986, effective June 27, 2001).</w:t>
      </w:r>
    </w:p>
    <w:p>
      <w:pPr>
        <w:sectPr>
          <w:pgSz w:w="11900" w:h="16838" w:orient="portrait"/>
          <w:cols w:equalWidth="0" w:num="1">
            <w:col w:w="10219"/>
          </w:cols>
          <w:pgMar w:left="240" w:top="541"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Vienna,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20, 2002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Grant Thornton, LLP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560" w:space="720"/>
            <w:col w:w="4939"/>
          </w:cols>
          <w:pgMar w:left="240" w:top="541" w:right="1440" w:bottom="1440" w:gutter="0" w:footer="0" w:header="0"/>
          <w:type w:val="continuous"/>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REGARDING CONSENT OF ARTHUR ANDERSEN LLP</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 On June 3, 2002, the Trustees appointed Grant Thornton LLP to replace Arthur Andersen LLP as the independent auditor of Federal Realty Investment Trust Savings and Retirement Plan. Prior to the date of this Form 11-K (which is incorporated by reference into Federal Realty Investment Trust's filings on Form S-8 No. 333-63986), the Arthur Andersen partners who reviewed the most recent audited financial statements of Federal Realty Investment Trust Savings and Retirement Plan (the Plan) as of December 31, 2000 and for the year then ended have resigned from Arthur Andersen. As a result, after reasonable efforts, the Plan has been unable to obtain Arthur Andersen's written consent to the incorporation by reference into Federal Realty Investment Trust's filing on Form S-8 No. 333-63986 of its audit report with respect to the Plans' financial statements as of December 31, 2000 and for the year then ended. Under these circumstances, Rule 437a under the Securities Act permits the Plan to file this Form 11-K without a written consent from Arthur Andersen. Accordingly, Arthur Andersen will not be liable to you under Section 11(a) of the Securities Act because it has not consented to the incorporation by reference of its previously issued report into Federal Realty Investment Trust's filings on Form S-8 No. 63986. The Company believes, however, that other persons who are liable under Section 11(a) of the Securities Act, including the Company's officers and directors, may still rely on Arthur Andersen's audit reports as being made by an expert under the due diligence defense provision of Section 11(b) of the Securities Act.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Roman"/>
      <w:start w:val="10"/>
    </w:lvl>
  </w:abstractNum>
  <w:abstractNum w:abstractNumId="1">
    <w:nsid w:val="333AB105"/>
    <w:multiLevelType w:val="hybridMultilevel"/>
    <w:lvl w:ilvl="0">
      <w:lvlJc w:val="left"/>
      <w:lvlText w:val="%1."/>
      <w:numFmt w:val="upperLetter"/>
      <w:start w:val="1"/>
    </w:lvl>
  </w:abstractNum>
  <w:abstractNum w:abstractNumId="2">
    <w:nsid w:val="721DA317"/>
    <w:multiLevelType w:val="hybridMultilevel"/>
    <w:lvl w:ilvl="0">
      <w:lvlJc w:val="left"/>
      <w:lvlText w:val="%1."/>
      <w:numFmt w:val="upperLetter"/>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2019-12-12T08:58:10Z</dcterms:created>
  <dcterms:modified xsi:type="dcterms:W3CDTF">2019-12-12T08:58:10Z</dcterms:modified>
</cp:coreProperties>
</file>