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September 30, 2014</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On October 30, 2014, Federal Realty Investment Trust issued supplemental data pertaining to its operations, as well as a press release, to report its financial results for the quarter ended September 30, 2014.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2014 (including press release dated October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October 30, 2014</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2014</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Third Quarter 2014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Pike &amp; Rose and Assembly Row</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2014 Significant Acquisition &amp; Disposition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14</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2014,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11, 2014.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8"/>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i w:val="1"/>
                <w:iCs w:val="1"/>
                <w:color w:val="auto"/>
                <w:w w:val="99"/>
              </w:rPr>
              <w:t>Investor Inquiries</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Brittany Schmelz</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Investor Relations Coordinator</w:t>
            </w:r>
          </w:p>
        </w:tc>
        <w:tc>
          <w:tcPr>
            <w:tcW w:w="4040" w:type="dxa"/>
            <w:vAlign w:val="bottom"/>
            <w:gridSpan w:val="3"/>
          </w:tcPr>
          <w:p>
            <w:pPr>
              <w:ind w:left="1720"/>
              <w:spacing w:after="0"/>
              <w:rPr>
                <w:sz w:val="20"/>
                <w:szCs w:val="20"/>
                <w:color w:val="auto"/>
              </w:rPr>
            </w:pPr>
            <w:r>
              <w:rPr>
                <w:rFonts w:ascii="Arial" w:cs="Arial" w:eastAsia="Arial" w:hAnsi="Arial"/>
                <w:sz w:val="18"/>
                <w:szCs w:val="18"/>
                <w:color w:val="auto"/>
              </w:rPr>
              <w:t>Director, Marketing</w:t>
            </w:r>
          </w:p>
        </w:tc>
      </w:tr>
      <w:tr>
        <w:trPr>
          <w:trHeight w:val="257"/>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301/998-8265</w:t>
            </w:r>
          </w:p>
        </w:tc>
        <w:tc>
          <w:tcPr>
            <w:tcW w:w="2780" w:type="dxa"/>
            <w:vAlign w:val="bottom"/>
          </w:tcPr>
          <w:p>
            <w:pPr>
              <w:spacing w:after="0"/>
              <w:rPr>
                <w:sz w:val="22"/>
                <w:szCs w:val="22"/>
                <w:color w:val="auto"/>
              </w:rPr>
            </w:pPr>
          </w:p>
        </w:tc>
        <w:tc>
          <w:tcPr>
            <w:tcW w:w="2940" w:type="dxa"/>
            <w:vAlign w:val="bottom"/>
            <w:gridSpan w:val="2"/>
          </w:tcPr>
          <w:p>
            <w:pPr>
              <w:ind w:left="1720"/>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bschmelz@federalrealty.com</w:t>
            </w:r>
          </w:p>
        </w:tc>
        <w:tc>
          <w:tcPr>
            <w:tcW w:w="4040" w:type="dxa"/>
            <w:vAlign w:val="bottom"/>
            <w:gridSpan w:val="3"/>
          </w:tcPr>
          <w:p>
            <w:pPr>
              <w:ind w:left="1720"/>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THIRD QUARTER 2014 OPERATING RESULTS</w:t>
      </w:r>
    </w:p>
    <w:p>
      <w:pPr>
        <w:spacing w:after="0" w:line="342"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ROCKVILLE, Md. (October 30, 2014) - Federal Realty Investment Trust (NYSE:FRT) today reported operating results for its third quarter ended September 30,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In the third quarter 2014, Federal Realty generated funds from operations available for common shareholders (FFO) of $84.5 million, or $1.23 per diluted share. This compares to FFO of $76.4 million, or $1.16 per diluted share, in third quarter 2013. For the nine months ended September 30, 2014, Federal Realty reported FFO of $249.9 million, or $3.66 per diluted share, compared to $221.6 million, or $3.38 per diluted share for the same nine-month period in 2013. Excluding early extinguishment of debt, for the nine months ended September 30, 2013, Federal Realty reported FFO of $224.9 million, or $3.43 per diluted share.</w:t>
      </w:r>
    </w:p>
    <w:p>
      <w:pPr>
        <w:spacing w:after="0" w:line="298"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$46.9 million and earnings per diluted share was $0.69 for the quarter ended September 30, 2014 versus $62.0 million and $0.94, respectively, for third quarter 2013. Year-to-date, Federal Realty reported net income available for common shareholders of $129.0 million and earnings per diluted share of $1.91. This compares to net income available for common shareholders of $133.8 million and earnings per diluted share of $2.04 for the nine months ended September 30, 2013.</w:t>
      </w:r>
    </w:p>
    <w:p>
      <w:pPr>
        <w:spacing w:after="0" w:line="297"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In third quarter 2014, same-center property operating income increased 3.3% over the prior year, excluding properties that are being redeveloped and 4.4% when including those properties.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79"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95.6% leased as of September 30, 2014, compared to 95.3% on June 30, 2014 and 95.3% on September 30, 2013. Federal Realty’s same-center portfolio was 95.9% leased on September 30, 2014, compared to 95.5% on June 30, 2014 and 95.4% on September 30, 2013.</w:t>
      </w:r>
    </w:p>
    <w:p>
      <w:pPr>
        <w:spacing w:after="0" w:line="298"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During the third quarter of 2014, Federal Realty signed 108 leases for 434,165 square feet of retail space. On a comparable space basis (i.e., spaces for which there was a former tenant), the Trust leased 372,693 square feet at an average cash basis contractual rent increase per square foot (i.e., excluding the impact of straight-line rents) of 13%. The average contractual rent on this comparable space for the first year of the new leases is $35.69 per square foot, compared to the average contractual rent of $31.55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23% for third quarter 2014. As of September 30, 2014, Federal Realty’s average contractual, cash basis minimum rent for retail and commercial space in its portfolio was $25.36 per square foot.</w:t>
      </w:r>
    </w:p>
    <w:p>
      <w:pPr>
        <w:spacing w:after="0" w:line="305"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“We are very pleased with another quarter of strong performance,” commented Don Wood, President and Chief Executive Officer, “as the core continues to power forward and the successful Phase I openings of Pike &amp; Rose and Assembly Row drive increased visibility on additional opportunities for growth for many years to come.”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$0.87 per share, resulting in an indicated annual rate of $3.48 per share. The regular common dividend will be payable on January 15, 2015</w:t>
      </w:r>
      <w:r>
        <w:rPr>
          <w:rFonts w:ascii="Arial" w:cs="Arial" w:eastAsia="Arial" w:hAnsi="Arial"/>
          <w:sz w:val="18"/>
          <w:szCs w:val="18"/>
          <w:color w:val="FFFFFF"/>
        </w:rPr>
        <w:t>,</w:t>
      </w:r>
      <w:r>
        <w:rPr>
          <w:rFonts w:ascii="Arial" w:cs="Arial" w:eastAsia="Arial" w:hAnsi="Arial"/>
          <w:sz w:val="18"/>
          <w:szCs w:val="18"/>
          <w:color w:val="auto"/>
        </w:rPr>
        <w:t>to common shareholders of record as of January 2, 2015.</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increased its guidance for 2014 FFO per diluted share to a range of $4.92 to $4.94, from $4.90 to $4.94. 2014 earnings per diluted share guidance is $2.57 to $2.61. In addition, Federal Realty provided initial 2015 FFO per diluted share guidance of $5.26 to $5.34 and 2015 earnings per diluted share guidance of $2.86 to $2.94.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jc w:val="both"/>
        <w:ind w:left="660" w:hanging="328"/>
        <w:spacing w:after="0" w:line="3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October 30, 2014 - Federal Realty announced that it is proceeding with Phase II of Pike &amp; Rose, which will add 185,000 square feet of new retail space, 264 high-end apartments, 104 luxury condominium residences, over 800 new parking spaces, and a 177-room, Canopy by Hilton hotel. The hotel, one of the first of Hilton’s new lifestyle brand, will be developed by a partnership between Federal Realty and the Buccini/Pollin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74" w:lineRule="exact"/>
        <w:rPr>
          <w:sz w:val="20"/>
          <w:szCs w:val="20"/>
          <w:color w:val="auto"/>
        </w:rPr>
      </w:pPr>
    </w:p>
    <w:p>
      <w:pPr>
        <w:jc w:val="both"/>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September 10, 2014- Federal Realty’s Assembly Row announced several key grand opening milestones: Assembly Station opened for business on the MBTA’s Orange Line, connecting the Assembly Row neighborhood to the Line’s 200,000 daily riders; 43 of 59 tenants in the initial phase, including the Marketplace, are now open and operating; and Partners Healthcare commenced construction to bring more than 700,000 square feet of office to relocate over 4,500 employees to Assembly Row starting in late 2016.</w:t>
      </w:r>
    </w:p>
    <w:p>
      <w:pPr>
        <w:ind w:left="660" w:right="24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August 28, 2014 - Federal Realty amended its term loan agreement, lowering the spread over LIBOR by 40 basis points to 90 basis points based on the Trust’s current credit rating and providing the Trust an option to extend the November 2018 maturity date by one year.</w:t>
      </w:r>
    </w:p>
    <w:p>
      <w:pPr>
        <w:jc w:val="both"/>
        <w:ind w:left="660" w:right="20" w:hanging="328"/>
        <w:spacing w:after="0" w:line="36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24, 2014 - Federal Realty’s partnership with a discretionary fund created and advised by ING Clarion Partners closed on the sale of Pleasant Shops in South Weymouth, Massachusetts for a sales price of $34.3 million. As a result of this sale, the Trust recorded a gain of approximately $4.4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third quarter 2014 earnings conference call, which is scheduled for October 31, 2014, at 11 a.m. Eastern Daylight Time. To participate, please call (877) 445-3230 five to ten minutes prior to the call start time and use the passcode 94267792 (required). Federal Realty will also provide an online webcast on the Company’s website,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November 7, 2014, by dialing (855) 859-2056 and using the passcode 94267792.</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20 million square feet located primarily in strategically selected metropolitan markets in the Northeast, Mid-Atlantic, and California. In addition, the Trust has an ownership interest in approximately 0.8 million square feet of retail space through a joint venture in which the Trust has a 30% interest. Our operating portfolio (excluding joint venture properties) was 95.6% leased to national, regional, and local retailers as of September 30, 2014, with no single tenant accounting for more than approximately 3.2% of annualized base rent. Federal Realty has paid quarterly dividends to its shareholders continuously since its founding in 1962, and has increased its dividend rate for 47 consecutive years, the longest record in the REIT industry. Federal Realty is an S&amp;P MidCap 400 company and its shares are traded on the NYSE under the symbol FRT.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6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2014, and include the following:</w:t>
      </w:r>
    </w:p>
    <w:p>
      <w:pPr>
        <w:spacing w:after="0" w:line="206" w:lineRule="exact"/>
        <w:rPr>
          <w:sz w:val="20"/>
          <w:szCs w:val="20"/>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30"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11,2014.</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6"/>
                <w:szCs w:val="16"/>
                <w:color w:val="auto"/>
              </w:rPr>
            </w:pPr>
          </w:p>
        </w:tc>
        <w:tc>
          <w:tcPr>
            <w:tcW w:w="242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r>
      <w:tr>
        <w:trPr>
          <w:trHeight w:val="244"/>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166,112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154,308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494,688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460,136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3,770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159,030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509,713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473,567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86,755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20,374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58,238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53,604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22,902</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42,660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39,341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127,403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119,615</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94,329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310,286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282,876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67,622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64,701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199,427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190,691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(80,314)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Income from real estate partnership</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1,065</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108,208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23,861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23,861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Results from discontinued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44,648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63,366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130,609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133,011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 in real estate partnership</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138,005</w:t>
            </w:r>
          </w:p>
        </w:tc>
      </w:tr>
      <w:tr>
        <w:trPr>
          <w:trHeight w:val="243"/>
        </w:trPr>
        <w:tc>
          <w:tcPr>
            <w:tcW w:w="562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134,225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46,939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61,962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128,967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133,819</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67,559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65,504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67,095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65,118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67,732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65,647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67,261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65,271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368"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368"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$281,960 and $265,138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5,052,378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4,618,258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484,414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531,205</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5,536,792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5,149,463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Less accumulated depreciation and amortization (including $24,714 and $19,086 of consolidated variable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entities, 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(1,431,466)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(1,350,471)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4,105,326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3,798,992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88,927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104,746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55,155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32,717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161,501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159,118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4,479,398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6"/>
              </w:rPr>
              <w:t>Mortgages and capital lease obligations (including $188,189 and $202,782 of consolidated variable interest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701,914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660,127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301,556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300,822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1,361,466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1,360,913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341,998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321,710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2,706,934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2,643,572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110,865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Preferred shares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1,563,325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1,438,163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1,573,322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1,448,160</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88,277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1,661,599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1,471,297</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4,479,398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1"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22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(in thousands, except per share data)</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20" w:type="dxa"/>
            <w:vAlign w:val="bottom"/>
            <w:shd w:val="clear" w:color="auto" w:fill="CCEEFF"/>
          </w:tcPr>
          <w:p>
            <w:pPr>
              <w:spacing w:after="0"/>
              <w:rPr>
                <w:sz w:val="22"/>
                <w:szCs w:val="22"/>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(FFO) (1)</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49,049</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ind w:right="91"/>
              <w:spacing w:after="0"/>
              <w:rPr>
                <w:sz w:val="20"/>
                <w:szCs w:val="20"/>
                <w:color w:val="auto"/>
              </w:rPr>
            </w:pPr>
            <w:r>
              <w:rPr>
                <w:rFonts w:ascii="Arial" w:cs="Arial" w:eastAsia="Arial" w:hAnsi="Arial"/>
                <w:sz w:val="18"/>
                <w:szCs w:val="18"/>
                <w:color w:val="auto"/>
              </w:rPr>
              <w:t>63,366</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135,010</w:t>
            </w: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w w:val="89"/>
              </w:rPr>
              <w:t>138,005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(3,780)</w:t>
            </w: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(23,861)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w w:val="95"/>
              </w:rPr>
              <w:t>(28,855)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37,964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35,334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114,012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107,730</w:t>
            </w: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8,971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8,087</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Depreciation of joint venture real estate assets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1,121</w:t>
            </w:r>
          </w:p>
        </w:tc>
      </w:tr>
      <w:tr>
        <w:trPr>
          <w:trHeight w:val="237"/>
        </w:trPr>
        <w:tc>
          <w:tcPr>
            <w:tcW w:w="20" w:type="dxa"/>
            <w:vAlign w:val="bottom"/>
          </w:tcPr>
          <w:p>
            <w:pPr>
              <w:spacing w:after="0"/>
              <w:rPr>
                <w:sz w:val="20"/>
                <w:szCs w:val="20"/>
                <w:color w:val="auto"/>
              </w:rPr>
            </w:pPr>
          </w:p>
        </w:tc>
        <w:tc>
          <w:tcPr>
            <w:tcW w:w="6240" w:type="dxa"/>
            <w:vAlign w:val="bottom"/>
            <w:gridSpan w:val="4"/>
          </w:tcPr>
          <w:p>
            <w:pPr>
              <w:ind w:left="36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84,183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76,625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249,157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89"/>
              </w:rPr>
              <w:t>222,308</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(406)</w:t>
            </w: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665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(1,001)</w:t>
            </w:r>
          </w:p>
        </w:tc>
      </w:tr>
      <w:tr>
        <w:trPr>
          <w:trHeight w:val="237"/>
        </w:trPr>
        <w:tc>
          <w:tcPr>
            <w:tcW w:w="20" w:type="dxa"/>
            <w:vAlign w:val="bottom"/>
          </w:tcPr>
          <w:p>
            <w:pPr>
              <w:spacing w:after="0"/>
              <w:rPr>
                <w:sz w:val="20"/>
                <w:szCs w:val="20"/>
                <w:color w:val="auto"/>
              </w:rPr>
            </w:pPr>
          </w:p>
        </w:tc>
        <w:tc>
          <w:tcPr>
            <w:tcW w:w="6240" w:type="dxa"/>
            <w:vAlign w:val="bottom"/>
            <w:gridSpan w:val="4"/>
          </w:tcPr>
          <w:p>
            <w:pPr>
              <w:ind w:left="360"/>
              <w:spacing w:after="0"/>
              <w:rPr>
                <w:sz w:val="20"/>
                <w:szCs w:val="20"/>
                <w:color w:val="auto"/>
              </w:rPr>
            </w:pPr>
            <w:r>
              <w:rPr>
                <w:rFonts w:ascii="Arial" w:cs="Arial" w:eastAsia="Arial" w:hAnsi="Arial"/>
                <w:sz w:val="18"/>
                <w:szCs w:val="18"/>
                <w:color w:val="auto"/>
              </w:rPr>
              <w:t>FFO</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84,467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76,368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249,852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89"/>
              </w:rPr>
              <w:t>221,566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3,383</w:t>
            </w:r>
          </w:p>
        </w:tc>
      </w:tr>
      <w:tr>
        <w:trPr>
          <w:trHeight w:val="297"/>
        </w:trPr>
        <w:tc>
          <w:tcPr>
            <w:tcW w:w="20" w:type="dxa"/>
            <w:vAlign w:val="bottom"/>
            <w:tcBorders>
              <w:bottom w:val="single" w:sz="8" w:color="CCEEFF"/>
            </w:tcBorders>
          </w:tcPr>
          <w:p>
            <w:pPr>
              <w:spacing w:after="0"/>
              <w:rPr>
                <w:sz w:val="24"/>
                <w:szCs w:val="24"/>
                <w:color w:val="auto"/>
              </w:rPr>
            </w:pPr>
          </w:p>
        </w:tc>
        <w:tc>
          <w:tcPr>
            <w:tcW w:w="6240" w:type="dxa"/>
            <w:vAlign w:val="bottom"/>
            <w:tcBorders>
              <w:bottom w:val="single" w:sz="8" w:color="CCEEFF"/>
            </w:tcBorders>
            <w:gridSpan w:val="4"/>
          </w:tcPr>
          <w:p>
            <w:pPr>
              <w:ind w:left="320"/>
              <w:spacing w:after="0"/>
              <w:rPr>
                <w:sz w:val="20"/>
                <w:szCs w:val="20"/>
                <w:color w:val="auto"/>
              </w:rPr>
            </w:pPr>
            <w:r>
              <w:rPr>
                <w:rFonts w:ascii="Arial" w:cs="Arial" w:eastAsia="Arial" w:hAnsi="Arial"/>
                <w:sz w:val="18"/>
                <w:szCs w:val="18"/>
                <w:color w:val="auto"/>
              </w:rPr>
              <w:t>FFO excluding early extinguishment of debt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84,467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76,368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249,852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89"/>
              </w:rPr>
              <w:t>224,949</w:t>
            </w:r>
          </w:p>
        </w:tc>
      </w:tr>
      <w:tr>
        <w:trPr>
          <w:trHeight w:val="251"/>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68,649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65,933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68,179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65,568</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64"/>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FFO per diluted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3.38</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64"/>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FFO excluding early extinguishment of debt, per diluted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3.43</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Summary of Capital Expenditures</w:t>
            </w:r>
          </w:p>
        </w:tc>
        <w:tc>
          <w:tcPr>
            <w:tcW w:w="378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Non-maintenance capital expenditures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70,270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76,386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222,558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199,970</w:t>
            </w:r>
          </w:p>
        </w:tc>
      </w:tr>
      <w:tr>
        <w:trPr>
          <w:trHeight w:val="243"/>
        </w:trPr>
        <w:tc>
          <w:tcPr>
            <w:tcW w:w="20" w:type="dxa"/>
            <w:vAlign w:val="bottom"/>
          </w:tcPr>
          <w:p>
            <w:pPr>
              <w:spacing w:after="0"/>
              <w:rPr>
                <w:sz w:val="21"/>
                <w:szCs w:val="21"/>
                <w:color w:val="auto"/>
              </w:rPr>
            </w:pPr>
          </w:p>
        </w:tc>
        <w:tc>
          <w:tcPr>
            <w:tcW w:w="6240" w:type="dxa"/>
            <w:vAlign w:val="bottom"/>
            <w:gridSpan w:val="4"/>
          </w:tcPr>
          <w:p>
            <w:pPr>
              <w:ind w:left="360"/>
              <w:spacing w:after="0"/>
              <w:rPr>
                <w:sz w:val="20"/>
                <w:szCs w:val="20"/>
                <w:color w:val="auto"/>
              </w:rPr>
            </w:pPr>
            <w:r>
              <w:rPr>
                <w:rFonts w:ascii="Arial" w:cs="Arial" w:eastAsia="Arial" w:hAnsi="Arial"/>
                <w:sz w:val="18"/>
                <w:szCs w:val="18"/>
                <w:color w:val="auto"/>
              </w:rPr>
              <w:t>Tenant improvements and incentives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8,878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21,576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20,750</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non-maintenance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77,623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85,264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244,134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220,720</w:t>
            </w:r>
          </w:p>
        </w:tc>
      </w:tr>
      <w:tr>
        <w:trPr>
          <w:trHeight w:val="243"/>
        </w:trPr>
        <w:tc>
          <w:tcPr>
            <w:tcW w:w="20" w:type="dxa"/>
            <w:vAlign w:val="bottom"/>
          </w:tcPr>
          <w:p>
            <w:pPr>
              <w:spacing w:after="0"/>
              <w:rPr>
                <w:sz w:val="21"/>
                <w:szCs w:val="21"/>
                <w:color w:val="auto"/>
              </w:rPr>
            </w:pPr>
          </w:p>
        </w:tc>
        <w:tc>
          <w:tcPr>
            <w:tcW w:w="6240" w:type="dxa"/>
            <w:vAlign w:val="bottom"/>
            <w:gridSpan w:val="4"/>
          </w:tcPr>
          <w:p>
            <w:pPr>
              <w:ind w:left="36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4,372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5,555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9,527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11,503</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81,995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90,819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253,661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232,223</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Dividends and Payout Ratios</w:t>
            </w:r>
          </w:p>
        </w:tc>
        <w:tc>
          <w:tcPr>
            <w:tcW w:w="4140" w:type="dxa"/>
            <w:vAlign w:val="bottom"/>
            <w:tcBorders>
              <w:bottom w:val="single" w:sz="8" w:color="CCEEFF"/>
            </w:tcBorders>
            <w:gridSpan w:val="3"/>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Regular common dividends declared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59,268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51,485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164,506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w w:val="89"/>
              </w:rPr>
              <w:t>146,940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Dividend payout ratio as a percentage of FFO</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69,046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66,322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118.46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101.45</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8,179,189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7"/>
              </w:rPr>
              <w:t>6,728,367</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8,189,189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w w:val="97"/>
              </w:rPr>
              <w:t>6,738,367</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2,364,936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w w:val="97"/>
              </w:rPr>
              <w:t>2,306,198</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10,554,125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7"/>
              </w:rPr>
              <w:t>9,044,565</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 at the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&lt;1%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include 917,255 and 285,722 operating partnership units outstanding at September 30, 2014 and 2013,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 w:hanging="652"/>
        <w:spacing w:after="0" w:line="25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 and discounts, from our consolidated balance sheet. It does not include $10.3 million and $17.1 million at September 30, 2014 and 2013 respectively, which is the Trust's 30% share of the total mortgages payable of $34.4 million and $57.0 million at September 30, 2014 and 2013, respectively, of the partnership with a discretionary fund created and advised by ING Clarion Partners.</w:t>
      </w:r>
    </w:p>
    <w:p>
      <w:pPr>
        <w:spacing w:after="0" w:line="25"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9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r>
      <w:tr>
        <w:trPr>
          <w:trHeight w:val="250"/>
        </w:trPr>
        <w:tc>
          <w:tcPr>
            <w:tcW w:w="6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118,412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111,928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w w:val="86"/>
              </w:rPr>
              <w:t>351,317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334,628</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21,525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32,842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30,364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w w:val="86"/>
              </w:rPr>
              <w:t>102,459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89,850</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2,908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8,387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8,097</w:t>
            </w: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166,112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154,308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86"/>
              </w:rPr>
              <w:t>494,688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460,136</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4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$1.3 million and $1.1 million for the three months ended September 30, 2014 and 2013, and $3.5 million and $3.7 million for the nine months ended September 30, 2014 and 2013, respectively, to recognize minimum rents on a straight-line basis. In addition, minimum rents include $0.6 million and $0.8 million for the three months ended September 30, 2014 and 2013, and $1.8 million and $2.3 million for the nine months ended September 30, 2014 and 2013,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rPr>
              <w:t>As of September 30, 2014</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Stated interest rate</w:t>
            </w: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3"/>
              </w:rPr>
              <w:t>Balance</w:t>
            </w:r>
          </w:p>
        </w:tc>
        <w:tc>
          <w:tcPr>
            <w:tcW w:w="34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160" w:type="dxa"/>
            <w:vAlign w:val="bottom"/>
            <w:tcBorders>
              <w:bottom w:val="single" w:sz="8" w:color="CCEEFF"/>
            </w:tcBorders>
            <w:gridSpan w:val="3"/>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53,064</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Barracks Road</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36,265</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Hauppauge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13,671</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Lawrence Park</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25,704</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Wildwood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22,594</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Wynnewood</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26,196</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Brick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26,630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East Bay Bridge</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3/1/2016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61,224</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8/5/2017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The Grove at Shrewsbury (East)</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10/1/2017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44,751</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Grove at Shrewsbury (West)</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3/1/2018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11,295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Rollingwood Apartments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5/1/2019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22,230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29th Place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1/31/2021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4,987</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Montrose Crossing</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76,241</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Chelsea</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7,123</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618,475</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Net unamortized premium</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11,786</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630,261</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5.36%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Term loan (2)</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11/21/2018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center"/>
              <w:ind w:right="219"/>
              <w:spacing w:after="0"/>
              <w:rPr>
                <w:sz w:val="20"/>
                <w:szCs w:val="20"/>
                <w:color w:val="auto"/>
              </w:rPr>
            </w:pPr>
            <w:r>
              <w:rPr>
                <w:rFonts w:ascii="Arial" w:cs="Arial" w:eastAsia="Arial" w:hAnsi="Arial"/>
                <w:sz w:val="16"/>
                <w:szCs w:val="16"/>
                <w:color w:val="auto"/>
                <w:w w:val="96"/>
              </w:rPr>
              <w:t>LIBOR + 0.90%</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Various</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6,156</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Escondido (Municipal bonds) (3)</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10/1/2016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0.07%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Revolving credit facility (4)</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4/21/2017</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3"/>
            <w:shd w:val="clear" w:color="auto" w:fill="CCEEFF"/>
          </w:tcPr>
          <w:p>
            <w:pPr>
              <w:jc w:val="center"/>
              <w:ind w:right="219"/>
              <w:spacing w:after="0"/>
              <w:rPr>
                <w:sz w:val="20"/>
                <w:szCs w:val="20"/>
                <w:color w:val="auto"/>
              </w:rPr>
            </w:pPr>
            <w:r>
              <w:rPr>
                <w:rFonts w:ascii="Arial" w:cs="Arial" w:eastAsia="Arial" w:hAnsi="Arial"/>
                <w:sz w:val="16"/>
                <w:szCs w:val="16"/>
                <w:color w:val="auto"/>
                <w:w w:val="96"/>
              </w:rPr>
              <w:t>LIBOR + 0.90%</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notes payable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301,556</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2.89%</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Senior notes and debentures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5.65%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6/1/2016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6.20%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5.90%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4/1/2020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2.75%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6/1/2023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7.48% debentures</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8/15/2026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1,369,200</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Net unamortized discount</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(7,734)</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senior notes and debentures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1,361,466</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4.55%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Capital lease obligations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71,653</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8.04%</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60" w:type="dxa"/>
            <w:vAlign w:val="bottom"/>
            <w:tcBorders>
              <w:bottom w:val="single" w:sz="8" w:color="CCEEFF"/>
            </w:tcBorders>
            <w:gridSpan w:val="6"/>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gridSpan w:val="2"/>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2,364,936</w:t>
            </w:r>
          </w:p>
        </w:tc>
        <w:tc>
          <w:tcPr>
            <w:tcW w:w="3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Total fixed rate debt and capital lease obligations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2,344,536</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4.69%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Total variable rate debt</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20,400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1.16%</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244"/>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2,364,936</w:t>
            </w:r>
          </w:p>
        </w:tc>
        <w:tc>
          <w:tcPr>
            <w:tcW w:w="34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4.66%</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60" w:top="747"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368" w:right="1440" w:bottom="1440" w:gutter="0" w:footer="0" w:header="0"/>
        </w:sectPr>
      </w:pPr>
    </w:p>
    <w:bookmarkStart w:id="16" w:name="page17"/>
    <w:bookmarkEnd w:id="16"/>
    <w:p>
      <w:pPr>
        <w:jc w:val="center"/>
        <w:ind w:left="7960"/>
        <w:spacing w:after="0"/>
        <w:rPr>
          <w:sz w:val="20"/>
          <w:szCs w:val="20"/>
          <w:color w:val="auto"/>
        </w:rPr>
      </w:pPr>
      <w:r>
        <w:rPr>
          <w:rFonts w:ascii="Arial" w:cs="Arial" w:eastAsia="Arial" w:hAnsi="Arial"/>
          <w:sz w:val="13"/>
          <w:szCs w:val="13"/>
          <w:b w:val="1"/>
          <w:bCs w:val="1"/>
          <w:color w:val="auto"/>
        </w:rPr>
        <w:t>Three Months Ended</w:t>
      </w:r>
    </w:p>
    <w:p>
      <w:pPr>
        <w:spacing w:after="0" w:line="121"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23495</wp:posOffset>
            </wp:positionV>
            <wp:extent cx="1183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89" w:lineRule="exact"/>
        <w:rPr>
          <w:sz w:val="20"/>
          <w:szCs w:val="20"/>
          <w:color w:val="auto"/>
        </w:rPr>
      </w:pPr>
    </w:p>
    <w:p>
      <w:pPr>
        <w:ind w:left="8000"/>
        <w:spacing w:after="0"/>
        <w:tabs>
          <w:tab w:leader="none" w:pos="89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Arial" w:cs="Arial" w:eastAsia="Arial" w:hAnsi="Arial"/>
          <w:sz w:val="13"/>
          <w:szCs w:val="13"/>
          <w:b w:val="1"/>
          <w:bCs w:val="1"/>
          <w:color w:val="auto"/>
        </w:rPr>
        <w:t>Nine Months Ended</w:t>
      </w:r>
    </w:p>
    <w:p>
      <w:pPr>
        <w:spacing w:after="0" w:line="12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23495</wp:posOffset>
            </wp:positionV>
            <wp:extent cx="1132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5" w:lineRule="exact"/>
        <w:rPr>
          <w:sz w:val="20"/>
          <w:szCs w:val="20"/>
          <w:color w:val="auto"/>
        </w:rPr>
      </w:pPr>
    </w:p>
    <w:p>
      <w:pPr>
        <w:sectPr>
          <w:pgSz w:w="11900" w:h="16838" w:orient="portrait"/>
          <w:cols w:equalWidth="0" w:num="2">
            <w:col w:w="9260" w:space="660"/>
            <w:col w:w="1500"/>
          </w:cols>
          <w:pgMar w:left="240" w:top="806" w:right="239" w:bottom="1440" w:gutter="0" w:footer="0" w:header="0"/>
        </w:sectPr>
      </w:pPr>
    </w:p>
    <w:tbl>
      <w:tblPr>
        <w:tblLayout w:type="fixed"/>
        <w:tblInd w:w="0" w:type="dxa"/>
        <w:tblCellMar>
          <w:top w:w="0" w:type="dxa"/>
          <w:left w:w="0" w:type="dxa"/>
          <w:bottom w:w="0" w:type="dxa"/>
          <w:right w:w="0" w:type="dxa"/>
        </w:tblCellMar>
      </w:tblPr>
      <w:tr>
        <w:trPr>
          <w:trHeight w:val="208"/>
        </w:trPr>
        <w:tc>
          <w:tcPr>
            <w:tcW w:w="76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Operational Statistics</w:t>
            </w: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62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Excluding early extinguishment of 5.40% senior notes in 2013:</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(7) (8)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w:t>
            </w: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(7) (8)</w:t>
            </w:r>
          </w:p>
        </w:tc>
        <w:tc>
          <w:tcPr>
            <w:tcW w:w="660" w:type="dxa"/>
            <w:vAlign w:val="bottom"/>
          </w:tcPr>
          <w:p>
            <w:pPr>
              <w:jc w:val="right"/>
              <w:spacing w:after="0"/>
              <w:rPr>
                <w:sz w:val="20"/>
                <w:szCs w:val="20"/>
                <w:color w:val="auto"/>
              </w:rPr>
            </w:pPr>
            <w:r>
              <w:rPr>
                <w:rFonts w:ascii="Arial" w:cs="Arial" w:eastAsia="Arial" w:hAnsi="Arial"/>
                <w:sz w:val="16"/>
                <w:szCs w:val="16"/>
                <w:color w:val="auto"/>
              </w:rPr>
              <w:t>3.86</w:t>
            </w:r>
          </w:p>
        </w:tc>
        <w:tc>
          <w:tcPr>
            <w:tcW w:w="360" w:type="dxa"/>
            <w:vAlign w:val="bottom"/>
          </w:tcPr>
          <w:p>
            <w:pPr>
              <w:ind w:left="80"/>
              <w:spacing w:after="0"/>
              <w:rPr>
                <w:sz w:val="20"/>
                <w:szCs w:val="20"/>
                <w:color w:val="auto"/>
              </w:rPr>
            </w:pPr>
            <w:r>
              <w:rPr>
                <w:rFonts w:ascii="Arial" w:cs="Arial" w:eastAsia="Arial" w:hAnsi="Arial"/>
                <w:sz w:val="16"/>
                <w:szCs w:val="16"/>
                <w:color w:val="auto"/>
              </w:rPr>
              <w:t>x</w:t>
            </w:r>
          </w:p>
        </w:tc>
        <w:tc>
          <w:tcPr>
            <w:tcW w:w="580" w:type="dxa"/>
            <w:vAlign w:val="bottom"/>
          </w:tcPr>
          <w:p>
            <w:pPr>
              <w:jc w:val="right"/>
              <w:spacing w:after="0"/>
              <w:rPr>
                <w:sz w:val="20"/>
                <w:szCs w:val="20"/>
                <w:color w:val="auto"/>
              </w:rPr>
            </w:pPr>
            <w:r>
              <w:rPr>
                <w:rFonts w:ascii="Arial" w:cs="Arial" w:eastAsia="Arial" w:hAnsi="Arial"/>
                <w:sz w:val="16"/>
                <w:szCs w:val="16"/>
                <w:color w:val="auto"/>
              </w:rPr>
              <w:t>3.45</w:t>
            </w:r>
          </w:p>
        </w:tc>
        <w:tc>
          <w:tcPr>
            <w:tcW w:w="380" w:type="dxa"/>
            <w:vAlign w:val="bottom"/>
            <w:gridSpan w:val="2"/>
          </w:tcPr>
          <w:p>
            <w:pPr>
              <w:ind w:left="60"/>
              <w:spacing w:after="0"/>
              <w:rPr>
                <w:sz w:val="20"/>
                <w:szCs w:val="20"/>
                <w:color w:val="auto"/>
              </w:rPr>
            </w:pPr>
            <w:r>
              <w:rPr>
                <w:rFonts w:ascii="Arial" w:cs="Arial" w:eastAsia="Arial" w:hAnsi="Arial"/>
                <w:sz w:val="16"/>
                <w:szCs w:val="16"/>
                <w:color w:val="auto"/>
              </w:rPr>
              <w:t>x</w:t>
            </w:r>
          </w:p>
        </w:tc>
        <w:tc>
          <w:tcPr>
            <w:tcW w:w="640" w:type="dxa"/>
            <w:vAlign w:val="bottom"/>
          </w:tcPr>
          <w:p>
            <w:pPr>
              <w:jc w:val="right"/>
              <w:spacing w:after="0"/>
              <w:rPr>
                <w:sz w:val="20"/>
                <w:szCs w:val="20"/>
                <w:color w:val="auto"/>
              </w:rPr>
            </w:pPr>
            <w:r>
              <w:rPr>
                <w:rFonts w:ascii="Arial" w:cs="Arial" w:eastAsia="Arial" w:hAnsi="Arial"/>
                <w:sz w:val="16"/>
                <w:szCs w:val="16"/>
                <w:color w:val="auto"/>
              </w:rPr>
              <w:t>3.78</w:t>
            </w:r>
          </w:p>
        </w:tc>
        <w:tc>
          <w:tcPr>
            <w:tcW w:w="340" w:type="dxa"/>
            <w:vAlign w:val="bottom"/>
          </w:tcPr>
          <w:p>
            <w:pPr>
              <w:ind w:left="60"/>
              <w:spacing w:after="0"/>
              <w:rPr>
                <w:sz w:val="20"/>
                <w:szCs w:val="20"/>
                <w:color w:val="auto"/>
              </w:rPr>
            </w:pPr>
            <w:r>
              <w:rPr>
                <w:rFonts w:ascii="Arial" w:cs="Arial" w:eastAsia="Arial" w:hAnsi="Arial"/>
                <w:sz w:val="16"/>
                <w:szCs w:val="16"/>
                <w:color w:val="auto"/>
              </w:rPr>
              <w:t>x</w:t>
            </w:r>
          </w:p>
        </w:tc>
        <w:tc>
          <w:tcPr>
            <w:tcW w:w="540" w:type="dxa"/>
            <w:vAlign w:val="bottom"/>
          </w:tcPr>
          <w:p>
            <w:pPr>
              <w:jc w:val="right"/>
              <w:spacing w:after="0"/>
              <w:rPr>
                <w:sz w:val="20"/>
                <w:szCs w:val="20"/>
                <w:color w:val="auto"/>
              </w:rPr>
            </w:pPr>
            <w:r>
              <w:rPr>
                <w:rFonts w:ascii="Arial" w:cs="Arial" w:eastAsia="Arial" w:hAnsi="Arial"/>
                <w:sz w:val="16"/>
                <w:szCs w:val="16"/>
                <w:color w:val="auto"/>
              </w:rPr>
              <w:t>3.39</w:t>
            </w:r>
          </w:p>
        </w:tc>
        <w:tc>
          <w:tcPr>
            <w:tcW w:w="260" w:type="dxa"/>
            <w:vAlign w:val="bottom"/>
          </w:tcPr>
          <w:p>
            <w:pPr>
              <w:ind w:left="8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Including early extinguishment of 5.40% senior notes in 2013:</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(7)</w:t>
            </w:r>
          </w:p>
        </w:tc>
        <w:tc>
          <w:tcPr>
            <w:tcW w:w="660" w:type="dxa"/>
            <w:vAlign w:val="bottom"/>
          </w:tcPr>
          <w:p>
            <w:pPr>
              <w:jc w:val="right"/>
              <w:spacing w:after="0"/>
              <w:rPr>
                <w:sz w:val="20"/>
                <w:szCs w:val="20"/>
                <w:color w:val="auto"/>
              </w:rPr>
            </w:pPr>
            <w:r>
              <w:rPr>
                <w:rFonts w:ascii="Arial" w:cs="Arial" w:eastAsia="Arial" w:hAnsi="Arial"/>
                <w:sz w:val="16"/>
                <w:szCs w:val="16"/>
                <w:color w:val="auto"/>
              </w:rPr>
              <w:t>4.02</w:t>
            </w:r>
          </w:p>
        </w:tc>
        <w:tc>
          <w:tcPr>
            <w:tcW w:w="360" w:type="dxa"/>
            <w:vAlign w:val="bottom"/>
          </w:tcPr>
          <w:p>
            <w:pPr>
              <w:ind w:left="80"/>
              <w:spacing w:after="0"/>
              <w:rPr>
                <w:sz w:val="20"/>
                <w:szCs w:val="20"/>
                <w:color w:val="auto"/>
              </w:rPr>
            </w:pPr>
            <w:r>
              <w:rPr>
                <w:rFonts w:ascii="Arial" w:cs="Arial" w:eastAsia="Arial" w:hAnsi="Arial"/>
                <w:sz w:val="16"/>
                <w:szCs w:val="16"/>
                <w:color w:val="auto"/>
              </w:rPr>
              <w:t>x</w:t>
            </w:r>
          </w:p>
        </w:tc>
        <w:tc>
          <w:tcPr>
            <w:tcW w:w="580" w:type="dxa"/>
            <w:vAlign w:val="bottom"/>
          </w:tcPr>
          <w:p>
            <w:pPr>
              <w:jc w:val="right"/>
              <w:spacing w:after="0"/>
              <w:rPr>
                <w:sz w:val="20"/>
                <w:szCs w:val="20"/>
                <w:color w:val="auto"/>
              </w:rPr>
            </w:pPr>
            <w:r>
              <w:rPr>
                <w:rFonts w:ascii="Arial" w:cs="Arial" w:eastAsia="Arial" w:hAnsi="Arial"/>
                <w:sz w:val="16"/>
                <w:szCs w:val="16"/>
                <w:color w:val="auto"/>
              </w:rPr>
              <w:t>4.23</w:t>
            </w:r>
          </w:p>
        </w:tc>
        <w:tc>
          <w:tcPr>
            <w:tcW w:w="380" w:type="dxa"/>
            <w:vAlign w:val="bottom"/>
            <w:gridSpan w:val="2"/>
          </w:tcPr>
          <w:p>
            <w:pPr>
              <w:ind w:left="60"/>
              <w:spacing w:after="0"/>
              <w:rPr>
                <w:sz w:val="20"/>
                <w:szCs w:val="20"/>
                <w:color w:val="auto"/>
              </w:rPr>
            </w:pPr>
            <w:r>
              <w:rPr>
                <w:rFonts w:ascii="Arial" w:cs="Arial" w:eastAsia="Arial" w:hAnsi="Arial"/>
                <w:sz w:val="16"/>
                <w:szCs w:val="16"/>
                <w:color w:val="auto"/>
              </w:rPr>
              <w:t>x</w:t>
            </w:r>
          </w:p>
        </w:tc>
        <w:tc>
          <w:tcPr>
            <w:tcW w:w="640" w:type="dxa"/>
            <w:vAlign w:val="bottom"/>
          </w:tcPr>
          <w:p>
            <w:pPr>
              <w:jc w:val="right"/>
              <w:spacing w:after="0"/>
              <w:rPr>
                <w:sz w:val="20"/>
                <w:szCs w:val="20"/>
                <w:color w:val="auto"/>
              </w:rPr>
            </w:pPr>
            <w:r>
              <w:rPr>
                <w:rFonts w:ascii="Arial" w:cs="Arial" w:eastAsia="Arial" w:hAnsi="Arial"/>
                <w:sz w:val="16"/>
                <w:szCs w:val="16"/>
                <w:color w:val="auto"/>
              </w:rPr>
              <w:t>3.83</w:t>
            </w:r>
          </w:p>
        </w:tc>
        <w:tc>
          <w:tcPr>
            <w:tcW w:w="340" w:type="dxa"/>
            <w:vAlign w:val="bottom"/>
          </w:tcPr>
          <w:p>
            <w:pPr>
              <w:ind w:left="60"/>
              <w:spacing w:after="0"/>
              <w:rPr>
                <w:sz w:val="20"/>
                <w:szCs w:val="20"/>
                <w:color w:val="auto"/>
              </w:rPr>
            </w:pPr>
            <w:r>
              <w:rPr>
                <w:rFonts w:ascii="Arial" w:cs="Arial" w:eastAsia="Arial" w:hAnsi="Arial"/>
                <w:sz w:val="16"/>
                <w:szCs w:val="16"/>
                <w:color w:val="auto"/>
              </w:rPr>
              <w:t>x</w:t>
            </w:r>
          </w:p>
        </w:tc>
        <w:tc>
          <w:tcPr>
            <w:tcW w:w="540" w:type="dxa"/>
            <w:vAlign w:val="bottom"/>
          </w:tcPr>
          <w:p>
            <w:pPr>
              <w:jc w:val="right"/>
              <w:spacing w:after="0"/>
              <w:rPr>
                <w:sz w:val="20"/>
                <w:szCs w:val="20"/>
                <w:color w:val="auto"/>
              </w:rPr>
            </w:pPr>
            <w:r>
              <w:rPr>
                <w:rFonts w:ascii="Arial" w:cs="Arial" w:eastAsia="Arial" w:hAnsi="Arial"/>
                <w:sz w:val="16"/>
                <w:szCs w:val="16"/>
                <w:color w:val="auto"/>
              </w:rPr>
              <w:t>3.58</w:t>
            </w:r>
          </w:p>
        </w:tc>
        <w:tc>
          <w:tcPr>
            <w:tcW w:w="260" w:type="dxa"/>
            <w:vAlign w:val="bottom"/>
          </w:tcPr>
          <w:p>
            <w:pPr>
              <w:ind w:left="8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34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Mortgages payable do not include our 30% share ($10.3 million) of the $34.4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1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11"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right="64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nine months ended September 30, 2014 was $58.5 million, and the weighted average interest rate on borrowings under our revolving credit facility, before amortization of debt fees, was 1.07%.</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6.</w:t>
      </w:r>
    </w:p>
    <w:p>
      <w:pPr>
        <w:spacing w:after="0" w:line="55" w:lineRule="exact"/>
        <w:rPr>
          <w:rFonts w:ascii="Arial" w:cs="Arial" w:eastAsia="Arial" w:hAnsi="Arial"/>
          <w:sz w:val="14"/>
          <w:szCs w:val="14"/>
          <w:color w:val="auto"/>
        </w:rPr>
      </w:pPr>
    </w:p>
    <w:p>
      <w:pPr>
        <w:ind w:left="660" w:right="12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a balance of $11.0 million on September 30, 2014. In addition, the weighted average effective interest rate is calculated using the fixed rate on our term loan of 2.62% as the result of the interest rate swap agreements discussed in Note 2. The term loan is included in fixed rate debt.</w:t>
      </w:r>
    </w:p>
    <w:p>
      <w:pPr>
        <w:spacing w:after="0" w:line="23" w:lineRule="exact"/>
        <w:rPr>
          <w:rFonts w:ascii="Arial" w:cs="Arial" w:eastAsia="Arial" w:hAnsi="Arial"/>
          <w:sz w:val="14"/>
          <w:szCs w:val="14"/>
          <w:color w:val="auto"/>
        </w:rPr>
      </w:pPr>
    </w:p>
    <w:p>
      <w:pPr>
        <w:jc w:val="both"/>
        <w:ind w:left="660" w:right="4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 includes a $4.4 million gain on sale for the three and nine months ended September 30, 2014, and a $23.9 million and $28.9 million gain on sale for the three and nine months ended September 30, 2013, respectively. Adjusted EBITDA is reconciled to net income in the Glossary of Terms.</w:t>
      </w:r>
    </w:p>
    <w:p>
      <w:pPr>
        <w:spacing w:after="0" w:line="23" w:lineRule="exact"/>
        <w:rPr>
          <w:rFonts w:ascii="Arial" w:cs="Arial" w:eastAsia="Arial" w:hAnsi="Arial"/>
          <w:sz w:val="14"/>
          <w:szCs w:val="14"/>
          <w:color w:val="auto"/>
        </w:rPr>
      </w:pPr>
    </w:p>
    <w:p>
      <w:pPr>
        <w:ind w:left="660" w:right="2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exclude the $3.4 million of early extinguishment of debt charge for the nine months ended September 30, 2013, related to the make-whole premium paid as part of the early redemption of our 5.40% senior notes and the write-off of related unamortized debt fees.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type w:val="continuous"/>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2,714</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2,714</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9,197</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198,391</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207,588</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8.9%</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194,013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198,506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4,196</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427,732</w:t>
            </w:r>
          </w:p>
        </w:tc>
        <w:tc>
          <w:tcPr>
            <w:tcW w:w="340" w:type="dxa"/>
            <w:vAlign w:val="bottom"/>
          </w:tcPr>
          <w:p>
            <w:pPr>
              <w:jc w:val="right"/>
              <w:ind w:right="59"/>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431,928</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35.6%</w:t>
            </w: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3,366</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285,502</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288,868</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3,172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23,332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48.8%</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153,176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3,099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3,625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6,724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55.6%</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2022</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313,618</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314,844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2023</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1,283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330,010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331,293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83.0%</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21,210</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380,701</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401,911</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57,132</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2,303,752</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2,360,884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12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$600.0 million unsecured revolving credit facility matures on April 21, 2017 subject to a one-year extension at our option. As of September 30, 2014, there was $11.0 million outstanding on our revolving credit facility.</w:t>
      </w:r>
    </w:p>
    <w:p>
      <w:pPr>
        <w:spacing w:after="0" w:line="10"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and senior notes as of September 30, 2014.</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2014</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Projected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8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Property</w:t>
            </w:r>
          </w:p>
        </w:tc>
        <w:tc>
          <w:tcPr>
            <w:tcW w:w="13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Location</w:t>
            </w:r>
          </w:p>
        </w:tc>
        <w:tc>
          <w:tcPr>
            <w:tcW w:w="480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Opportunity</w:t>
            </w: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48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ROI (2)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Santana Row - Lot 11</w:t>
            </w:r>
          </w:p>
        </w:tc>
        <w:tc>
          <w:tcPr>
            <w:tcW w:w="134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San Jose, CA</w:t>
            </w:r>
          </w:p>
        </w:tc>
        <w:tc>
          <w:tcPr>
            <w:tcW w:w="48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Addition of 6-story building with 225,500 square feet of office space, 1,500</w:t>
            </w:r>
          </w:p>
        </w:tc>
        <w:tc>
          <w:tcPr>
            <w:tcW w:w="8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7.5% -</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$110 -</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$8</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square feet of retail space, and 670 parking spaces</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40"/>
              <w:spacing w:after="0"/>
              <w:rPr>
                <w:sz w:val="20"/>
                <w:szCs w:val="20"/>
                <w:color w:val="auto"/>
              </w:rPr>
            </w:pPr>
            <w:r>
              <w:rPr>
                <w:rFonts w:ascii="Arial" w:cs="Arial" w:eastAsia="Arial" w:hAnsi="Arial"/>
                <w:sz w:val="14"/>
                <w:szCs w:val="14"/>
                <w:color w:val="auto"/>
              </w:rPr>
              <w:t>The Point</w:t>
            </w:r>
          </w:p>
        </w:tc>
        <w:tc>
          <w:tcPr>
            <w:tcW w:w="1340" w:type="dxa"/>
            <w:vAlign w:val="bottom"/>
          </w:tcPr>
          <w:p>
            <w:pPr>
              <w:ind w:left="240"/>
              <w:spacing w:after="0"/>
              <w:rPr>
                <w:sz w:val="20"/>
                <w:szCs w:val="20"/>
                <w:color w:val="auto"/>
              </w:rPr>
            </w:pPr>
            <w:r>
              <w:rPr>
                <w:rFonts w:ascii="Arial" w:cs="Arial" w:eastAsia="Arial" w:hAnsi="Arial"/>
                <w:sz w:val="14"/>
                <w:szCs w:val="14"/>
                <w:color w:val="auto"/>
              </w:rPr>
              <w:t>El Segundo, CA</w:t>
            </w:r>
          </w:p>
        </w:tc>
        <w:tc>
          <w:tcPr>
            <w:tcW w:w="4800" w:type="dxa"/>
            <w:vAlign w:val="bottom"/>
          </w:tcPr>
          <w:p>
            <w:pPr>
              <w:ind w:left="40"/>
              <w:spacing w:after="0"/>
              <w:rPr>
                <w:sz w:val="20"/>
                <w:szCs w:val="20"/>
                <w:color w:val="auto"/>
              </w:rPr>
            </w:pPr>
            <w:r>
              <w:rPr>
                <w:rFonts w:ascii="Arial" w:cs="Arial" w:eastAsia="Arial" w:hAnsi="Arial"/>
                <w:sz w:val="14"/>
                <w:szCs w:val="14"/>
                <w:color w:val="auto"/>
                <w:w w:val="98"/>
              </w:rPr>
              <w:t>Addition of 90,000 square feet of retail, and 25,000 square feet of office space</w:t>
            </w: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Santana Row - Lot 8B</w:t>
            </w:r>
          </w:p>
        </w:tc>
        <w:tc>
          <w:tcPr>
            <w:tcW w:w="134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San Jose, CA</w:t>
            </w:r>
          </w:p>
        </w:tc>
        <w:tc>
          <w:tcPr>
            <w:tcW w:w="48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9"/>
              </w:rPr>
              <w:t>Addition of a 5-story rental apartment building, which includes 212 residential</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$77</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$75</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units and associated parking</w:t>
            </w: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40"/>
              <w:spacing w:after="0"/>
              <w:rPr>
                <w:sz w:val="20"/>
                <w:szCs w:val="20"/>
                <w:color w:val="auto"/>
              </w:rPr>
            </w:pPr>
            <w:r>
              <w:rPr>
                <w:rFonts w:ascii="Arial" w:cs="Arial" w:eastAsia="Arial" w:hAnsi="Arial"/>
                <w:sz w:val="14"/>
                <w:szCs w:val="14"/>
                <w:color w:val="auto"/>
              </w:rPr>
              <w:t>Westgate Center</w:t>
            </w:r>
          </w:p>
        </w:tc>
        <w:tc>
          <w:tcPr>
            <w:tcW w:w="1340" w:type="dxa"/>
            <w:vAlign w:val="bottom"/>
          </w:tcPr>
          <w:p>
            <w:pPr>
              <w:ind w:left="240"/>
              <w:spacing w:after="0"/>
              <w:rPr>
                <w:sz w:val="20"/>
                <w:szCs w:val="20"/>
                <w:color w:val="auto"/>
              </w:rPr>
            </w:pPr>
            <w:r>
              <w:rPr>
                <w:rFonts w:ascii="Arial" w:cs="Arial" w:eastAsia="Arial" w:hAnsi="Arial"/>
                <w:sz w:val="14"/>
                <w:szCs w:val="14"/>
                <w:color w:val="auto"/>
              </w:rPr>
              <w:t>San Jose, CA</w:t>
            </w:r>
          </w:p>
        </w:tc>
        <w:tc>
          <w:tcPr>
            <w:tcW w:w="4800" w:type="dxa"/>
            <w:vAlign w:val="bottom"/>
          </w:tcPr>
          <w:p>
            <w:pPr>
              <w:ind w:left="40"/>
              <w:spacing w:after="0"/>
              <w:rPr>
                <w:sz w:val="20"/>
                <w:szCs w:val="20"/>
                <w:color w:val="auto"/>
              </w:rPr>
            </w:pPr>
            <w:r>
              <w:rPr>
                <w:rFonts w:ascii="Arial" w:cs="Arial" w:eastAsia="Arial" w:hAnsi="Arial"/>
                <w:sz w:val="14"/>
                <w:szCs w:val="14"/>
                <w:color w:val="auto"/>
              </w:rPr>
              <w:t>Façade and interior mall renovation, addition of food court and pad site</w:t>
            </w: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2014/2015</w:t>
            </w: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Tower Shops</w:t>
            </w:r>
          </w:p>
        </w:tc>
        <w:tc>
          <w:tcPr>
            <w:tcW w:w="1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Davie, FL</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 of 50,000 square foot pad building</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8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48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40"/>
              <w:spacing w:after="0"/>
              <w:rPr>
                <w:sz w:val="20"/>
                <w:szCs w:val="20"/>
                <w:color w:val="auto"/>
              </w:rPr>
            </w:pPr>
            <w:r>
              <w:rPr>
                <w:rFonts w:ascii="Arial" w:cs="Arial" w:eastAsia="Arial" w:hAnsi="Arial"/>
                <w:sz w:val="14"/>
                <w:szCs w:val="14"/>
                <w:color w:val="auto"/>
              </w:rPr>
              <w:t>Congressional Plaza</w:t>
            </w:r>
          </w:p>
        </w:tc>
        <w:tc>
          <w:tcPr>
            <w:tcW w:w="1340" w:type="dxa"/>
            <w:vAlign w:val="bottom"/>
          </w:tcPr>
          <w:p>
            <w:pPr>
              <w:ind w:left="240"/>
              <w:spacing w:after="0"/>
              <w:rPr>
                <w:sz w:val="20"/>
                <w:szCs w:val="20"/>
                <w:color w:val="auto"/>
              </w:rPr>
            </w:pPr>
            <w:r>
              <w:rPr>
                <w:rFonts w:ascii="Arial" w:cs="Arial" w:eastAsia="Arial" w:hAnsi="Arial"/>
                <w:sz w:val="14"/>
                <w:szCs w:val="14"/>
                <w:color w:val="auto"/>
              </w:rPr>
              <w:t>Rockville, MD</w:t>
            </w:r>
          </w:p>
        </w:tc>
        <w:tc>
          <w:tcPr>
            <w:tcW w:w="4800" w:type="dxa"/>
            <w:vAlign w:val="bottom"/>
          </w:tcPr>
          <w:p>
            <w:pPr>
              <w:ind w:left="40"/>
              <w:spacing w:after="0"/>
              <w:rPr>
                <w:sz w:val="20"/>
                <w:szCs w:val="20"/>
                <w:color w:val="auto"/>
              </w:rPr>
            </w:pPr>
            <w:r>
              <w:rPr>
                <w:rFonts w:ascii="Arial" w:cs="Arial" w:eastAsia="Arial" w:hAnsi="Arial"/>
                <w:sz w:val="14"/>
                <w:szCs w:val="14"/>
                <w:color w:val="auto"/>
              </w:rPr>
              <w:t>New 48 unit rental apartment building</w:t>
            </w: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Willow Lawn</w:t>
            </w:r>
          </w:p>
        </w:tc>
        <w:tc>
          <w:tcPr>
            <w:tcW w:w="134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Richmond, VA</w:t>
            </w:r>
          </w:p>
        </w:tc>
        <w:tc>
          <w:tcPr>
            <w:tcW w:w="48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7"/>
              </w:rPr>
              <w:t>Demo interior mall, relocate mall tenants, construct new exterior GLA, and gas</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$14</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$10</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2014/2015</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station</w:t>
            </w: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60" w:type="dxa"/>
            <w:vAlign w:val="bottom"/>
          </w:tcPr>
          <w:p>
            <w:pPr>
              <w:ind w:left="40"/>
              <w:spacing w:after="0" w:line="157" w:lineRule="exact"/>
              <w:rPr>
                <w:sz w:val="20"/>
                <w:szCs w:val="20"/>
                <w:color w:val="auto"/>
              </w:rPr>
            </w:pPr>
            <w:r>
              <w:rPr>
                <w:rFonts w:ascii="Arial" w:cs="Arial" w:eastAsia="Arial" w:hAnsi="Arial"/>
                <w:sz w:val="14"/>
                <w:szCs w:val="14"/>
                <w:color w:val="auto"/>
              </w:rPr>
              <w:t>Mercer Mall</w:t>
            </w:r>
          </w:p>
        </w:tc>
        <w:tc>
          <w:tcPr>
            <w:tcW w:w="1340" w:type="dxa"/>
            <w:vAlign w:val="bottom"/>
          </w:tcPr>
          <w:p>
            <w:pPr>
              <w:ind w:left="240"/>
              <w:spacing w:after="0" w:line="157" w:lineRule="exact"/>
              <w:rPr>
                <w:sz w:val="20"/>
                <w:szCs w:val="20"/>
                <w:color w:val="auto"/>
              </w:rPr>
            </w:pPr>
            <w:r>
              <w:rPr>
                <w:rFonts w:ascii="Arial" w:cs="Arial" w:eastAsia="Arial" w:hAnsi="Arial"/>
                <w:sz w:val="14"/>
                <w:szCs w:val="14"/>
                <w:color w:val="auto"/>
                <w:w w:val="98"/>
              </w:rPr>
              <w:t>Lawrenceville, NJ</w:t>
            </w:r>
          </w:p>
        </w:tc>
        <w:tc>
          <w:tcPr>
            <w:tcW w:w="4800" w:type="dxa"/>
            <w:vAlign w:val="bottom"/>
          </w:tcPr>
          <w:p>
            <w:pPr>
              <w:ind w:left="40"/>
              <w:spacing w:after="0" w:line="157" w:lineRule="exact"/>
              <w:rPr>
                <w:sz w:val="20"/>
                <w:szCs w:val="20"/>
                <w:color w:val="auto"/>
              </w:rPr>
            </w:pPr>
            <w:r>
              <w:rPr>
                <w:rFonts w:ascii="Arial" w:cs="Arial" w:eastAsia="Arial" w:hAnsi="Arial"/>
                <w:sz w:val="14"/>
                <w:szCs w:val="14"/>
                <w:color w:val="auto"/>
                <w:w w:val="97"/>
              </w:rPr>
              <w:t>Addition of 27,000 square feet of space including new in-line space, addition of</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12%</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bank pad and reconfiguration of existing pad site and anchor box</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Blvd - Petersen</w:t>
            </w:r>
          </w:p>
        </w:tc>
        <w:tc>
          <w:tcPr>
            <w:tcW w:w="1340" w:type="dxa"/>
            <w:vAlign w:val="bottom"/>
            <w:shd w:val="clear" w:color="auto" w:fill="CCEEFF"/>
          </w:tcPr>
          <w:p>
            <w:pPr>
              <w:spacing w:after="0"/>
              <w:rPr>
                <w:sz w:val="14"/>
                <w:szCs w:val="14"/>
                <w:color w:val="auto"/>
              </w:rPr>
            </w:pP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Redevelop/retenant building including conversion of 2nd floor parking to retail</w:t>
            </w:r>
          </w:p>
        </w:tc>
        <w:tc>
          <w:tcPr>
            <w:tcW w:w="8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Building</w:t>
            </w:r>
          </w:p>
        </w:tc>
        <w:tc>
          <w:tcPr>
            <w:tcW w:w="1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Hollywood, CA</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space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57"/>
        </w:trPr>
        <w:tc>
          <w:tcPr>
            <w:tcW w:w="1860" w:type="dxa"/>
            <w:vAlign w:val="bottom"/>
          </w:tcPr>
          <w:p>
            <w:pPr>
              <w:ind w:left="40"/>
              <w:spacing w:after="0" w:line="157" w:lineRule="exact"/>
              <w:rPr>
                <w:sz w:val="20"/>
                <w:szCs w:val="20"/>
                <w:color w:val="auto"/>
              </w:rPr>
            </w:pPr>
            <w:r>
              <w:rPr>
                <w:rFonts w:ascii="Arial" w:cs="Arial" w:eastAsia="Arial" w:hAnsi="Arial"/>
                <w:sz w:val="14"/>
                <w:szCs w:val="14"/>
                <w:color w:val="auto"/>
              </w:rPr>
              <w:t>Quince Orchard</w:t>
            </w:r>
          </w:p>
        </w:tc>
        <w:tc>
          <w:tcPr>
            <w:tcW w:w="1340" w:type="dxa"/>
            <w:vAlign w:val="bottom"/>
          </w:tcPr>
          <w:p>
            <w:pPr>
              <w:ind w:left="240"/>
              <w:spacing w:after="0" w:line="157" w:lineRule="exact"/>
              <w:rPr>
                <w:sz w:val="20"/>
                <w:szCs w:val="20"/>
                <w:color w:val="auto"/>
              </w:rPr>
            </w:pPr>
            <w:r>
              <w:rPr>
                <w:rFonts w:ascii="Arial" w:cs="Arial" w:eastAsia="Arial" w:hAnsi="Arial"/>
                <w:sz w:val="14"/>
                <w:szCs w:val="14"/>
                <w:color w:val="auto"/>
                <w:w w:val="97"/>
              </w:rPr>
              <w:t>Gaithersburg, MD</w:t>
            </w:r>
          </w:p>
        </w:tc>
        <w:tc>
          <w:tcPr>
            <w:tcW w:w="4800" w:type="dxa"/>
            <w:vAlign w:val="bottom"/>
          </w:tcPr>
          <w:p>
            <w:pPr>
              <w:ind w:left="40"/>
              <w:spacing w:after="0" w:line="157" w:lineRule="exact"/>
              <w:rPr>
                <w:sz w:val="20"/>
                <w:szCs w:val="20"/>
                <w:color w:val="auto"/>
              </w:rPr>
            </w:pPr>
            <w:r>
              <w:rPr>
                <w:rFonts w:ascii="Arial" w:cs="Arial" w:eastAsia="Arial" w:hAnsi="Arial"/>
                <w:sz w:val="14"/>
                <w:szCs w:val="14"/>
                <w:color w:val="auto"/>
                <w:w w:val="94"/>
              </w:rPr>
              <w:t>Property repositioning through demo of non-functional small shop space, creation</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23%</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800" w:type="dxa"/>
            <w:vAlign w:val="bottom"/>
          </w:tcPr>
          <w:p>
            <w:pPr>
              <w:ind w:left="40"/>
              <w:spacing w:after="0" w:line="149" w:lineRule="exact"/>
              <w:rPr>
                <w:sz w:val="20"/>
                <w:szCs w:val="20"/>
                <w:color w:val="auto"/>
              </w:rPr>
            </w:pPr>
            <w:r>
              <w:rPr>
                <w:rFonts w:ascii="Arial" w:cs="Arial" w:eastAsia="Arial" w:hAnsi="Arial"/>
                <w:sz w:val="14"/>
                <w:szCs w:val="14"/>
                <w:color w:val="auto"/>
                <w:w w:val="96"/>
              </w:rPr>
              <w:t>of new anchor box, rightsizing of national office products tenant, and creation of</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new visible small shop space</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East Bay Bridge</w:t>
            </w:r>
          </w:p>
        </w:tc>
        <w:tc>
          <w:tcPr>
            <w:tcW w:w="1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Emeryville, CA</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Reconfigure two existing spaces consisting of 48,000 square feet to accommodate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two new tenants, add two new restaurant tenants, and courtyard renovations</w:t>
            </w: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60" w:type="dxa"/>
            <w:vAlign w:val="bottom"/>
          </w:tcPr>
          <w:p>
            <w:pPr>
              <w:ind w:left="40"/>
              <w:spacing w:after="0" w:line="157" w:lineRule="exact"/>
              <w:rPr>
                <w:sz w:val="20"/>
                <w:szCs w:val="20"/>
                <w:color w:val="auto"/>
              </w:rPr>
            </w:pPr>
            <w:r>
              <w:rPr>
                <w:rFonts w:ascii="Arial" w:cs="Arial" w:eastAsia="Arial" w:hAnsi="Arial"/>
                <w:sz w:val="14"/>
                <w:szCs w:val="14"/>
                <w:color w:val="auto"/>
              </w:rPr>
              <w:t>Ellisburg</w:t>
            </w:r>
          </w:p>
        </w:tc>
        <w:tc>
          <w:tcPr>
            <w:tcW w:w="1340" w:type="dxa"/>
            <w:vAlign w:val="bottom"/>
          </w:tcPr>
          <w:p>
            <w:pPr>
              <w:ind w:left="240"/>
              <w:spacing w:after="0" w:line="157" w:lineRule="exact"/>
              <w:rPr>
                <w:sz w:val="20"/>
                <w:szCs w:val="20"/>
                <w:color w:val="auto"/>
              </w:rPr>
            </w:pPr>
            <w:r>
              <w:rPr>
                <w:rFonts w:ascii="Arial" w:cs="Arial" w:eastAsia="Arial" w:hAnsi="Arial"/>
                <w:sz w:val="14"/>
                <w:szCs w:val="14"/>
                <w:color w:val="auto"/>
              </w:rPr>
              <w:t>Cherry Hill, NJ</w:t>
            </w:r>
          </w:p>
        </w:tc>
        <w:tc>
          <w:tcPr>
            <w:tcW w:w="4800" w:type="dxa"/>
            <w:vAlign w:val="bottom"/>
          </w:tcPr>
          <w:p>
            <w:pPr>
              <w:ind w:left="40"/>
              <w:spacing w:after="0" w:line="157" w:lineRule="exact"/>
              <w:rPr>
                <w:sz w:val="20"/>
                <w:szCs w:val="20"/>
                <w:color w:val="auto"/>
              </w:rPr>
            </w:pPr>
            <w:r>
              <w:rPr>
                <w:rFonts w:ascii="Arial" w:cs="Arial" w:eastAsia="Arial" w:hAnsi="Arial"/>
                <w:sz w:val="14"/>
                <w:szCs w:val="14"/>
                <w:color w:val="auto"/>
              </w:rPr>
              <w:t>Property repositioning through retenanting, including new grocer and façade</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18%</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renovation</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Barracks Road</w:t>
            </w:r>
          </w:p>
        </w:tc>
        <w:tc>
          <w:tcPr>
            <w:tcW w:w="1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Charlottesville,</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11,800 square foot multi-tenant pad building</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16"/>
                <w:szCs w:val="16"/>
                <w:color w:val="auto"/>
              </w:rPr>
            </w:pPr>
          </w:p>
        </w:tc>
        <w:tc>
          <w:tcPr>
            <w:tcW w:w="1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VA</w:t>
            </w:r>
          </w:p>
        </w:tc>
        <w:tc>
          <w:tcPr>
            <w:tcW w:w="48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40"/>
              <w:spacing w:after="0"/>
              <w:rPr>
                <w:sz w:val="20"/>
                <w:szCs w:val="20"/>
                <w:color w:val="auto"/>
              </w:rPr>
            </w:pPr>
            <w:r>
              <w:rPr>
                <w:rFonts w:ascii="Arial" w:cs="Arial" w:eastAsia="Arial" w:hAnsi="Arial"/>
                <w:sz w:val="14"/>
                <w:szCs w:val="14"/>
                <w:color w:val="auto"/>
              </w:rPr>
              <w:t>Flourtown</w:t>
            </w:r>
          </w:p>
        </w:tc>
        <w:tc>
          <w:tcPr>
            <w:tcW w:w="1340" w:type="dxa"/>
            <w:vAlign w:val="bottom"/>
          </w:tcPr>
          <w:p>
            <w:pPr>
              <w:ind w:left="240"/>
              <w:spacing w:after="0"/>
              <w:rPr>
                <w:sz w:val="20"/>
                <w:szCs w:val="20"/>
                <w:color w:val="auto"/>
              </w:rPr>
            </w:pPr>
            <w:r>
              <w:rPr>
                <w:rFonts w:ascii="Arial" w:cs="Arial" w:eastAsia="Arial" w:hAnsi="Arial"/>
                <w:sz w:val="14"/>
                <w:szCs w:val="14"/>
                <w:color w:val="auto"/>
              </w:rPr>
              <w:t>Flourtown, PA</w:t>
            </w:r>
          </w:p>
        </w:tc>
        <w:tc>
          <w:tcPr>
            <w:tcW w:w="4800" w:type="dxa"/>
            <w:vAlign w:val="bottom"/>
          </w:tcPr>
          <w:p>
            <w:pPr>
              <w:ind w:left="40"/>
              <w:spacing w:after="0"/>
              <w:rPr>
                <w:sz w:val="20"/>
                <w:szCs w:val="20"/>
                <w:color w:val="auto"/>
              </w:rPr>
            </w:pPr>
            <w:r>
              <w:rPr>
                <w:rFonts w:ascii="Arial" w:cs="Arial" w:eastAsia="Arial" w:hAnsi="Arial"/>
                <w:sz w:val="14"/>
                <w:szCs w:val="14"/>
                <w:color w:val="auto"/>
              </w:rPr>
              <w:t>New 75,000 square foot grocer and new 38,000 square foot movie theater</w:t>
            </w: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Pentagon Row</w:t>
            </w:r>
          </w:p>
        </w:tc>
        <w:tc>
          <w:tcPr>
            <w:tcW w:w="1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Arlington, VA</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Ice rink expansion and 1,500 square feet of new retail space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80"/>
        </w:trPr>
        <w:tc>
          <w:tcPr>
            <w:tcW w:w="18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48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40"/>
              <w:spacing w:after="0"/>
              <w:rPr>
                <w:sz w:val="20"/>
                <w:szCs w:val="20"/>
                <w:color w:val="auto"/>
              </w:rPr>
            </w:pPr>
            <w:r>
              <w:rPr>
                <w:rFonts w:ascii="Arial" w:cs="Arial" w:eastAsia="Arial" w:hAnsi="Arial"/>
                <w:sz w:val="14"/>
                <w:szCs w:val="14"/>
                <w:color w:val="auto"/>
              </w:rPr>
              <w:t>Wynnewood</w:t>
            </w:r>
          </w:p>
        </w:tc>
        <w:tc>
          <w:tcPr>
            <w:tcW w:w="1340" w:type="dxa"/>
            <w:vAlign w:val="bottom"/>
          </w:tcPr>
          <w:p>
            <w:pPr>
              <w:ind w:left="240"/>
              <w:spacing w:after="0"/>
              <w:rPr>
                <w:sz w:val="20"/>
                <w:szCs w:val="20"/>
                <w:color w:val="auto"/>
              </w:rPr>
            </w:pPr>
            <w:r>
              <w:rPr>
                <w:rFonts w:ascii="Arial" w:cs="Arial" w:eastAsia="Arial" w:hAnsi="Arial"/>
                <w:sz w:val="14"/>
                <w:szCs w:val="14"/>
                <w:color w:val="auto"/>
              </w:rPr>
              <w:t>Wynnewood, PA</w:t>
            </w:r>
          </w:p>
        </w:tc>
        <w:tc>
          <w:tcPr>
            <w:tcW w:w="4800" w:type="dxa"/>
            <w:vAlign w:val="bottom"/>
          </w:tcPr>
          <w:p>
            <w:pPr>
              <w:ind w:left="40"/>
              <w:spacing w:after="0"/>
              <w:rPr>
                <w:sz w:val="20"/>
                <w:szCs w:val="20"/>
                <w:color w:val="auto"/>
              </w:rPr>
            </w:pPr>
            <w:r>
              <w:rPr>
                <w:rFonts w:ascii="Arial" w:cs="Arial" w:eastAsia="Arial" w:hAnsi="Arial"/>
                <w:sz w:val="14"/>
                <w:szCs w:val="14"/>
                <w:color w:val="auto"/>
              </w:rPr>
              <w:t>Conversion of obsolete 2nd floor office space to residential</w:t>
            </w: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Third Street Promenade</w:t>
            </w:r>
          </w:p>
        </w:tc>
        <w:tc>
          <w:tcPr>
            <w:tcW w:w="134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w w:val="95"/>
              </w:rPr>
              <w:t>Santa Monica, CA</w:t>
            </w:r>
          </w:p>
        </w:tc>
        <w:tc>
          <w:tcPr>
            <w:tcW w:w="48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8"/>
              </w:rPr>
              <w:t>Building modified to convert second floor space to office to accommodate new</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first floor retail and second floor office tenants</w:t>
            </w: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40"/>
              <w:spacing w:after="0"/>
              <w:rPr>
                <w:sz w:val="20"/>
                <w:szCs w:val="20"/>
                <w:color w:val="auto"/>
              </w:rPr>
            </w:pPr>
            <w:r>
              <w:rPr>
                <w:rFonts w:ascii="Arial" w:cs="Arial" w:eastAsia="Arial" w:hAnsi="Arial"/>
                <w:sz w:val="14"/>
                <w:szCs w:val="14"/>
                <w:color w:val="auto"/>
              </w:rPr>
              <w:t>Troy</w:t>
            </w:r>
          </w:p>
        </w:tc>
        <w:tc>
          <w:tcPr>
            <w:tcW w:w="1340" w:type="dxa"/>
            <w:vAlign w:val="bottom"/>
          </w:tcPr>
          <w:p>
            <w:pPr>
              <w:ind w:left="240"/>
              <w:spacing w:after="0"/>
              <w:rPr>
                <w:sz w:val="20"/>
                <w:szCs w:val="20"/>
                <w:color w:val="auto"/>
              </w:rPr>
            </w:pPr>
            <w:r>
              <w:rPr>
                <w:rFonts w:ascii="Arial" w:cs="Arial" w:eastAsia="Arial" w:hAnsi="Arial"/>
                <w:sz w:val="14"/>
                <w:szCs w:val="14"/>
                <w:color w:val="auto"/>
              </w:rPr>
              <w:t>Parsippany, NY</w:t>
            </w:r>
          </w:p>
        </w:tc>
        <w:tc>
          <w:tcPr>
            <w:tcW w:w="4800" w:type="dxa"/>
            <w:vAlign w:val="bottom"/>
          </w:tcPr>
          <w:p>
            <w:pPr>
              <w:ind w:left="40"/>
              <w:spacing w:after="0"/>
              <w:rPr>
                <w:sz w:val="20"/>
                <w:szCs w:val="20"/>
                <w:color w:val="auto"/>
              </w:rPr>
            </w:pPr>
            <w:r>
              <w:rPr>
                <w:rFonts w:ascii="Arial" w:cs="Arial" w:eastAsia="Arial" w:hAnsi="Arial"/>
                <w:sz w:val="14"/>
                <w:szCs w:val="14"/>
                <w:color w:val="auto"/>
              </w:rPr>
              <w:t>New 4,000 square foot pad building</w:t>
            </w: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Brick</w:t>
            </w:r>
          </w:p>
        </w:tc>
        <w:tc>
          <w:tcPr>
            <w:tcW w:w="1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Brick, NJ</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restaurant pad building</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80"/>
        </w:trPr>
        <w:tc>
          <w:tcPr>
            <w:tcW w:w="18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48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60" w:type="dxa"/>
            <w:vAlign w:val="bottom"/>
          </w:tcPr>
          <w:p>
            <w:pPr>
              <w:ind w:left="40"/>
              <w:spacing w:after="0" w:line="157" w:lineRule="exact"/>
              <w:rPr>
                <w:sz w:val="20"/>
                <w:szCs w:val="20"/>
                <w:color w:val="auto"/>
              </w:rPr>
            </w:pPr>
            <w:r>
              <w:rPr>
                <w:rFonts w:ascii="Arial" w:cs="Arial" w:eastAsia="Arial" w:hAnsi="Arial"/>
                <w:sz w:val="14"/>
                <w:szCs w:val="14"/>
                <w:color w:val="auto"/>
              </w:rPr>
              <w:t>Finley Square</w:t>
            </w:r>
          </w:p>
        </w:tc>
        <w:tc>
          <w:tcPr>
            <w:tcW w:w="1340" w:type="dxa"/>
            <w:vAlign w:val="bottom"/>
          </w:tcPr>
          <w:p>
            <w:pPr>
              <w:ind w:left="240"/>
              <w:spacing w:after="0" w:line="157" w:lineRule="exact"/>
              <w:rPr>
                <w:sz w:val="20"/>
                <w:szCs w:val="20"/>
                <w:color w:val="auto"/>
              </w:rPr>
            </w:pPr>
            <w:r>
              <w:rPr>
                <w:rFonts w:ascii="Arial" w:cs="Arial" w:eastAsia="Arial" w:hAnsi="Arial"/>
                <w:sz w:val="14"/>
                <w:szCs w:val="14"/>
                <w:color w:val="auto"/>
              </w:rPr>
              <w:t>Downers Grove,</w:t>
            </w:r>
          </w:p>
        </w:tc>
        <w:tc>
          <w:tcPr>
            <w:tcW w:w="4800" w:type="dxa"/>
            <w:vAlign w:val="bottom"/>
          </w:tcPr>
          <w:p>
            <w:pPr>
              <w:ind w:left="40"/>
              <w:spacing w:after="0" w:line="157" w:lineRule="exact"/>
              <w:rPr>
                <w:sz w:val="20"/>
                <w:szCs w:val="20"/>
                <w:color w:val="auto"/>
              </w:rPr>
            </w:pPr>
            <w:r>
              <w:rPr>
                <w:rFonts w:ascii="Arial" w:cs="Arial" w:eastAsia="Arial" w:hAnsi="Arial"/>
                <w:sz w:val="14"/>
                <w:szCs w:val="14"/>
                <w:color w:val="auto"/>
              </w:rPr>
              <w:t>New 2,000 square foot pad building</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17%</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1340" w:type="dxa"/>
            <w:vAlign w:val="bottom"/>
          </w:tcPr>
          <w:p>
            <w:pPr>
              <w:ind w:left="240"/>
              <w:spacing w:after="0"/>
              <w:rPr>
                <w:sz w:val="20"/>
                <w:szCs w:val="20"/>
                <w:color w:val="auto"/>
              </w:rPr>
            </w:pPr>
            <w:r>
              <w:rPr>
                <w:rFonts w:ascii="Arial" w:cs="Arial" w:eastAsia="Arial" w:hAnsi="Arial"/>
                <w:sz w:val="14"/>
                <w:szCs w:val="14"/>
                <w:color w:val="auto"/>
              </w:rPr>
              <w:t>IL</w:t>
            </w:r>
          </w:p>
        </w:tc>
        <w:tc>
          <w:tcPr>
            <w:tcW w:w="4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Huntington Square</w:t>
            </w:r>
          </w:p>
        </w:tc>
        <w:tc>
          <w:tcPr>
            <w:tcW w:w="1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East Northport,</w:t>
            </w:r>
          </w:p>
        </w:tc>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investment to create additional restaurant capacity</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16"/>
                <w:szCs w:val="16"/>
                <w:color w:val="auto"/>
              </w:rPr>
            </w:pPr>
          </w:p>
        </w:tc>
        <w:tc>
          <w:tcPr>
            <w:tcW w:w="1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NY</w:t>
            </w:r>
          </w:p>
        </w:tc>
        <w:tc>
          <w:tcPr>
            <w:tcW w:w="48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20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Total Active Redevelopment projects (4)</w:t>
            </w:r>
          </w:p>
        </w:tc>
        <w:tc>
          <w:tcPr>
            <w:tcW w:w="4800" w:type="dxa"/>
            <w:vAlign w:val="bottom"/>
          </w:tcPr>
          <w:p>
            <w:pPr>
              <w:spacing w:after="0"/>
              <w:rPr>
                <w:sz w:val="13"/>
                <w:szCs w:val="13"/>
                <w:color w:val="auto"/>
              </w:rPr>
            </w:pPr>
          </w:p>
        </w:tc>
        <w:tc>
          <w:tcPr>
            <w:tcW w:w="820" w:type="dxa"/>
            <w:vAlign w:val="bottom"/>
          </w:tcPr>
          <w:p>
            <w:pPr>
              <w:jc w:val="right"/>
              <w:spacing w:after="0" w:line="151" w:lineRule="exact"/>
              <w:rPr>
                <w:sz w:val="20"/>
                <w:szCs w:val="20"/>
                <w:color w:val="auto"/>
              </w:rPr>
            </w:pPr>
            <w:r>
              <w:rPr>
                <w:rFonts w:ascii="Arial" w:cs="Arial" w:eastAsia="Arial" w:hAnsi="Arial"/>
                <w:sz w:val="14"/>
                <w:szCs w:val="14"/>
                <w:color w:val="auto"/>
              </w:rPr>
              <w:t>9%</w:t>
            </w:r>
          </w:p>
        </w:tc>
        <w:tc>
          <w:tcPr>
            <w:tcW w:w="800" w:type="dxa"/>
            <w:vAlign w:val="bottom"/>
          </w:tcPr>
          <w:p>
            <w:pPr>
              <w:jc w:val="right"/>
              <w:ind w:right="48"/>
              <w:spacing w:after="0" w:line="151" w:lineRule="exact"/>
              <w:rPr>
                <w:sz w:val="20"/>
                <w:szCs w:val="20"/>
                <w:color w:val="auto"/>
              </w:rPr>
            </w:pPr>
            <w:r>
              <w:rPr>
                <w:rFonts w:ascii="Arial" w:cs="Arial" w:eastAsia="Arial" w:hAnsi="Arial"/>
                <w:sz w:val="14"/>
                <w:szCs w:val="14"/>
                <w:color w:val="auto"/>
              </w:rPr>
              <w:t>$380 -</w:t>
            </w:r>
          </w:p>
        </w:tc>
        <w:tc>
          <w:tcPr>
            <w:tcW w:w="780" w:type="dxa"/>
            <w:vAlign w:val="bottom"/>
          </w:tcPr>
          <w:p>
            <w:pPr>
              <w:jc w:val="right"/>
              <w:ind w:right="48"/>
              <w:spacing w:after="0" w:line="151" w:lineRule="exact"/>
              <w:rPr>
                <w:sz w:val="20"/>
                <w:szCs w:val="20"/>
                <w:color w:val="auto"/>
              </w:rPr>
            </w:pPr>
            <w:r>
              <w:rPr>
                <w:rFonts w:ascii="Arial" w:cs="Arial" w:eastAsia="Arial" w:hAnsi="Arial"/>
                <w:sz w:val="14"/>
                <w:szCs w:val="14"/>
                <w:color w:val="auto"/>
              </w:rPr>
              <w:t>$195</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$390</w:t>
            </w:r>
          </w:p>
        </w:tc>
        <w:tc>
          <w:tcPr>
            <w:tcW w:w="78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Pike &amp; Rose and Assembly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 (1)</w:t>
            </w: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Location</w:t>
            </w:r>
          </w:p>
        </w:tc>
        <w:tc>
          <w:tcPr>
            <w:tcW w:w="23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Opportunity</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2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Total Cost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Costs to</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1800" w:type="dxa"/>
            <w:vAlign w:val="bottom"/>
          </w:tcPr>
          <w:p>
            <w:pPr>
              <w:ind w:left="40"/>
              <w:spacing w:after="0"/>
              <w:rPr>
                <w:sz w:val="20"/>
                <w:szCs w:val="20"/>
                <w:color w:val="auto"/>
              </w:rPr>
            </w:pPr>
            <w:r>
              <w:rPr>
                <w:rFonts w:ascii="Arial" w:cs="Arial" w:eastAsia="Arial" w:hAnsi="Arial"/>
                <w:sz w:val="14"/>
                <w:szCs w:val="14"/>
                <w:b w:val="1"/>
                <w:bCs w:val="1"/>
                <w:color w:val="auto"/>
              </w:rPr>
              <w:t>Expected Opening</w:t>
            </w:r>
          </w:p>
        </w:tc>
        <w:tc>
          <w:tcPr>
            <w:tcW w:w="1280" w:type="dxa"/>
            <w:vAlign w:val="bottom"/>
          </w:tcPr>
          <w:p>
            <w:pPr>
              <w:ind w:left="60"/>
              <w:spacing w:after="0"/>
              <w:rPr>
                <w:sz w:val="20"/>
                <w:szCs w:val="20"/>
                <w:color w:val="auto"/>
              </w:rPr>
            </w:pPr>
            <w:r>
              <w:rPr>
                <w:rFonts w:ascii="Arial" w:cs="Arial" w:eastAsia="Arial" w:hAnsi="Arial"/>
                <w:sz w:val="14"/>
                <w:szCs w:val="14"/>
                <w:b w:val="1"/>
                <w:bCs w:val="1"/>
                <w:color w:val="auto"/>
              </w:rPr>
              <w:t>Anchor and other</w:t>
            </w:r>
          </w:p>
        </w:tc>
        <w:tc>
          <w:tcPr>
            <w:tcW w:w="0" w:type="dxa"/>
            <w:vAlign w:val="bottom"/>
          </w:tcPr>
          <w:p>
            <w:pPr>
              <w:spacing w:after="0"/>
              <w:rPr>
                <w:sz w:val="1"/>
                <w:szCs w:val="1"/>
                <w:color w:val="auto"/>
              </w:rPr>
            </w:pPr>
          </w:p>
        </w:tc>
      </w:tr>
      <w:tr>
        <w:trPr>
          <w:trHeight w:val="192"/>
        </w:trPr>
        <w:tc>
          <w:tcPr>
            <w:tcW w:w="14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(3)</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Stabilization</w:t>
            </w:r>
          </w:p>
        </w:tc>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Timeframe</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significant tenants</w:t>
            </w: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Pike &amp; Rose - Phase I</w:t>
            </w:r>
          </w:p>
        </w:tc>
        <w:tc>
          <w:tcPr>
            <w:tcW w:w="10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Rockville, MD</w:t>
            </w:r>
          </w:p>
        </w:tc>
        <w:tc>
          <w:tcPr>
            <w:tcW w:w="232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Ground up mixed use development.</w:t>
            </w:r>
          </w:p>
        </w:tc>
        <w:tc>
          <w:tcPr>
            <w:tcW w:w="8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8% - 9%</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$245</w:t>
            </w:r>
          </w:p>
        </w:tc>
        <w:tc>
          <w:tcPr>
            <w:tcW w:w="4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 $255</w:t>
            </w:r>
          </w:p>
        </w:tc>
        <w:tc>
          <w:tcPr>
            <w:tcW w:w="7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$201</w:t>
            </w: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2015/2016</w:t>
            </w:r>
          </w:p>
        </w:tc>
        <w:tc>
          <w:tcPr>
            <w:tcW w:w="18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9"/>
              </w:rPr>
              <w:t>•174 unit residential building</w:t>
            </w:r>
          </w:p>
        </w:tc>
        <w:tc>
          <w:tcPr>
            <w:tcW w:w="128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iPic Theater, Sport</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Phase I consists of 493 residential</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opened •Grand Opening of</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&amp; Health, Del</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units, 151,000 square feet of retail,</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Retail in Fall 2014 •Office</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Frisco's Grille, M</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2"/>
              </w:rPr>
              <w:t>and 79,000 square feet of office space.</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and 319 unit residential</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Street Kitchen</w:t>
            </w:r>
          </w:p>
        </w:tc>
        <w:tc>
          <w:tcPr>
            <w:tcW w:w="0" w:type="dxa"/>
            <w:vAlign w:val="bottom"/>
          </w:tcPr>
          <w:p>
            <w:pPr>
              <w:spacing w:after="0"/>
              <w:rPr>
                <w:sz w:val="1"/>
                <w:szCs w:val="1"/>
                <w:color w:val="auto"/>
              </w:rPr>
            </w:pPr>
          </w:p>
        </w:tc>
      </w:tr>
      <w:tr>
        <w:trPr>
          <w:trHeight w:val="194"/>
        </w:trPr>
        <w:tc>
          <w:tcPr>
            <w:tcW w:w="14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building to deliver in 2015</w:t>
            </w: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40"/>
              <w:spacing w:after="0" w:line="157" w:lineRule="exact"/>
              <w:rPr>
                <w:sz w:val="20"/>
                <w:szCs w:val="20"/>
                <w:color w:val="auto"/>
              </w:rPr>
            </w:pPr>
            <w:r>
              <w:rPr>
                <w:rFonts w:ascii="Arial" w:cs="Arial" w:eastAsia="Arial" w:hAnsi="Arial"/>
                <w:sz w:val="14"/>
                <w:szCs w:val="14"/>
                <w:color w:val="auto"/>
                <w:w w:val="97"/>
              </w:rPr>
              <w:t>Pike &amp; Rose - Phase II</w:t>
            </w:r>
          </w:p>
        </w:tc>
        <w:tc>
          <w:tcPr>
            <w:tcW w:w="1060" w:type="dxa"/>
            <w:vAlign w:val="bottom"/>
          </w:tcPr>
          <w:p>
            <w:pPr>
              <w:ind w:left="80"/>
              <w:spacing w:after="0" w:line="157" w:lineRule="exact"/>
              <w:rPr>
                <w:sz w:val="20"/>
                <w:szCs w:val="20"/>
                <w:color w:val="auto"/>
              </w:rPr>
            </w:pPr>
            <w:r>
              <w:rPr>
                <w:rFonts w:ascii="Arial" w:cs="Arial" w:eastAsia="Arial" w:hAnsi="Arial"/>
                <w:sz w:val="14"/>
                <w:szCs w:val="14"/>
                <w:color w:val="auto"/>
              </w:rPr>
              <w:t>Rockville, MD</w:t>
            </w:r>
          </w:p>
        </w:tc>
        <w:tc>
          <w:tcPr>
            <w:tcW w:w="2320" w:type="dxa"/>
            <w:vAlign w:val="bottom"/>
          </w:tcPr>
          <w:p>
            <w:pPr>
              <w:ind w:left="60"/>
              <w:spacing w:after="0" w:line="157" w:lineRule="exact"/>
              <w:rPr>
                <w:sz w:val="20"/>
                <w:szCs w:val="20"/>
                <w:color w:val="auto"/>
              </w:rPr>
            </w:pPr>
            <w:r>
              <w:rPr>
                <w:rFonts w:ascii="Arial" w:cs="Arial" w:eastAsia="Arial" w:hAnsi="Arial"/>
                <w:sz w:val="14"/>
                <w:szCs w:val="14"/>
                <w:color w:val="auto"/>
              </w:rPr>
              <w:t>Ground up mixed use development.</w:t>
            </w:r>
          </w:p>
        </w:tc>
        <w:tc>
          <w:tcPr>
            <w:tcW w:w="820" w:type="dxa"/>
            <w:vAlign w:val="bottom"/>
          </w:tcPr>
          <w:p>
            <w:pPr>
              <w:jc w:val="center"/>
              <w:spacing w:after="0" w:line="157" w:lineRule="exact"/>
              <w:rPr>
                <w:sz w:val="20"/>
                <w:szCs w:val="20"/>
                <w:color w:val="auto"/>
              </w:rPr>
            </w:pPr>
            <w:r>
              <w:rPr>
                <w:rFonts w:ascii="Arial" w:cs="Arial" w:eastAsia="Arial" w:hAnsi="Arial"/>
                <w:sz w:val="14"/>
                <w:szCs w:val="14"/>
                <w:color w:val="auto"/>
                <w:w w:val="94"/>
              </w:rPr>
              <w:t>7% - 8%</w:t>
            </w:r>
          </w:p>
        </w:tc>
        <w:tc>
          <w:tcPr>
            <w:tcW w:w="22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$195</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 $200</w:t>
            </w:r>
          </w:p>
        </w:tc>
        <w:tc>
          <w:tcPr>
            <w:tcW w:w="7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$16</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0"/>
              </w:rPr>
              <w:t>2018/2019</w:t>
            </w:r>
          </w:p>
        </w:tc>
        <w:tc>
          <w:tcPr>
            <w:tcW w:w="1800" w:type="dxa"/>
            <w:vAlign w:val="bottom"/>
          </w:tcPr>
          <w:p>
            <w:pPr>
              <w:ind w:left="40"/>
              <w:spacing w:after="0" w:line="157" w:lineRule="exact"/>
              <w:rPr>
                <w:sz w:val="20"/>
                <w:szCs w:val="20"/>
                <w:color w:val="auto"/>
              </w:rPr>
            </w:pPr>
            <w:r>
              <w:rPr>
                <w:rFonts w:ascii="Arial" w:cs="Arial" w:eastAsia="Arial" w:hAnsi="Arial"/>
                <w:sz w:val="14"/>
                <w:szCs w:val="14"/>
                <w:color w:val="auto"/>
              </w:rPr>
              <w:t>Projected opening - early</w:t>
            </w:r>
          </w:p>
        </w:tc>
        <w:tc>
          <w:tcPr>
            <w:tcW w:w="1280" w:type="dxa"/>
            <w:vAlign w:val="bottom"/>
          </w:tcPr>
          <w:p>
            <w:pPr>
              <w:ind w:left="60"/>
              <w:spacing w:after="0" w:line="157" w:lineRule="exact"/>
              <w:rPr>
                <w:sz w:val="20"/>
                <w:szCs w:val="20"/>
                <w:color w:val="auto"/>
              </w:rPr>
            </w:pPr>
            <w:r>
              <w:rPr>
                <w:rFonts w:ascii="Arial" w:cs="Arial" w:eastAsia="Arial" w:hAnsi="Arial"/>
                <w:sz w:val="14"/>
                <w:szCs w:val="14"/>
                <w:color w:val="auto"/>
              </w:rPr>
              <w:t>Pinstripes, Canopy</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9" w:lineRule="exact"/>
              <w:rPr>
                <w:sz w:val="20"/>
                <w:szCs w:val="20"/>
                <w:color w:val="auto"/>
              </w:rPr>
            </w:pPr>
            <w:r>
              <w:rPr>
                <w:rFonts w:ascii="Arial" w:cs="Arial" w:eastAsia="Arial" w:hAnsi="Arial"/>
                <w:sz w:val="14"/>
                <w:szCs w:val="14"/>
                <w:color w:val="auto"/>
              </w:rPr>
              <w:t>Phase II consists of approximately</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2017</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by Hilton</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9" w:lineRule="exact"/>
              <w:rPr>
                <w:sz w:val="20"/>
                <w:szCs w:val="20"/>
                <w:color w:val="auto"/>
              </w:rPr>
            </w:pPr>
            <w:r>
              <w:rPr>
                <w:rFonts w:ascii="Arial" w:cs="Arial" w:eastAsia="Arial" w:hAnsi="Arial"/>
                <w:sz w:val="14"/>
                <w:szCs w:val="14"/>
                <w:color w:val="auto"/>
              </w:rPr>
              <w:t>185,000 square feet of retail, 264</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9" w:lineRule="exact"/>
              <w:rPr>
                <w:sz w:val="20"/>
                <w:szCs w:val="20"/>
                <w:color w:val="auto"/>
              </w:rPr>
            </w:pPr>
            <w:r>
              <w:rPr>
                <w:rFonts w:ascii="Arial" w:cs="Arial" w:eastAsia="Arial" w:hAnsi="Arial"/>
                <w:sz w:val="14"/>
                <w:szCs w:val="14"/>
                <w:color w:val="auto"/>
              </w:rPr>
              <w:t>residential units, and a 177 room</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auto"/>
              </w:rPr>
              <w:t>hotel.</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Rockville, MD</w:t>
            </w:r>
          </w:p>
        </w:tc>
        <w:tc>
          <w:tcPr>
            <w:tcW w:w="2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104 for-sale condominium units</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$53</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9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4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Total Pike &amp; Rose - Initial Phases</w:t>
            </w: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7.5% -</w:t>
            </w:r>
          </w:p>
        </w:tc>
        <w:tc>
          <w:tcPr>
            <w:tcW w:w="2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(4)</w:t>
            </w:r>
          </w:p>
        </w:tc>
        <w:tc>
          <w:tcPr>
            <w:tcW w:w="3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$490</w:t>
            </w:r>
          </w:p>
        </w:tc>
        <w:tc>
          <w:tcPr>
            <w:tcW w:w="44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 $508</w:t>
            </w:r>
          </w:p>
        </w:tc>
        <w:tc>
          <w:tcPr>
            <w:tcW w:w="780" w:type="dxa"/>
            <w:vAlign w:val="bottom"/>
          </w:tcPr>
          <w:p>
            <w:pPr>
              <w:jc w:val="right"/>
              <w:ind w:right="28"/>
              <w:spacing w:after="0" w:line="147" w:lineRule="exact"/>
              <w:rPr>
                <w:sz w:val="20"/>
                <w:szCs w:val="20"/>
                <w:color w:val="auto"/>
              </w:rPr>
            </w:pPr>
            <w:r>
              <w:rPr>
                <w:rFonts w:ascii="Arial" w:cs="Arial" w:eastAsia="Arial" w:hAnsi="Arial"/>
                <w:sz w:val="14"/>
                <w:szCs w:val="14"/>
                <w:b w:val="1"/>
                <w:bCs w:val="1"/>
                <w:color w:val="auto"/>
              </w:rPr>
              <w:t>$220</w:t>
            </w: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8.5%</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0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7"/>
              </w:rPr>
              <w:t>Assembly Row - Phase I Somerville, MA</w:t>
            </w:r>
          </w:p>
        </w:tc>
        <w:tc>
          <w:tcPr>
            <w:tcW w:w="2320" w:type="dxa"/>
            <w:vAlign w:val="bottom"/>
          </w:tcPr>
          <w:p>
            <w:pPr>
              <w:ind w:left="60"/>
              <w:spacing w:after="0" w:line="157" w:lineRule="exact"/>
              <w:rPr>
                <w:sz w:val="20"/>
                <w:szCs w:val="20"/>
                <w:color w:val="auto"/>
              </w:rPr>
            </w:pPr>
            <w:r>
              <w:rPr>
                <w:rFonts w:ascii="Arial" w:cs="Arial" w:eastAsia="Arial" w:hAnsi="Arial"/>
                <w:sz w:val="14"/>
                <w:szCs w:val="14"/>
                <w:color w:val="auto"/>
              </w:rPr>
              <w:t>Ground up mixed use development.</w:t>
            </w:r>
          </w:p>
        </w:tc>
        <w:tc>
          <w:tcPr>
            <w:tcW w:w="820" w:type="dxa"/>
            <w:vAlign w:val="bottom"/>
          </w:tcPr>
          <w:p>
            <w:pPr>
              <w:jc w:val="center"/>
              <w:spacing w:after="0" w:line="157" w:lineRule="exact"/>
              <w:rPr>
                <w:sz w:val="20"/>
                <w:szCs w:val="20"/>
                <w:color w:val="auto"/>
              </w:rPr>
            </w:pPr>
            <w:r>
              <w:rPr>
                <w:rFonts w:ascii="Arial" w:cs="Arial" w:eastAsia="Arial" w:hAnsi="Arial"/>
                <w:sz w:val="14"/>
                <w:szCs w:val="14"/>
                <w:color w:val="auto"/>
                <w:w w:val="94"/>
              </w:rPr>
              <w:t>5% - 6%</w:t>
            </w:r>
          </w:p>
        </w:tc>
        <w:tc>
          <w:tcPr>
            <w:tcW w:w="22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$190</w:t>
            </w:r>
          </w:p>
        </w:tc>
        <w:tc>
          <w:tcPr>
            <w:tcW w:w="440" w:type="dxa"/>
            <w:vAlign w:val="bottom"/>
          </w:tcPr>
          <w:p>
            <w:pPr>
              <w:ind w:left="20"/>
              <w:spacing w:after="0" w:line="157" w:lineRule="exact"/>
              <w:rPr>
                <w:sz w:val="20"/>
                <w:szCs w:val="20"/>
                <w:color w:val="auto"/>
              </w:rPr>
            </w:pPr>
            <w:r>
              <w:rPr>
                <w:rFonts w:ascii="Arial" w:cs="Arial" w:eastAsia="Arial" w:hAnsi="Arial"/>
                <w:sz w:val="14"/>
                <w:szCs w:val="14"/>
                <w:color w:val="auto"/>
              </w:rPr>
              <w:t>- $200</w:t>
            </w:r>
          </w:p>
        </w:tc>
        <w:tc>
          <w:tcPr>
            <w:tcW w:w="7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$180</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1800" w:type="dxa"/>
            <w:vAlign w:val="bottom"/>
          </w:tcPr>
          <w:p>
            <w:pPr>
              <w:ind w:left="40"/>
              <w:spacing w:after="0" w:line="157" w:lineRule="exact"/>
              <w:rPr>
                <w:sz w:val="20"/>
                <w:szCs w:val="20"/>
                <w:color w:val="auto"/>
              </w:rPr>
            </w:pPr>
            <w:r>
              <w:rPr>
                <w:rFonts w:ascii="Arial" w:cs="Arial" w:eastAsia="Arial" w:hAnsi="Arial"/>
                <w:sz w:val="14"/>
                <w:szCs w:val="14"/>
                <w:color w:val="auto"/>
              </w:rPr>
              <w:t>•Opened •T Station opened</w:t>
            </w:r>
          </w:p>
        </w:tc>
        <w:tc>
          <w:tcPr>
            <w:tcW w:w="1280" w:type="dxa"/>
            <w:vAlign w:val="bottom"/>
          </w:tcPr>
          <w:p>
            <w:pPr>
              <w:ind w:left="60"/>
              <w:spacing w:after="0" w:line="157" w:lineRule="exact"/>
              <w:rPr>
                <w:sz w:val="20"/>
                <w:szCs w:val="20"/>
                <w:color w:val="auto"/>
              </w:rPr>
            </w:pPr>
            <w:r>
              <w:rPr>
                <w:rFonts w:ascii="Arial" w:cs="Arial" w:eastAsia="Arial" w:hAnsi="Arial"/>
                <w:sz w:val="14"/>
                <w:szCs w:val="14"/>
                <w:color w:val="auto"/>
              </w:rPr>
              <w:t>AMC Theatre,</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9" w:lineRule="exact"/>
              <w:rPr>
                <w:sz w:val="20"/>
                <w:szCs w:val="20"/>
                <w:color w:val="auto"/>
              </w:rPr>
            </w:pPr>
            <w:r>
              <w:rPr>
                <w:rFonts w:ascii="Arial" w:cs="Arial" w:eastAsia="Arial" w:hAnsi="Arial"/>
                <w:sz w:val="14"/>
                <w:szCs w:val="14"/>
                <w:color w:val="auto"/>
                <w:w w:val="93"/>
              </w:rPr>
              <w:t>Initial phase consists of 450 residential</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September 2014</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LEGOLAND</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9" w:lineRule="exact"/>
              <w:rPr>
                <w:sz w:val="20"/>
                <w:szCs w:val="20"/>
                <w:color w:val="auto"/>
              </w:rPr>
            </w:pPr>
            <w:r>
              <w:rPr>
                <w:rFonts w:ascii="Arial" w:cs="Arial" w:eastAsia="Arial" w:hAnsi="Arial"/>
                <w:sz w:val="14"/>
                <w:szCs w:val="14"/>
                <w:color w:val="auto"/>
              </w:rPr>
              <w:t>units (by AvalonBay), in addition to</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ind w:left="40"/>
              <w:spacing w:after="0" w:line="149" w:lineRule="exact"/>
              <w:rPr>
                <w:sz w:val="20"/>
                <w:szCs w:val="20"/>
                <w:color w:val="auto"/>
              </w:rPr>
            </w:pPr>
            <w:r>
              <w:rPr>
                <w:rFonts w:ascii="Arial" w:cs="Arial" w:eastAsia="Arial" w:hAnsi="Arial"/>
                <w:sz w:val="14"/>
                <w:szCs w:val="14"/>
                <w:color w:val="auto"/>
              </w:rPr>
              <w:t>•Office to deliver in 2015</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Discovery Center,</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9" w:lineRule="exact"/>
              <w:rPr>
                <w:sz w:val="20"/>
                <w:szCs w:val="20"/>
                <w:color w:val="auto"/>
              </w:rPr>
            </w:pPr>
            <w:r>
              <w:rPr>
                <w:rFonts w:ascii="Arial" w:cs="Arial" w:eastAsia="Arial" w:hAnsi="Arial"/>
                <w:sz w:val="14"/>
                <w:szCs w:val="14"/>
                <w:color w:val="auto"/>
                <w:w w:val="94"/>
              </w:rPr>
              <w:t>98,000 square feet of office space and</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9" w:lineRule="exact"/>
              <w:rPr>
                <w:sz w:val="20"/>
                <w:szCs w:val="20"/>
                <w:color w:val="auto"/>
              </w:rPr>
            </w:pPr>
            <w:r>
              <w:rPr>
                <w:rFonts w:ascii="Arial" w:cs="Arial" w:eastAsia="Arial" w:hAnsi="Arial"/>
                <w:sz w:val="14"/>
                <w:szCs w:val="14"/>
                <w:color w:val="auto"/>
                <w:w w:val="96"/>
              </w:rPr>
              <w:t>approximately 326,000 square feet of</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Off 5th, Nike,</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9" w:lineRule="exact"/>
              <w:rPr>
                <w:sz w:val="20"/>
                <w:szCs w:val="20"/>
                <w:color w:val="auto"/>
              </w:rPr>
            </w:pPr>
            <w:r>
              <w:rPr>
                <w:rFonts w:ascii="Arial" w:cs="Arial" w:eastAsia="Arial" w:hAnsi="Arial"/>
                <w:sz w:val="14"/>
                <w:szCs w:val="14"/>
                <w:color w:val="auto"/>
                <w:w w:val="92"/>
              </w:rPr>
              <w:t>retail space (including a restaurant pad</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Brooks Brothers,</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9" w:lineRule="exact"/>
              <w:rPr>
                <w:sz w:val="20"/>
                <w:szCs w:val="20"/>
                <w:color w:val="auto"/>
              </w:rPr>
            </w:pPr>
            <w:r>
              <w:rPr>
                <w:rFonts w:ascii="Arial" w:cs="Arial" w:eastAsia="Arial" w:hAnsi="Arial"/>
                <w:sz w:val="14"/>
                <w:szCs w:val="14"/>
                <w:color w:val="auto"/>
                <w:w w:val="98"/>
              </w:rPr>
              <w:t>site). A new Orange Line T-Stop has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Legal on the</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9" w:lineRule="exact"/>
              <w:rPr>
                <w:sz w:val="20"/>
                <w:szCs w:val="20"/>
                <w:color w:val="auto"/>
              </w:rPr>
            </w:pPr>
            <w:r>
              <w:rPr>
                <w:rFonts w:ascii="Arial" w:cs="Arial" w:eastAsia="Arial" w:hAnsi="Arial"/>
                <w:sz w:val="14"/>
                <w:szCs w:val="14"/>
                <w:color w:val="auto"/>
              </w:rPr>
              <w:t>been constructed by Massachusetts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Mystic, Earl's,</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9" w:lineRule="exact"/>
              <w:rPr>
                <w:sz w:val="20"/>
                <w:szCs w:val="20"/>
                <w:color w:val="auto"/>
              </w:rPr>
            </w:pPr>
            <w:r>
              <w:rPr>
                <w:rFonts w:ascii="Arial" w:cs="Arial" w:eastAsia="Arial" w:hAnsi="Arial"/>
                <w:sz w:val="14"/>
                <w:szCs w:val="14"/>
                <w:color w:val="auto"/>
                <w:w w:val="93"/>
              </w:rPr>
              <w:t>Bay Transit Authority, as part of Phase</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Papagayo</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auto"/>
              </w:rPr>
              <w:t>I.</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 Assembly Row and Pike &amp;</w:t>
            </w: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7% - 7.5%</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w:t>
            </w: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$680</w:t>
            </w:r>
          </w:p>
        </w:tc>
        <w:tc>
          <w:tcPr>
            <w:tcW w:w="4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 $708</w:t>
            </w:r>
          </w:p>
        </w:tc>
        <w:tc>
          <w:tcPr>
            <w:tcW w:w="7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$400</w:t>
            </w: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auto"/>
              </w:rPr>
              <w:t>Rose</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325" w:lineRule="exact"/>
        <w:rPr>
          <w:sz w:val="20"/>
          <w:szCs w:val="20"/>
          <w:color w:val="auto"/>
        </w:rPr>
      </w:pPr>
    </w:p>
    <w:p>
      <w:pPr>
        <w:ind w:left="500" w:right="200" w:hanging="465"/>
        <w:spacing w:after="0" w:line="238"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anticipated stabilization, and significant tenants for centers under development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0" w:lineRule="exact"/>
        <w:rPr>
          <w:rFonts w:ascii="Arial" w:cs="Arial" w:eastAsia="Arial" w:hAnsi="Arial"/>
          <w:sz w:val="14"/>
          <w:szCs w:val="14"/>
          <w:color w:val="auto"/>
        </w:rPr>
      </w:pPr>
    </w:p>
    <w:p>
      <w:pPr>
        <w:ind w:left="500" w:right="320" w:hanging="465"/>
        <w:spacing w:after="0" w:line="253"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deal specific cash, unleveraged Property Operating Income (POI) generated by the development and is calculated as POI divided by cost.</w:t>
      </w:r>
    </w:p>
    <w:p>
      <w:pPr>
        <w:spacing w:after="0" w:line="79"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Condos shown at cost; the projected ROI for Phase II does not assume any incremental profit on the sale of condominium units; condominiums are assumed to be sold at cost.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2014</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THE AVENUE @ White Marsh</w:t>
            </w:r>
          </w:p>
        </w:tc>
        <w:tc>
          <w:tcPr>
            <w:tcW w:w="1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Baltimore, MD</w:t>
            </w:r>
          </w:p>
        </w:tc>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Flourtown</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Flourtown, PA</w:t>
            </w: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b w:val="1"/>
                <w:bCs w:val="1"/>
                <w:color w:val="auto"/>
              </w:rPr>
              <w:t>Bethesda Row</w:t>
            </w:r>
          </w:p>
        </w:tc>
        <w:tc>
          <w:tcPr>
            <w:tcW w:w="1840" w:type="dxa"/>
            <w:vAlign w:val="bottom"/>
          </w:tcPr>
          <w:p>
            <w:pPr>
              <w:ind w:left="160"/>
              <w:spacing w:after="0"/>
              <w:rPr>
                <w:sz w:val="20"/>
                <w:szCs w:val="20"/>
                <w:color w:val="auto"/>
              </w:rPr>
            </w:pPr>
            <w:r>
              <w:rPr>
                <w:rFonts w:ascii="Arial" w:cs="Arial" w:eastAsia="Arial" w:hAnsi="Arial"/>
                <w:sz w:val="16"/>
                <w:szCs w:val="16"/>
                <w:color w:val="auto"/>
              </w:rPr>
              <w:t>Bethesda, MD</w:t>
            </w:r>
          </w:p>
        </w:tc>
        <w:tc>
          <w:tcPr>
            <w:tcW w:w="2460" w:type="dxa"/>
            <w:vAlign w:val="bottom"/>
          </w:tcPr>
          <w:p>
            <w:pPr>
              <w:ind w:left="620"/>
              <w:spacing w:after="0"/>
              <w:rPr>
                <w:sz w:val="20"/>
                <w:szCs w:val="20"/>
                <w:color w:val="auto"/>
              </w:rPr>
            </w:pPr>
            <w:r>
              <w:rPr>
                <w:rFonts w:ascii="Arial" w:cs="Arial" w:eastAsia="Arial" w:hAnsi="Arial"/>
                <w:sz w:val="16"/>
                <w:szCs w:val="16"/>
                <w:b w:val="1"/>
                <w:bCs w:val="1"/>
                <w:color w:val="auto"/>
              </w:rPr>
              <w:t>Fresh Meadows</w:t>
            </w:r>
          </w:p>
        </w:tc>
        <w:tc>
          <w:tcPr>
            <w:tcW w:w="4380" w:type="dxa"/>
            <w:vAlign w:val="bottom"/>
          </w:tcPr>
          <w:p>
            <w:pPr>
              <w:ind w:left="780"/>
              <w:spacing w:after="0"/>
              <w:rPr>
                <w:sz w:val="20"/>
                <w:szCs w:val="20"/>
                <w:color w:val="auto"/>
              </w:rPr>
            </w:pPr>
            <w:r>
              <w:rPr>
                <w:rFonts w:ascii="Arial" w:cs="Arial" w:eastAsia="Arial" w:hAnsi="Arial"/>
                <w:sz w:val="16"/>
                <w:szCs w:val="16"/>
                <w:color w:val="auto"/>
              </w:rPr>
              <w:t>Queens, NY</w:t>
            </w:r>
          </w:p>
        </w:tc>
      </w:tr>
      <w:tr>
        <w:trPr>
          <w:trHeight w:val="33"/>
        </w:trPr>
        <w:tc>
          <w:tcPr>
            <w:tcW w:w="2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Dedham Plaza</w:t>
            </w:r>
          </w:p>
        </w:tc>
        <w:tc>
          <w:tcPr>
            <w:tcW w:w="1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Dedham, MA</w:t>
            </w:r>
          </w:p>
        </w:tc>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Melville Mall</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Huntington, NY</w:t>
            </w: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b w:val="1"/>
                <w:bCs w:val="1"/>
                <w:color w:val="auto"/>
              </w:rPr>
              <w:t>Eastgate</w:t>
            </w:r>
          </w:p>
        </w:tc>
        <w:tc>
          <w:tcPr>
            <w:tcW w:w="1840" w:type="dxa"/>
            <w:vAlign w:val="bottom"/>
          </w:tcPr>
          <w:p>
            <w:pPr>
              <w:ind w:left="160"/>
              <w:spacing w:after="0"/>
              <w:rPr>
                <w:sz w:val="20"/>
                <w:szCs w:val="20"/>
                <w:color w:val="auto"/>
              </w:rPr>
            </w:pPr>
            <w:r>
              <w:rPr>
                <w:rFonts w:ascii="Arial" w:cs="Arial" w:eastAsia="Arial" w:hAnsi="Arial"/>
                <w:sz w:val="16"/>
                <w:szCs w:val="16"/>
                <w:color w:val="auto"/>
              </w:rPr>
              <w:t>Chapel Hill, NC</w:t>
            </w:r>
          </w:p>
        </w:tc>
        <w:tc>
          <w:tcPr>
            <w:tcW w:w="2460" w:type="dxa"/>
            <w:vAlign w:val="bottom"/>
          </w:tcPr>
          <w:p>
            <w:pPr>
              <w:ind w:left="620"/>
              <w:spacing w:after="0"/>
              <w:rPr>
                <w:sz w:val="20"/>
                <w:szCs w:val="20"/>
                <w:color w:val="auto"/>
              </w:rPr>
            </w:pPr>
            <w:r>
              <w:rPr>
                <w:rFonts w:ascii="Arial" w:cs="Arial" w:eastAsia="Arial" w:hAnsi="Arial"/>
                <w:sz w:val="16"/>
                <w:szCs w:val="16"/>
                <w:b w:val="1"/>
                <w:bCs w:val="1"/>
                <w:color w:val="auto"/>
              </w:rPr>
              <w:t>Mercer Mall</w:t>
            </w:r>
          </w:p>
        </w:tc>
        <w:tc>
          <w:tcPr>
            <w:tcW w:w="4380" w:type="dxa"/>
            <w:vAlign w:val="bottom"/>
          </w:tcPr>
          <w:p>
            <w:pPr>
              <w:ind w:left="780"/>
              <w:spacing w:after="0"/>
              <w:rPr>
                <w:sz w:val="20"/>
                <w:szCs w:val="20"/>
                <w:color w:val="auto"/>
              </w:rPr>
            </w:pPr>
            <w:r>
              <w:rPr>
                <w:rFonts w:ascii="Arial" w:cs="Arial" w:eastAsia="Arial" w:hAnsi="Arial"/>
                <w:sz w:val="16"/>
                <w:szCs w:val="16"/>
                <w:color w:val="auto"/>
              </w:rPr>
              <w:t>Lawrenceville, NJ</w:t>
            </w:r>
          </w:p>
        </w:tc>
      </w:tr>
      <w:tr>
        <w:trPr>
          <w:trHeight w:val="33"/>
        </w:trPr>
        <w:tc>
          <w:tcPr>
            <w:tcW w:w="2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w:t>
            </w:r>
          </w:p>
        </w:tc>
        <w:tc>
          <w:tcPr>
            <w:tcW w:w="1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Escondido, CA</w:t>
            </w:r>
          </w:p>
        </w:tc>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Pan Am</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Fairfax, VA</w:t>
            </w: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1840" w:type="dxa"/>
            <w:vAlign w:val="bottom"/>
          </w:tcPr>
          <w:p>
            <w:pPr>
              <w:ind w:left="160"/>
              <w:spacing w:after="0"/>
              <w:rPr>
                <w:sz w:val="20"/>
                <w:szCs w:val="20"/>
                <w:color w:val="auto"/>
              </w:rPr>
            </w:pPr>
            <w:r>
              <w:rPr>
                <w:rFonts w:ascii="Arial" w:cs="Arial" w:eastAsia="Arial" w:hAnsi="Arial"/>
                <w:sz w:val="16"/>
                <w:szCs w:val="16"/>
                <w:color w:val="auto"/>
              </w:rPr>
              <w:t>Rockville, MD</w:t>
            </w:r>
          </w:p>
        </w:tc>
        <w:tc>
          <w:tcPr>
            <w:tcW w:w="2460" w:type="dxa"/>
            <w:vAlign w:val="bottom"/>
          </w:tcPr>
          <w:p>
            <w:pPr>
              <w:ind w:left="620"/>
              <w:spacing w:after="0"/>
              <w:rPr>
                <w:sz w:val="20"/>
                <w:szCs w:val="20"/>
                <w:color w:val="auto"/>
              </w:rPr>
            </w:pPr>
            <w:r>
              <w:rPr>
                <w:rFonts w:ascii="Arial" w:cs="Arial" w:eastAsia="Arial" w:hAnsi="Arial"/>
                <w:sz w:val="16"/>
                <w:szCs w:val="16"/>
                <w:b w:val="1"/>
                <w:bCs w:val="1"/>
                <w:color w:val="auto"/>
              </w:rPr>
              <w:t>Wildwood</w:t>
            </w:r>
          </w:p>
        </w:tc>
        <w:tc>
          <w:tcPr>
            <w:tcW w:w="4380" w:type="dxa"/>
            <w:vAlign w:val="bottom"/>
          </w:tcPr>
          <w:p>
            <w:pPr>
              <w:ind w:left="780"/>
              <w:spacing w:after="0"/>
              <w:rPr>
                <w:sz w:val="20"/>
                <w:szCs w:val="20"/>
                <w:color w:val="auto"/>
              </w:rPr>
            </w:pPr>
            <w:r>
              <w:rPr>
                <w:rFonts w:ascii="Arial" w:cs="Arial" w:eastAsia="Arial" w:hAnsi="Arial"/>
                <w:sz w:val="16"/>
                <w:szCs w:val="16"/>
                <w:color w:val="auto"/>
              </w:rPr>
              <w:t>Bethesda, MD</w:t>
            </w:r>
          </w:p>
        </w:tc>
      </w:tr>
      <w:tr>
        <w:trPr>
          <w:trHeight w:val="33"/>
        </w:trPr>
        <w:tc>
          <w:tcPr>
            <w:tcW w:w="2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70"/>
        </w:trPr>
        <w:tc>
          <w:tcPr>
            <w:tcW w:w="27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438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Assembly Row</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Somerville, MA</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Fresh Meadows</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Queens, NY</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Barracks Road</w:t>
            </w:r>
          </w:p>
        </w:tc>
        <w:tc>
          <w:tcPr>
            <w:tcW w:w="2520" w:type="dxa"/>
            <w:vAlign w:val="bottom"/>
          </w:tcPr>
          <w:p>
            <w:pPr>
              <w:ind w:left="740"/>
              <w:spacing w:after="0"/>
              <w:rPr>
                <w:sz w:val="20"/>
                <w:szCs w:val="20"/>
                <w:color w:val="auto"/>
              </w:rPr>
            </w:pPr>
            <w:r>
              <w:rPr>
                <w:rFonts w:ascii="Arial" w:cs="Arial" w:eastAsia="Arial" w:hAnsi="Arial"/>
                <w:sz w:val="16"/>
                <w:szCs w:val="16"/>
                <w:color w:val="auto"/>
              </w:rPr>
              <w:t>Charlottesville, VA</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Mercer Mall</w:t>
            </w:r>
          </w:p>
        </w:tc>
        <w:tc>
          <w:tcPr>
            <w:tcW w:w="4080" w:type="dxa"/>
            <w:vAlign w:val="bottom"/>
          </w:tcPr>
          <w:p>
            <w:pPr>
              <w:ind w:left="480"/>
              <w:spacing w:after="0"/>
              <w:rPr>
                <w:sz w:val="20"/>
                <w:szCs w:val="20"/>
                <w:color w:val="auto"/>
              </w:rPr>
            </w:pPr>
            <w:r>
              <w:rPr>
                <w:rFonts w:ascii="Arial" w:cs="Arial" w:eastAsia="Arial" w:hAnsi="Arial"/>
                <w:sz w:val="16"/>
                <w:szCs w:val="16"/>
                <w:color w:val="auto"/>
              </w:rPr>
              <w:t>Lawrenceville, NJ</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Bethedsa Row</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Bethesda, MD</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Montrose Crossing</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Rockville, MD</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Crossroads</w:t>
            </w:r>
          </w:p>
        </w:tc>
        <w:tc>
          <w:tcPr>
            <w:tcW w:w="2520" w:type="dxa"/>
            <w:vAlign w:val="bottom"/>
          </w:tcPr>
          <w:p>
            <w:pPr>
              <w:ind w:left="740"/>
              <w:spacing w:after="0"/>
              <w:rPr>
                <w:sz w:val="20"/>
                <w:szCs w:val="20"/>
                <w:color w:val="auto"/>
              </w:rPr>
            </w:pPr>
            <w:r>
              <w:rPr>
                <w:rFonts w:ascii="Arial" w:cs="Arial" w:eastAsia="Arial" w:hAnsi="Arial"/>
                <w:sz w:val="16"/>
                <w:szCs w:val="16"/>
                <w:color w:val="auto"/>
              </w:rPr>
              <w:t>Highland Park, IL</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080" w:type="dxa"/>
            <w:vAlign w:val="bottom"/>
          </w:tcPr>
          <w:p>
            <w:pPr>
              <w:ind w:left="480"/>
              <w:spacing w:after="0"/>
              <w:rPr>
                <w:sz w:val="20"/>
                <w:szCs w:val="20"/>
                <w:color w:val="auto"/>
              </w:rPr>
            </w:pPr>
            <w:r>
              <w:rPr>
                <w:rFonts w:ascii="Arial" w:cs="Arial" w:eastAsia="Arial" w:hAnsi="Arial"/>
                <w:sz w:val="16"/>
                <w:szCs w:val="16"/>
                <w:color w:val="auto"/>
              </w:rPr>
              <w:t>Santa Monica, CA</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216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Darien</w:t>
            </w:r>
          </w:p>
        </w:tc>
        <w:tc>
          <w:tcPr>
            <w:tcW w:w="25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Darien, CT</w:t>
            </w:r>
          </w:p>
        </w:tc>
        <w:tc>
          <w:tcPr>
            <w:tcW w:w="266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0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Bethesda, MD</w:t>
            </w:r>
          </w:p>
        </w:tc>
      </w:tr>
      <w:tr>
        <w:trPr>
          <w:trHeight w:val="33"/>
        </w:trPr>
        <w:tc>
          <w:tcPr>
            <w:tcW w:w="21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Barracks Road</w:t>
            </w:r>
          </w:p>
        </w:tc>
        <w:tc>
          <w:tcPr>
            <w:tcW w:w="1860" w:type="dxa"/>
            <w:vAlign w:val="bottom"/>
          </w:tcPr>
          <w:p>
            <w:pPr>
              <w:ind w:left="80"/>
              <w:spacing w:after="0"/>
              <w:rPr>
                <w:sz w:val="20"/>
                <w:szCs w:val="20"/>
                <w:color w:val="auto"/>
              </w:rPr>
            </w:pPr>
            <w:r>
              <w:rPr>
                <w:rFonts w:ascii="Arial" w:cs="Arial" w:eastAsia="Arial" w:hAnsi="Arial"/>
                <w:sz w:val="16"/>
                <w:szCs w:val="16"/>
                <w:color w:val="auto"/>
              </w:rPr>
              <w:t>Charlottesville, VA</w:t>
            </w:r>
          </w:p>
        </w:tc>
        <w:tc>
          <w:tcPr>
            <w:tcW w:w="3040" w:type="dxa"/>
            <w:vAlign w:val="bottom"/>
          </w:tcPr>
          <w:p>
            <w:pPr>
              <w:ind w:left="520"/>
              <w:spacing w:after="0"/>
              <w:rPr>
                <w:sz w:val="20"/>
                <w:szCs w:val="20"/>
                <w:color w:val="auto"/>
              </w:rPr>
            </w:pPr>
            <w:r>
              <w:rPr>
                <w:rFonts w:ascii="Arial" w:cs="Arial" w:eastAsia="Arial" w:hAnsi="Arial"/>
                <w:sz w:val="16"/>
                <w:szCs w:val="16"/>
                <w:b w:val="1"/>
                <w:bCs w:val="1"/>
                <w:color w:val="auto"/>
              </w:rPr>
              <w:t>Village at Shirlington</w:t>
            </w:r>
          </w:p>
        </w:tc>
        <w:tc>
          <w:tcPr>
            <w:tcW w:w="3700" w:type="dxa"/>
            <w:vAlign w:val="bottom"/>
          </w:tcPr>
          <w:p>
            <w:pPr>
              <w:ind w:left="10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Del Mar Village</w:t>
            </w:r>
          </w:p>
        </w:tc>
        <w:tc>
          <w:tcPr>
            <w:tcW w:w="1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Boca Raton, FL</w:t>
            </w:r>
          </w:p>
        </w:tc>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Towson land parcel</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Towson, MD</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Leesburg Plaza</w:t>
            </w:r>
          </w:p>
        </w:tc>
        <w:tc>
          <w:tcPr>
            <w:tcW w:w="1860" w:type="dxa"/>
            <w:vAlign w:val="bottom"/>
          </w:tcPr>
          <w:p>
            <w:pPr>
              <w:ind w:left="80"/>
              <w:spacing w:after="0"/>
              <w:rPr>
                <w:sz w:val="20"/>
                <w:szCs w:val="20"/>
                <w:color w:val="auto"/>
              </w:rPr>
            </w:pPr>
            <w:r>
              <w:rPr>
                <w:rFonts w:ascii="Arial" w:cs="Arial" w:eastAsia="Arial" w:hAnsi="Arial"/>
                <w:sz w:val="16"/>
                <w:szCs w:val="16"/>
                <w:color w:val="auto"/>
              </w:rPr>
              <w:t>Leesburg, VA</w:t>
            </w:r>
          </w:p>
        </w:tc>
        <w:tc>
          <w:tcPr>
            <w:tcW w:w="304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24"/>
        </w:trPr>
        <w:tc>
          <w:tcPr>
            <w:tcW w:w="2820" w:type="dxa"/>
            <w:vAlign w:val="bottom"/>
            <w:gridSpan w:val="4"/>
          </w:tcPr>
          <w:p>
            <w:pPr>
              <w:ind w:left="40"/>
              <w:spacing w:after="0"/>
              <w:rPr>
                <w:sz w:val="20"/>
                <w:szCs w:val="20"/>
                <w:color w:val="auto"/>
              </w:rPr>
            </w:pPr>
            <w:r>
              <w:rPr>
                <w:rFonts w:ascii="Arial" w:cs="Arial" w:eastAsia="Arial" w:hAnsi="Arial"/>
                <w:sz w:val="16"/>
                <w:szCs w:val="16"/>
                <w:b w:val="1"/>
                <w:bCs w:val="1"/>
                <w:color w:val="auto"/>
                <w:w w:val="94"/>
              </w:rPr>
              <w:t>Longer Term Mixed-Use Opportunities</w:t>
            </w:r>
          </w:p>
        </w:tc>
        <w:tc>
          <w:tcPr>
            <w:tcW w:w="18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Assembly Row (1)</w:t>
            </w:r>
          </w:p>
        </w:tc>
        <w:tc>
          <w:tcPr>
            <w:tcW w:w="1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Somerville, MA</w:t>
            </w:r>
          </w:p>
        </w:tc>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Pike &amp; Rose (2)</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Rockville, MD</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 Cynwyd</w:t>
            </w:r>
          </w:p>
        </w:tc>
        <w:tc>
          <w:tcPr>
            <w:tcW w:w="1860" w:type="dxa"/>
            <w:vAlign w:val="bottom"/>
          </w:tcPr>
          <w:p>
            <w:pPr>
              <w:ind w:left="80"/>
              <w:spacing w:after="0"/>
              <w:rPr>
                <w:sz w:val="20"/>
                <w:szCs w:val="20"/>
                <w:color w:val="auto"/>
              </w:rPr>
            </w:pPr>
            <w:r>
              <w:rPr>
                <w:rFonts w:ascii="Arial" w:cs="Arial" w:eastAsia="Arial" w:hAnsi="Arial"/>
                <w:sz w:val="16"/>
                <w:szCs w:val="16"/>
                <w:color w:val="auto"/>
              </w:rPr>
              <w:t>Bala Cynwyd, PA</w:t>
            </w:r>
          </w:p>
        </w:tc>
        <w:tc>
          <w:tcPr>
            <w:tcW w:w="3040" w:type="dxa"/>
            <w:vAlign w:val="bottom"/>
          </w:tcPr>
          <w:p>
            <w:pPr>
              <w:ind w:left="520"/>
              <w:spacing w:after="0"/>
              <w:rPr>
                <w:sz w:val="20"/>
                <w:szCs w:val="20"/>
                <w:color w:val="auto"/>
              </w:rPr>
            </w:pPr>
            <w:r>
              <w:rPr>
                <w:rFonts w:ascii="Arial" w:cs="Arial" w:eastAsia="Arial" w:hAnsi="Arial"/>
                <w:sz w:val="16"/>
                <w:szCs w:val="16"/>
                <w:b w:val="1"/>
                <w:bCs w:val="1"/>
                <w:color w:val="auto"/>
              </w:rPr>
              <w:t>Santana Row (3)</w:t>
            </w:r>
          </w:p>
        </w:tc>
        <w:tc>
          <w:tcPr>
            <w:tcW w:w="370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w w:val="94"/>
              </w:rPr>
              <w:t>Santana Row - Winchester Theater</w:t>
            </w:r>
          </w:p>
        </w:tc>
        <w:tc>
          <w:tcPr>
            <w:tcW w:w="370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Pike 7</w:t>
            </w:r>
          </w:p>
        </w:tc>
        <w:tc>
          <w:tcPr>
            <w:tcW w:w="1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Vienna, VA</w:t>
            </w:r>
          </w:p>
        </w:tc>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site</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70"/>
        </w:trPr>
        <w:tc>
          <w:tcPr>
            <w:tcW w:w="4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24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30"/>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186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r>
      <w:tr>
        <w:trPr>
          <w:trHeight w:val="157"/>
        </w:trPr>
        <w:tc>
          <w:tcPr>
            <w:tcW w:w="3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(1)</w:t>
            </w:r>
          </w:p>
        </w:tc>
        <w:tc>
          <w:tcPr>
            <w:tcW w:w="25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Assembly Row</w:t>
            </w:r>
          </w:p>
        </w:tc>
        <w:tc>
          <w:tcPr>
            <w:tcW w:w="8600" w:type="dxa"/>
            <w:vAlign w:val="bottom"/>
            <w:gridSpan w:val="3"/>
          </w:tcPr>
          <w:p>
            <w:pPr>
              <w:ind w:left="80"/>
              <w:spacing w:after="0" w:line="157" w:lineRule="exact"/>
              <w:rPr>
                <w:sz w:val="20"/>
                <w:szCs w:val="20"/>
                <w:color w:val="auto"/>
              </w:rPr>
            </w:pPr>
            <w:r>
              <w:rPr>
                <w:rFonts w:ascii="Arial" w:cs="Arial" w:eastAsia="Arial" w:hAnsi="Arial"/>
                <w:sz w:val="14"/>
                <w:szCs w:val="14"/>
                <w:color w:val="auto"/>
                <w:w w:val="94"/>
              </w:rPr>
              <w:t>Remaining entitlements after Phase I include approximately 3.0 million square feet of commercial-use buildings, 1,393 residential units, and a 170</w:t>
            </w:r>
          </w:p>
        </w:tc>
      </w:tr>
      <w:tr>
        <w:trPr>
          <w:trHeight w:val="188"/>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Arial" w:cs="Arial" w:eastAsia="Arial" w:hAnsi="Arial"/>
                <w:sz w:val="14"/>
                <w:szCs w:val="14"/>
                <w:color w:val="auto"/>
              </w:rPr>
              <w:t>room hotel.</w:t>
            </w:r>
          </w:p>
        </w:tc>
        <w:tc>
          <w:tcPr>
            <w:tcW w:w="304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209"/>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Pike &amp; Rose</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Remaining entitlements after Phase II include 1.0 million square feet of commercial-use buildings and 744 residential units.</w:t>
            </w:r>
          </w:p>
        </w:tc>
      </w:tr>
      <w:tr>
        <w:trPr>
          <w:trHeight w:val="157"/>
        </w:trPr>
        <w:tc>
          <w:tcPr>
            <w:tcW w:w="3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w:t>
            </w:r>
          </w:p>
        </w:tc>
        <w:tc>
          <w:tcPr>
            <w:tcW w:w="25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Santana Row</w:t>
            </w:r>
          </w:p>
        </w:tc>
        <w:tc>
          <w:tcPr>
            <w:tcW w:w="8600" w:type="dxa"/>
            <w:vAlign w:val="bottom"/>
            <w:gridSpan w:val="3"/>
          </w:tcPr>
          <w:p>
            <w:pPr>
              <w:ind w:left="80"/>
              <w:spacing w:after="0" w:line="157" w:lineRule="exact"/>
              <w:rPr>
                <w:sz w:val="20"/>
                <w:szCs w:val="20"/>
                <w:color w:val="auto"/>
              </w:rPr>
            </w:pPr>
            <w:r>
              <w:rPr>
                <w:rFonts w:ascii="Arial" w:cs="Arial" w:eastAsia="Arial" w:hAnsi="Arial"/>
                <w:sz w:val="14"/>
                <w:szCs w:val="14"/>
                <w:color w:val="auto"/>
                <w:w w:val="95"/>
              </w:rPr>
              <w:t>Current remaining entitlements for this property include 348 residential units and 69,000 square feet of commercial space for retail and office; we</w:t>
            </w:r>
          </w:p>
        </w:tc>
      </w:tr>
      <w:tr>
        <w:trPr>
          <w:trHeight w:val="182"/>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900" w:type="dxa"/>
            <w:vAlign w:val="bottom"/>
            <w:gridSpan w:val="2"/>
          </w:tcPr>
          <w:p>
            <w:pPr>
              <w:ind w:left="80"/>
              <w:spacing w:after="0"/>
              <w:rPr>
                <w:sz w:val="20"/>
                <w:szCs w:val="20"/>
                <w:color w:val="auto"/>
              </w:rPr>
            </w:pPr>
            <w:r>
              <w:rPr>
                <w:rFonts w:ascii="Arial" w:cs="Arial" w:eastAsia="Arial" w:hAnsi="Arial"/>
                <w:sz w:val="14"/>
                <w:szCs w:val="14"/>
                <w:color w:val="auto"/>
              </w:rPr>
              <w:t>are currently seeking additional entitlements.</w:t>
            </w:r>
          </w:p>
        </w:tc>
        <w:tc>
          <w:tcPr>
            <w:tcW w:w="3700" w:type="dxa"/>
            <w:vAlign w:val="bottom"/>
          </w:tcPr>
          <w:p>
            <w:pPr>
              <w:spacing w:after="0"/>
              <w:rPr>
                <w:sz w:val="15"/>
                <w:szCs w:val="15"/>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7"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2014 Significant Acquisition &amp; Disposition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2014 Significant Acquisition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27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Property</w:t>
            </w:r>
          </w:p>
        </w:tc>
        <w:tc>
          <w:tcPr>
            <w:tcW w:w="1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City/State</w:t>
            </w:r>
          </w:p>
        </w:tc>
        <w:tc>
          <w:tcPr>
            <w:tcW w:w="128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rPr>
              <w:t>GLA</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25"/>
              <w:spacing w:after="0"/>
              <w:rPr>
                <w:sz w:val="20"/>
                <w:szCs w:val="20"/>
                <w:color w:val="auto"/>
              </w:rPr>
            </w:pPr>
            <w:r>
              <w:rPr>
                <w:rFonts w:ascii="Arial" w:cs="Arial" w:eastAsia="Arial" w:hAnsi="Arial"/>
                <w:sz w:val="14"/>
                <w:szCs w:val="14"/>
                <w:b w:val="1"/>
                <w:bCs w:val="1"/>
                <w:color w:val="auto"/>
                <w:w w:val="90"/>
              </w:rPr>
              <w:t>Purchase Price</w:t>
            </w:r>
          </w:p>
        </w:tc>
        <w:tc>
          <w:tcPr>
            <w:tcW w:w="26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Principal Tenants</w:t>
            </w:r>
          </w:p>
        </w:tc>
      </w:tr>
      <w:tr>
        <w:trPr>
          <w:trHeight w:val="190"/>
        </w:trPr>
        <w:tc>
          <w:tcPr>
            <w:tcW w:w="1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80" w:type="dxa"/>
            <w:vAlign w:val="bottom"/>
          </w:tcPr>
          <w:p>
            <w:pPr>
              <w:jc w:val="center"/>
              <w:ind w:right="5"/>
              <w:spacing w:after="0"/>
              <w:rPr>
                <w:sz w:val="20"/>
                <w:szCs w:val="20"/>
                <w:color w:val="auto"/>
              </w:rPr>
            </w:pPr>
            <w:r>
              <w:rPr>
                <w:rFonts w:ascii="Arial" w:cs="Arial" w:eastAsia="Arial" w:hAnsi="Arial"/>
                <w:sz w:val="14"/>
                <w:szCs w:val="14"/>
                <w:b w:val="1"/>
                <w:bCs w:val="1"/>
                <w:color w:val="auto"/>
                <w:w w:val="91"/>
              </w:rPr>
              <w:t>(in square feet)</w:t>
            </w:r>
          </w:p>
        </w:tc>
        <w:tc>
          <w:tcPr>
            <w:tcW w:w="320" w:type="dxa"/>
            <w:vAlign w:val="bottom"/>
          </w:tcPr>
          <w:p>
            <w:pPr>
              <w:spacing w:after="0"/>
              <w:rPr>
                <w:sz w:val="16"/>
                <w:szCs w:val="16"/>
                <w:color w:val="auto"/>
              </w:rPr>
            </w:pPr>
          </w:p>
        </w:tc>
        <w:tc>
          <w:tcPr>
            <w:tcW w:w="1460" w:type="dxa"/>
            <w:vAlign w:val="bottom"/>
          </w:tcPr>
          <w:p>
            <w:pPr>
              <w:jc w:val="center"/>
              <w:ind w:right="405"/>
              <w:spacing w:after="0"/>
              <w:rPr>
                <w:sz w:val="20"/>
                <w:szCs w:val="20"/>
                <w:color w:val="auto"/>
              </w:rPr>
            </w:pPr>
            <w:r>
              <w:rPr>
                <w:rFonts w:ascii="Arial" w:cs="Arial" w:eastAsia="Arial" w:hAnsi="Arial"/>
                <w:sz w:val="14"/>
                <w:szCs w:val="14"/>
                <w:b w:val="1"/>
                <w:bCs w:val="1"/>
                <w:color w:val="auto"/>
                <w:w w:val="94"/>
              </w:rPr>
              <w:t>(in millions)</w:t>
            </w:r>
          </w:p>
        </w:tc>
        <w:tc>
          <w:tcPr>
            <w:tcW w:w="2600" w:type="dxa"/>
            <w:vAlign w:val="bottom"/>
          </w:tcPr>
          <w:p>
            <w:pPr>
              <w:spacing w:after="0"/>
              <w:rPr>
                <w:sz w:val="16"/>
                <w:szCs w:val="16"/>
                <w:color w:val="auto"/>
              </w:rPr>
            </w:pPr>
          </w:p>
        </w:tc>
      </w:tr>
      <w:tr>
        <w:trPr>
          <w:trHeight w:val="80"/>
        </w:trPr>
        <w:tc>
          <w:tcPr>
            <w:tcW w:w="14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0" w:type="dxa"/>
            <w:vAlign w:val="bottom"/>
          </w:tcPr>
          <w:p>
            <w:pPr>
              <w:spacing w:after="0"/>
              <w:rPr>
                <w:sz w:val="6"/>
                <w:szCs w:val="6"/>
                <w:color w:val="auto"/>
              </w:rPr>
            </w:pPr>
          </w:p>
        </w:tc>
      </w:tr>
      <w:tr>
        <w:trPr>
          <w:trHeight w:val="220"/>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2014</w:t>
            </w:r>
          </w:p>
        </w:tc>
        <w:tc>
          <w:tcPr>
            <w:tcW w:w="270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6"/>
              </w:rPr>
              <w:t>The Grove at Shrewsbury/ Brook</w:t>
            </w:r>
          </w:p>
        </w:tc>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Shrewsbury, NJ/ Sea</w:t>
            </w:r>
          </w:p>
        </w:tc>
        <w:tc>
          <w:tcPr>
            <w:tcW w:w="1280" w:type="dxa"/>
            <w:vAlign w:val="bottom"/>
            <w:shd w:val="clear" w:color="auto" w:fill="CCEEFF"/>
          </w:tcPr>
          <w:p>
            <w:pPr>
              <w:jc w:val="center"/>
              <w:ind w:right="5"/>
              <w:spacing w:after="0"/>
              <w:rPr>
                <w:sz w:val="20"/>
                <w:szCs w:val="20"/>
                <w:color w:val="auto"/>
              </w:rPr>
            </w:pPr>
            <w:r>
              <w:rPr>
                <w:rFonts w:ascii="Arial" w:cs="Arial" w:eastAsia="Arial" w:hAnsi="Arial"/>
                <w:sz w:val="16"/>
                <w:szCs w:val="16"/>
                <w:color w:val="auto"/>
                <w:w w:val="89"/>
              </w:rPr>
              <w:t>286,000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161.0  (1)</w:t>
            </w: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Anthropologie / Banana Republic /</w:t>
            </w:r>
          </w:p>
        </w:tc>
      </w:tr>
      <w:tr>
        <w:trPr>
          <w:trHeight w:val="203"/>
        </w:trPr>
        <w:tc>
          <w:tcPr>
            <w:tcW w:w="1460" w:type="dxa"/>
            <w:vAlign w:val="bottom"/>
            <w:shd w:val="clear" w:color="auto" w:fill="CCEEFF"/>
          </w:tcPr>
          <w:p>
            <w:pPr>
              <w:spacing w:after="0"/>
              <w:rPr>
                <w:sz w:val="17"/>
                <w:szCs w:val="17"/>
                <w:color w:val="auto"/>
              </w:rPr>
            </w:pPr>
          </w:p>
        </w:tc>
        <w:tc>
          <w:tcPr>
            <w:tcW w:w="2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35</w:t>
            </w:r>
          </w:p>
        </w:tc>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Girt, NJ</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Brooks Brothers / Coach / Pottery</w:t>
            </w:r>
          </w:p>
        </w:tc>
      </w:tr>
      <w:tr>
        <w:trPr>
          <w:trHeight w:val="206"/>
        </w:trPr>
        <w:tc>
          <w:tcPr>
            <w:tcW w:w="146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Barn / Williams-Sonoma</w:t>
            </w:r>
          </w:p>
        </w:tc>
      </w:tr>
      <w:tr>
        <w:trPr>
          <w:trHeight w:val="33"/>
        </w:trPr>
        <w:tc>
          <w:tcPr>
            <w:tcW w:w="14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40" w:right="640" w:hanging="5"/>
        <w:spacing w:after="0" w:line="293" w:lineRule="auto"/>
        <w:tabs>
          <w:tab w:leader="none" w:pos="2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effective economic interest approximates 84% and was funded by the assumption of our share of $68 million of mortgage debt, 632,000 downREIT operating partnership units, and $13 million of cash.</w: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2014 Disposition - 30% Owned Joint Venture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Date</w:t>
            </w:r>
          </w:p>
        </w:tc>
        <w:tc>
          <w:tcPr>
            <w:tcW w:w="21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Property</w:t>
            </w:r>
          </w:p>
        </w:tc>
        <w:tc>
          <w:tcPr>
            <w:tcW w:w="20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City/State</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GLA</w:t>
            </w:r>
          </w:p>
        </w:tc>
        <w:tc>
          <w:tcPr>
            <w:tcW w:w="400" w:type="dxa"/>
            <w:vAlign w:val="bottom"/>
          </w:tcPr>
          <w:p>
            <w:pPr>
              <w:spacing w:after="0"/>
              <w:rPr>
                <w:sz w:val="14"/>
                <w:szCs w:val="14"/>
                <w:color w:val="auto"/>
              </w:rPr>
            </w:pPr>
          </w:p>
        </w:tc>
        <w:tc>
          <w:tcPr>
            <w:tcW w:w="1340" w:type="dxa"/>
            <w:vAlign w:val="bottom"/>
            <w:vMerge w:val="restart"/>
          </w:tcPr>
          <w:p>
            <w:pPr>
              <w:jc w:val="center"/>
              <w:ind w:right="325"/>
              <w:spacing w:after="0"/>
              <w:rPr>
                <w:sz w:val="20"/>
                <w:szCs w:val="20"/>
                <w:color w:val="auto"/>
              </w:rPr>
            </w:pPr>
            <w:r>
              <w:rPr>
                <w:rFonts w:ascii="Arial" w:cs="Arial" w:eastAsia="Arial" w:hAnsi="Arial"/>
                <w:sz w:val="14"/>
                <w:szCs w:val="14"/>
                <w:b w:val="1"/>
                <w:bCs w:val="1"/>
                <w:color w:val="auto"/>
                <w:w w:val="88"/>
              </w:rPr>
              <w:t>Sales Price</w:t>
            </w:r>
          </w:p>
        </w:tc>
        <w:tc>
          <w:tcPr>
            <w:tcW w:w="420" w:type="dxa"/>
            <w:vAlign w:val="bottom"/>
          </w:tcPr>
          <w:p>
            <w:pPr>
              <w:spacing w:after="0"/>
              <w:rPr>
                <w:sz w:val="14"/>
                <w:szCs w:val="14"/>
                <w:color w:val="auto"/>
              </w:rPr>
            </w:pPr>
          </w:p>
        </w:tc>
        <w:tc>
          <w:tcPr>
            <w:tcW w:w="94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6"/>
              </w:rPr>
              <w:t>Total Gain</w:t>
            </w:r>
          </w:p>
        </w:tc>
        <w:tc>
          <w:tcPr>
            <w:tcW w:w="180" w:type="dxa"/>
            <w:vAlign w:val="bottom"/>
          </w:tcPr>
          <w:p>
            <w:pPr>
              <w:spacing w:after="0"/>
              <w:rPr>
                <w:sz w:val="14"/>
                <w:szCs w:val="14"/>
                <w:color w:val="auto"/>
              </w:rPr>
            </w:pPr>
          </w:p>
        </w:tc>
        <w:tc>
          <w:tcPr>
            <w:tcW w:w="1100" w:type="dxa"/>
            <w:vAlign w:val="bottom"/>
          </w:tcPr>
          <w:p>
            <w:pPr>
              <w:jc w:val="center"/>
              <w:ind w:right="66"/>
              <w:spacing w:after="0"/>
              <w:rPr>
                <w:sz w:val="20"/>
                <w:szCs w:val="20"/>
                <w:color w:val="auto"/>
              </w:rPr>
            </w:pPr>
            <w:r>
              <w:rPr>
                <w:rFonts w:ascii="Arial" w:cs="Arial" w:eastAsia="Arial" w:hAnsi="Arial"/>
                <w:sz w:val="14"/>
                <w:szCs w:val="14"/>
                <w:b w:val="1"/>
                <w:bCs w:val="1"/>
                <w:color w:val="auto"/>
                <w:w w:val="96"/>
              </w:rPr>
              <w:t>Federal Realty</w:t>
            </w:r>
          </w:p>
        </w:tc>
        <w:tc>
          <w:tcPr>
            <w:tcW w:w="0" w:type="dxa"/>
            <w:vAlign w:val="bottom"/>
          </w:tcPr>
          <w:p>
            <w:pPr>
              <w:spacing w:after="0"/>
              <w:rPr>
                <w:sz w:val="1"/>
                <w:szCs w:val="1"/>
                <w:color w:val="auto"/>
              </w:rPr>
            </w:pPr>
          </w:p>
        </w:tc>
      </w:tr>
      <w:tr>
        <w:trPr>
          <w:trHeight w:val="192"/>
        </w:trPr>
        <w:tc>
          <w:tcPr>
            <w:tcW w:w="140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2"/>
              </w:rPr>
              <w:t>Share of Gain</w:t>
            </w:r>
          </w:p>
        </w:tc>
        <w:tc>
          <w:tcPr>
            <w:tcW w:w="0" w:type="dxa"/>
            <w:vAlign w:val="bottom"/>
          </w:tcPr>
          <w:p>
            <w:pPr>
              <w:spacing w:after="0"/>
              <w:rPr>
                <w:sz w:val="1"/>
                <w:szCs w:val="1"/>
                <w:color w:val="auto"/>
              </w:rPr>
            </w:pPr>
          </w:p>
        </w:tc>
      </w:tr>
      <w:tr>
        <w:trPr>
          <w:trHeight w:val="190"/>
        </w:trPr>
        <w:tc>
          <w:tcPr>
            <w:tcW w:w="1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400" w:type="dxa"/>
            <w:vAlign w:val="bottom"/>
          </w:tcPr>
          <w:p>
            <w:pPr>
              <w:spacing w:after="0"/>
              <w:rPr>
                <w:sz w:val="16"/>
                <w:szCs w:val="16"/>
                <w:color w:val="auto"/>
              </w:rPr>
            </w:pPr>
          </w:p>
        </w:tc>
        <w:tc>
          <w:tcPr>
            <w:tcW w:w="1340" w:type="dxa"/>
            <w:vAlign w:val="bottom"/>
          </w:tcPr>
          <w:p>
            <w:pPr>
              <w:jc w:val="center"/>
              <w:ind w:right="325"/>
              <w:spacing w:after="0"/>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6"/>
                <w:szCs w:val="16"/>
                <w:color w:val="auto"/>
              </w:rPr>
            </w:pPr>
          </w:p>
        </w:tc>
        <w:tc>
          <w:tcPr>
            <w:tcW w:w="940" w:type="dxa"/>
            <w:vAlign w:val="bottom"/>
          </w:tcPr>
          <w:p>
            <w:pPr>
              <w:jc w:val="center"/>
              <w:ind w:right="45"/>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6"/>
                <w:szCs w:val="16"/>
                <w:color w:val="auto"/>
              </w:rPr>
            </w:pPr>
          </w:p>
        </w:tc>
        <w:tc>
          <w:tcPr>
            <w:tcW w:w="1100" w:type="dxa"/>
            <w:vAlign w:val="bottom"/>
          </w:tcPr>
          <w:p>
            <w:pPr>
              <w:jc w:val="center"/>
              <w:ind w:right="8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80"/>
        </w:trPr>
        <w:tc>
          <w:tcPr>
            <w:tcW w:w="14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July 24, 2014</w:t>
            </w:r>
          </w:p>
        </w:tc>
        <w:tc>
          <w:tcPr>
            <w:tcW w:w="2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Pleasant Shops</w:t>
            </w:r>
          </w:p>
        </w:tc>
        <w:tc>
          <w:tcPr>
            <w:tcW w:w="20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Weymouth, MA</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131,000</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5"/>
              <w:spacing w:after="0"/>
              <w:rPr>
                <w:sz w:val="20"/>
                <w:szCs w:val="20"/>
                <w:color w:val="auto"/>
              </w:rPr>
            </w:pPr>
            <w:r>
              <w:rPr>
                <w:rFonts w:ascii="Arial" w:cs="Arial" w:eastAsia="Arial" w:hAnsi="Arial"/>
                <w:sz w:val="16"/>
                <w:szCs w:val="16"/>
                <w:color w:val="auto"/>
              </w:rPr>
              <w:t>34.3</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47"/>
        </w:trPr>
        <w:tc>
          <w:tcPr>
            <w:tcW w:w="140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3200" w:type="dxa"/>
            <w:vAlign w:val="bottom"/>
          </w:tcPr>
          <w:p>
            <w:pPr>
              <w:spacing w:after="0"/>
              <w:rPr>
                <w:sz w:val="11"/>
                <w:szCs w:val="11"/>
                <w:color w:val="auto"/>
              </w:rPr>
            </w:pPr>
          </w:p>
        </w:tc>
      </w:tr>
      <w:tr>
        <w:trPr>
          <w:trHeight w:val="174"/>
        </w:trPr>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MSA Description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9"/>
              </w:rPr>
              <w:t>Washington, DC-MD-VA</w:t>
            </w:r>
          </w:p>
        </w:tc>
        <w:tc>
          <w:tcPr>
            <w:tcW w:w="1640" w:type="dxa"/>
            <w:vAlign w:val="bottom"/>
            <w:gridSpan w:val="2"/>
          </w:tcPr>
          <w:p>
            <w:pPr>
              <w:jc w:val="right"/>
              <w:ind w:right="57"/>
              <w:spacing w:after="0" w:line="148" w:lineRule="exact"/>
              <w:rPr>
                <w:sz w:val="20"/>
                <w:szCs w:val="20"/>
                <w:color w:val="auto"/>
              </w:rPr>
            </w:pPr>
            <w:r>
              <w:rPr>
                <w:rFonts w:ascii="Arial" w:cs="Arial" w:eastAsia="Arial" w:hAnsi="Arial"/>
                <w:sz w:val="13"/>
                <w:szCs w:val="13"/>
                <w:color w:val="auto"/>
              </w:rPr>
              <w:t>1993- $ 222,381</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6"/>
              </w:rPr>
              <w:t>Apple Computer / Barnes &amp; Noble / Equinox / Landmark</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w w:val="97"/>
              </w:rPr>
              <w:t>2006/2008/2010</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Theater</w:t>
            </w: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78,823</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Fresh Market</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Buy Baby / Container Store / Last Call Studio by</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Neiman Marcus</w:t>
            </w: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4,758</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rPr>
                <w:sz w:val="20"/>
                <w:szCs w:val="20"/>
                <w:color w:val="auto"/>
              </w:rPr>
            </w:pPr>
            <w:r>
              <w:rPr>
                <w:rFonts w:ascii="Arial" w:cs="Arial" w:eastAsia="Arial" w:hAnsi="Arial"/>
                <w:sz w:val="13"/>
                <w:szCs w:val="13"/>
                <w:color w:val="auto"/>
              </w:rPr>
              <w:t>67%</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3"/>
              </w:rPr>
              <w:t>Falls Plaza/Falls Plaza-East</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12,761</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Federal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65,781</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14,000</w:t>
            </w:r>
          </w:p>
        </w:tc>
        <w:tc>
          <w:tcPr>
            <w:tcW w:w="820" w:type="dxa"/>
            <w:vAlign w:val="bottom"/>
          </w:tcPr>
          <w:p>
            <w:pPr>
              <w:ind w:left="100"/>
              <w:spacing w:after="0"/>
              <w:rPr>
                <w:sz w:val="20"/>
                <w:szCs w:val="20"/>
                <w:color w:val="auto"/>
              </w:rPr>
            </w:pPr>
            <w:r>
              <w:rPr>
                <w:rFonts w:ascii="Arial" w:cs="Arial" w:eastAsia="Arial" w:hAnsi="Arial"/>
                <w:sz w:val="13"/>
                <w:szCs w:val="13"/>
                <w:color w:val="auto"/>
                <w:w w:val="97"/>
              </w:rPr>
              <w:t>Trader Joe's</w:t>
            </w:r>
          </w:p>
        </w:tc>
        <w:tc>
          <w:tcPr>
            <w:tcW w:w="3200" w:type="dxa"/>
            <w:vAlign w:val="bottom"/>
          </w:tcPr>
          <w:p>
            <w:pPr>
              <w:ind w:left="6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36,224</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Maggiano's / Nordstrom Rack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Gaithersburg Square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25,727</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Bed, Bath &amp; Beyond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Graham Park</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33,734</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Stein Mart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Idylwood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16,698</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30,000</w:t>
            </w:r>
          </w:p>
        </w:tc>
        <w:tc>
          <w:tcPr>
            <w:tcW w:w="820" w:type="dxa"/>
            <w:vAlign w:val="bottom"/>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51,556</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Leesburg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35,411</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580" w:type="dxa"/>
            <w:vAlign w:val="bottom"/>
          </w:tcPr>
          <w:p>
            <w:pPr>
              <w:ind w:left="60"/>
              <w:spacing w:after="0"/>
              <w:rPr>
                <w:sz w:val="20"/>
                <w:szCs w:val="20"/>
                <w:color w:val="auto"/>
              </w:rPr>
            </w:pPr>
            <w:r>
              <w:rPr>
                <w:rFonts w:ascii="Arial" w:cs="Arial" w:eastAsia="Arial" w:hAnsi="Arial"/>
                <w:sz w:val="13"/>
                <w:szCs w:val="13"/>
                <w:color w:val="auto"/>
              </w:rPr>
              <w:t>55,000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Montrose Crossing</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2011/2013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152,929</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76,241</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73,000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Marshalls / Sports Authority / Barnes &amp; Noble / A.C. Moore</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2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80,702</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570,000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62,000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Shoppers</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4"/>
              </w:rPr>
              <w:t>Bed, Bath &amp; Beyond / Michaels / Home Depot / TJ Maxx /</w:t>
            </w:r>
          </w:p>
        </w:tc>
      </w:tr>
      <w:tr>
        <w:trPr>
          <w:trHeight w:val="135"/>
        </w:trPr>
        <w:tc>
          <w:tcPr>
            <w:tcW w:w="156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4"/>
              </w:rPr>
              <w:t>Valley/7770 Richmond Hwy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3"/>
                <w:szCs w:val="13"/>
                <w:color w:val="auto"/>
              </w:rPr>
              <w:t>Food</w:t>
            </w:r>
          </w:p>
        </w:tc>
        <w:tc>
          <w:tcPr>
            <w:tcW w:w="3200" w:type="dxa"/>
            <w:vAlign w:val="bottom"/>
          </w:tcPr>
          <w:p>
            <w:pPr>
              <w:ind w:left="60"/>
              <w:spacing w:after="0" w:line="135" w:lineRule="exact"/>
              <w:rPr>
                <w:sz w:val="20"/>
                <w:szCs w:val="20"/>
                <w:color w:val="auto"/>
              </w:rPr>
            </w:pPr>
            <w:r>
              <w:rPr>
                <w:rFonts w:ascii="Arial" w:cs="Arial" w:eastAsia="Arial" w:hAnsi="Arial"/>
                <w:sz w:val="13"/>
                <w:szCs w:val="13"/>
                <w:color w:val="auto"/>
              </w:rPr>
              <w:t>Gold's Gym / Staples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Warehouse</w:t>
            </w:r>
          </w:p>
        </w:tc>
        <w:tc>
          <w:tcPr>
            <w:tcW w:w="3200" w:type="dxa"/>
            <w:vAlign w:val="bottom"/>
          </w:tcPr>
          <w:p>
            <w:pPr>
              <w:spacing w:after="0"/>
              <w:rPr>
                <w:sz w:val="14"/>
                <w:szCs w:val="14"/>
                <w:color w:val="auto"/>
              </w:rPr>
            </w:pPr>
          </w:p>
        </w:tc>
      </w:tr>
      <w:tr>
        <w:trPr>
          <w:trHeight w:val="181"/>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Keene Mill</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6,604</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24,000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Pan Am</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28,711</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65,000</w:t>
            </w:r>
          </w:p>
        </w:tc>
        <w:tc>
          <w:tcPr>
            <w:tcW w:w="820" w:type="dxa"/>
            <w:vAlign w:val="bottom"/>
          </w:tcPr>
          <w:p>
            <w:pPr>
              <w:ind w:left="100"/>
              <w:spacing w:after="0"/>
              <w:rPr>
                <w:sz w:val="20"/>
                <w:szCs w:val="20"/>
                <w:color w:val="auto"/>
              </w:rPr>
            </w:pPr>
            <w:r>
              <w:rPr>
                <w:rFonts w:ascii="Arial" w:cs="Arial" w:eastAsia="Arial" w:hAnsi="Arial"/>
                <w:sz w:val="13"/>
                <w:szCs w:val="13"/>
                <w:color w:val="auto"/>
              </w:rPr>
              <w:t>Safeway</w:t>
            </w:r>
          </w:p>
        </w:tc>
        <w:tc>
          <w:tcPr>
            <w:tcW w:w="3200" w:type="dxa"/>
            <w:vAlign w:val="bottom"/>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Pentagon Row</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98,181</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2"/>
              </w:rPr>
              <w:t>Harris Teeter</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Bed, Bath &amp; Beyond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Pike &amp; Rose</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w w:val="97"/>
              </w:rPr>
              <w:t>1982/2007/2012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265,247</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36,202</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31,728</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262,000</w:t>
            </w:r>
          </w:p>
        </w:tc>
        <w:tc>
          <w:tcPr>
            <w:tcW w:w="500" w:type="dxa"/>
            <w:vAlign w:val="bottom"/>
          </w:tcPr>
          <w:p>
            <w:pPr>
              <w:jc w:val="right"/>
              <w:spacing w:after="0"/>
              <w:rPr>
                <w:sz w:val="20"/>
                <w:szCs w:val="20"/>
                <w:color w:val="auto"/>
              </w:rPr>
            </w:pPr>
            <w:r>
              <w:rPr>
                <w:rFonts w:ascii="Arial" w:cs="Arial" w:eastAsia="Arial" w:hAnsi="Arial"/>
                <w:sz w:val="13"/>
                <w:szCs w:val="13"/>
                <w:color w:val="auto"/>
              </w:rPr>
              <w:t>87%</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HomeGoods / 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Rockville Town Square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50,020</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4,512</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Gold's Gym</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Rollingwood Apartments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1971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9,792</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22,230</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12,479</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Tower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21,269</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109,000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ind w:left="60"/>
              <w:spacing w:after="0"/>
              <w:rPr>
                <w:sz w:val="20"/>
                <w:szCs w:val="20"/>
                <w:color w:val="auto"/>
              </w:rPr>
            </w:pPr>
            <w:r>
              <w:rPr>
                <w:rFonts w:ascii="Arial" w:cs="Arial" w:eastAsia="Arial" w:hAnsi="Arial"/>
                <w:sz w:val="13"/>
                <w:szCs w:val="13"/>
                <w:color w:val="auto"/>
              </w:rPr>
              <w:t>26,000</w:t>
            </w:r>
          </w:p>
        </w:tc>
        <w:tc>
          <w:tcPr>
            <w:tcW w:w="820" w:type="dxa"/>
            <w:vAlign w:val="bottom"/>
          </w:tcPr>
          <w:p>
            <w:pPr>
              <w:ind w:left="100"/>
              <w:spacing w:after="0"/>
              <w:rPr>
                <w:sz w:val="20"/>
                <w:szCs w:val="20"/>
                <w:color w:val="auto"/>
              </w:rPr>
            </w:pPr>
            <w:r>
              <w:rPr>
                <w:rFonts w:ascii="Arial" w:cs="Arial" w:eastAsia="Arial" w:hAnsi="Arial"/>
                <w:sz w:val="13"/>
                <w:szCs w:val="13"/>
                <w:color w:val="auto"/>
              </w:rPr>
              <w:t>L.A. Mart</w:t>
            </w:r>
          </w:p>
        </w:tc>
        <w:tc>
          <w:tcPr>
            <w:tcW w:w="3200" w:type="dxa"/>
            <w:vAlign w:val="bottom"/>
          </w:tcPr>
          <w:p>
            <w:pPr>
              <w:ind w:left="60"/>
              <w:spacing w:after="0"/>
              <w:rPr>
                <w:sz w:val="20"/>
                <w:szCs w:val="20"/>
                <w:color w:val="auto"/>
              </w:rPr>
            </w:pPr>
            <w:r>
              <w:rPr>
                <w:rFonts w:ascii="Arial" w:cs="Arial" w:eastAsia="Arial" w:hAnsi="Arial"/>
                <w:sz w:val="13"/>
                <w:szCs w:val="13"/>
                <w:color w:val="auto"/>
              </w:rPr>
              <w:t>Talbots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4,488</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Trader Joe's</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59,569</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6,480</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ind w:left="60"/>
              <w:spacing w:after="0"/>
              <w:rPr>
                <w:sz w:val="20"/>
                <w:szCs w:val="20"/>
                <w:color w:val="auto"/>
              </w:rPr>
            </w:pPr>
            <w:r>
              <w:rPr>
                <w:rFonts w:ascii="Arial" w:cs="Arial" w:eastAsia="Arial" w:hAnsi="Arial"/>
                <w:sz w:val="13"/>
                <w:szCs w:val="13"/>
                <w:color w:val="auto"/>
              </w:rPr>
              <w:t>28,000</w:t>
            </w:r>
          </w:p>
        </w:tc>
        <w:tc>
          <w:tcPr>
            <w:tcW w:w="820" w:type="dxa"/>
            <w:vAlign w:val="bottom"/>
          </w:tcPr>
          <w:p>
            <w:pPr>
              <w:ind w:left="100"/>
              <w:spacing w:after="0"/>
              <w:rPr>
                <w:sz w:val="20"/>
                <w:szCs w:val="20"/>
                <w:color w:val="auto"/>
              </w:rPr>
            </w:pPr>
            <w:r>
              <w:rPr>
                <w:rFonts w:ascii="Arial" w:cs="Arial" w:eastAsia="Arial" w:hAnsi="Arial"/>
                <w:sz w:val="13"/>
                <w:szCs w:val="13"/>
                <w:color w:val="auto"/>
                <w:w w:val="92"/>
              </w:rPr>
              <w:t>Harris Teeter</w:t>
            </w:r>
          </w:p>
        </w:tc>
        <w:tc>
          <w:tcPr>
            <w:tcW w:w="320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18,423</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22,594</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Balducci's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1,460,198</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5,309,000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2"/>
              </w:rPr>
              <w:t>Philadelphia Metropolitan Area</w:t>
            </w:r>
          </w:p>
        </w:tc>
        <w:tc>
          <w:tcPr>
            <w:tcW w:w="1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Andorra</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1988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25,580</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24,000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Acme</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Kohl's / Staples / L.A.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tcPr>
          <w:p>
            <w:pPr>
              <w:spacing w:after="0"/>
              <w:rPr>
                <w:sz w:val="14"/>
                <w:szCs w:val="14"/>
                <w:color w:val="auto"/>
              </w:rPr>
            </w:pP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40,135</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shd w:val="clear" w:color="auto" w:fill="CCEEFF"/>
          </w:tcPr>
          <w:p>
            <w:pPr>
              <w:spacing w:after="0"/>
              <w:rPr>
                <w:sz w:val="15"/>
                <w:szCs w:val="15"/>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Ellisburg</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1992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34,023</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268,000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580" w:type="dxa"/>
            <w:vAlign w:val="bottom"/>
          </w:tcPr>
          <w:p>
            <w:pPr>
              <w:ind w:left="60"/>
              <w:spacing w:after="0"/>
              <w:rPr>
                <w:sz w:val="20"/>
                <w:szCs w:val="20"/>
                <w:color w:val="auto"/>
              </w:rPr>
            </w:pPr>
            <w:r>
              <w:rPr>
                <w:rFonts w:ascii="Arial" w:cs="Arial" w:eastAsia="Arial" w:hAnsi="Arial"/>
                <w:sz w:val="13"/>
                <w:szCs w:val="13"/>
                <w:color w:val="auto"/>
              </w:rPr>
              <w:t>47,000</w:t>
            </w:r>
          </w:p>
        </w:tc>
        <w:tc>
          <w:tcPr>
            <w:tcW w:w="820" w:type="dxa"/>
            <w:vAlign w:val="bottom"/>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13,686</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21,530</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Redner's</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3"/>
                <w:szCs w:val="13"/>
                <w:color w:val="auto"/>
              </w:rPr>
              <w:t>Warehouse</w:t>
            </w:r>
          </w:p>
        </w:tc>
        <w:tc>
          <w:tcPr>
            <w:tcW w:w="320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Mkts.</w:t>
            </w:r>
          </w:p>
        </w:tc>
        <w:tc>
          <w:tcPr>
            <w:tcW w:w="3200" w:type="dxa"/>
            <w:vAlign w:val="bottom"/>
          </w:tcPr>
          <w:p>
            <w:pPr>
              <w:spacing w:after="0"/>
              <w:rPr>
                <w:sz w:val="14"/>
                <w:szCs w:val="14"/>
                <w:color w:val="auto"/>
              </w:rPr>
            </w:pP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31,687</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25,704</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 HomeGoods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shd w:val="clear" w:color="auto" w:fill="CCEEFF"/>
          </w:tcPr>
          <w:p>
            <w:pPr>
              <w:spacing w:after="0"/>
              <w:rPr>
                <w:sz w:val="15"/>
                <w:szCs w:val="15"/>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Northeast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24,899</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4"/>
              </w:rPr>
              <w:t>Town Center of New Britain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14,687</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Willow Grove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1984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29,816</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39,747</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26,196</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275,790</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2,436,000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4"/>
              </w:rPr>
              <w:t>Los Angeles-Long Beach,</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18,122</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CA</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81"/>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Crow Canyon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San Ramon, CA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86,020</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Sprouts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 / Sports Authority</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86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865"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80" w:type="dxa"/>
            <w:vAlign w:val="bottom"/>
          </w:tcPr>
          <w:p>
            <w:pPr>
              <w:spacing w:after="0"/>
              <w:rPr>
                <w:sz w:val="11"/>
                <w:szCs w:val="11"/>
                <w:color w:val="auto"/>
              </w:rPr>
            </w:pPr>
          </w:p>
        </w:tc>
      </w:tr>
      <w:tr>
        <w:trPr>
          <w:trHeight w:val="174"/>
        </w:trPr>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70"/>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East Bay Bridge</w:t>
            </w:r>
          </w:p>
        </w:tc>
        <w:tc>
          <w:tcPr>
            <w:tcW w:w="480" w:type="dxa"/>
            <w:vAlign w:val="bottom"/>
          </w:tcPr>
          <w:p>
            <w:pPr>
              <w:spacing w:after="0"/>
              <w:rPr>
                <w:sz w:val="14"/>
                <w:szCs w:val="14"/>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San Francisco-Oakland-</w:t>
            </w:r>
          </w:p>
        </w:tc>
        <w:tc>
          <w:tcPr>
            <w:tcW w:w="680" w:type="dxa"/>
            <w:vAlign w:val="bottom"/>
          </w:tcPr>
          <w:p>
            <w:pPr>
              <w:jc w:val="right"/>
              <w:spacing w:after="0"/>
              <w:rPr>
                <w:sz w:val="20"/>
                <w:szCs w:val="20"/>
                <w:color w:val="auto"/>
              </w:rPr>
            </w:pPr>
            <w:r>
              <w:rPr>
                <w:rFonts w:ascii="Arial" w:cs="Arial" w:eastAsia="Arial" w:hAnsi="Arial"/>
                <w:sz w:val="13"/>
                <w:szCs w:val="13"/>
                <w:color w:val="auto"/>
              </w:rPr>
              <w:t>2012</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167,779</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61,224</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59,000</w:t>
            </w:r>
          </w:p>
        </w:tc>
        <w:tc>
          <w:tcPr>
            <w:tcW w:w="840" w:type="dxa"/>
            <w:vAlign w:val="bottom"/>
          </w:tcPr>
          <w:p>
            <w:pPr>
              <w:ind w:left="80"/>
              <w:spacing w:after="0"/>
              <w:rPr>
                <w:sz w:val="20"/>
                <w:szCs w:val="20"/>
                <w:color w:val="auto"/>
              </w:rPr>
            </w:pPr>
            <w:r>
              <w:rPr>
                <w:rFonts w:ascii="Arial" w:cs="Arial" w:eastAsia="Arial" w:hAnsi="Arial"/>
                <w:sz w:val="13"/>
                <w:szCs w:val="13"/>
                <w:color w:val="auto"/>
              </w:rPr>
              <w:t>Pak-N-Save</w:t>
            </w:r>
          </w:p>
        </w:tc>
        <w:tc>
          <w:tcPr>
            <w:tcW w:w="3280" w:type="dxa"/>
            <w:vAlign w:val="bottom"/>
          </w:tcPr>
          <w:p>
            <w:pPr>
              <w:ind w:left="40"/>
              <w:spacing w:after="0"/>
              <w:rPr>
                <w:sz w:val="20"/>
                <w:szCs w:val="20"/>
                <w:color w:val="auto"/>
              </w:rPr>
            </w:pPr>
            <w:r>
              <w:rPr>
                <w:rFonts w:ascii="Arial" w:cs="Arial" w:eastAsia="Arial" w:hAnsi="Arial"/>
                <w:sz w:val="13"/>
                <w:szCs w:val="13"/>
                <w:color w:val="auto"/>
              </w:rPr>
              <w:t>Home Depot / Michaels / Target</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Fremont,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Escondido</w:t>
            </w:r>
          </w:p>
        </w:tc>
        <w:tc>
          <w:tcPr>
            <w:tcW w:w="48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7"/>
              </w:rPr>
              <w:t>(3)</w:t>
            </w: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47,006</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TJ Maxx / Toys R Us / Dick’s Sporting Goods / Ross Dress For</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w:t>
            </w: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Hermosa Ave</w:t>
            </w:r>
          </w:p>
        </w:tc>
        <w:tc>
          <w:tcPr>
            <w:tcW w:w="48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5,875</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96"/>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48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3"/>
                <w:szCs w:val="13"/>
                <w:color w:val="auto"/>
                <w:w w:val="87"/>
              </w:rPr>
              <w:t>(3)</w:t>
            </w:r>
          </w:p>
        </w:tc>
        <w:tc>
          <w:tcPr>
            <w:tcW w:w="1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46,940</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155,000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4"/>
              </w:rPr>
              <w:t>Fresh &amp; Easy</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DSW / L.A. Fitness / Marshall's</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Kings Court</w:t>
            </w:r>
          </w:p>
        </w:tc>
        <w:tc>
          <w:tcPr>
            <w:tcW w:w="480" w:type="dxa"/>
            <w:vAlign w:val="bottom"/>
          </w:tcPr>
          <w:p>
            <w:pPr>
              <w:jc w:val="center"/>
              <w:ind w:left="37"/>
              <w:spacing w:after="0" w:line="148" w:lineRule="exact"/>
              <w:rPr>
                <w:sz w:val="20"/>
                <w:szCs w:val="20"/>
                <w:color w:val="auto"/>
              </w:rPr>
            </w:pPr>
            <w:r>
              <w:rPr>
                <w:rFonts w:ascii="Arial" w:cs="Arial" w:eastAsia="Arial" w:hAnsi="Arial"/>
                <w:sz w:val="13"/>
                <w:szCs w:val="13"/>
                <w:color w:val="auto"/>
                <w:w w:val="87"/>
              </w:rPr>
              <w:t>(5)</w:t>
            </w:r>
          </w:p>
        </w:tc>
        <w:tc>
          <w:tcPr>
            <w:tcW w:w="160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11,606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Lunardi's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w w:val="94"/>
              </w:rPr>
              <w:t>Super Market</w:t>
            </w:r>
          </w:p>
        </w:tc>
        <w:tc>
          <w:tcPr>
            <w:tcW w:w="3280" w:type="dxa"/>
            <w:vAlign w:val="bottom"/>
          </w:tcPr>
          <w:p>
            <w:pPr>
              <w:spacing w:after="0"/>
              <w:rPr>
                <w:sz w:val="14"/>
                <w:szCs w:val="14"/>
                <w:color w:val="auto"/>
              </w:rPr>
            </w:pPr>
          </w:p>
        </w:tc>
      </w:tr>
      <w:tr>
        <w:trPr>
          <w:trHeight w:val="204"/>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4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37,615</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Anthropologie / Banana Republic / Gap</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Plaza El Segundo</w:t>
            </w:r>
          </w:p>
        </w:tc>
        <w:tc>
          <w:tcPr>
            <w:tcW w:w="480" w:type="dxa"/>
            <w:vAlign w:val="bottom"/>
          </w:tcPr>
          <w:p>
            <w:pPr>
              <w:jc w:val="center"/>
              <w:ind w:left="37"/>
              <w:spacing w:after="0" w:line="148" w:lineRule="exact"/>
              <w:rPr>
                <w:sz w:val="20"/>
                <w:szCs w:val="20"/>
                <w:color w:val="auto"/>
              </w:rPr>
            </w:pPr>
            <w:r>
              <w:rPr>
                <w:rFonts w:ascii="Arial" w:cs="Arial" w:eastAsia="Arial" w:hAnsi="Arial"/>
                <w:sz w:val="13"/>
                <w:szCs w:val="13"/>
                <w:color w:val="auto"/>
                <w:w w:val="94"/>
              </w:rPr>
              <w:t>(3)(7)</w:t>
            </w:r>
          </w:p>
        </w:tc>
        <w:tc>
          <w:tcPr>
            <w:tcW w:w="1600" w:type="dxa"/>
            <w:vAlign w:val="bottom"/>
          </w:tcPr>
          <w:p>
            <w:pPr>
              <w:ind w:left="60"/>
              <w:spacing w:after="0" w:line="148" w:lineRule="exact"/>
              <w:rPr>
                <w:sz w:val="20"/>
                <w:szCs w:val="20"/>
                <w:color w:val="auto"/>
              </w:rPr>
            </w:pPr>
            <w:r>
              <w:rPr>
                <w:rFonts w:ascii="Arial" w:cs="Arial" w:eastAsia="Arial" w:hAnsi="Arial"/>
                <w:sz w:val="13"/>
                <w:szCs w:val="13"/>
                <w:color w:val="auto"/>
                <w:w w:val="89"/>
              </w:rPr>
              <w:t>Los Angeles-Long Beach,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246,052</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175,000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6"/>
              </w:rPr>
              <w:t>Whole Foods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4"/>
              </w:rPr>
              <w:t>Anthropologie / Best Buy / Container Store / Dick's Sporting</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Goods / H&amp;M / HomeGoods</w:t>
            </w: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Santana Row</w:t>
            </w:r>
          </w:p>
        </w:tc>
        <w:tc>
          <w:tcPr>
            <w:tcW w:w="480" w:type="dxa"/>
            <w:vAlign w:val="bottom"/>
            <w:shd w:val="clear" w:color="auto" w:fill="CCEEFF"/>
          </w:tcPr>
          <w:p>
            <w:pPr>
              <w:spacing w:after="0"/>
              <w:rPr>
                <w:sz w:val="13"/>
                <w:szCs w:val="13"/>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690,052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Crate &amp; Barrel / Container Store / Best Buy / CineArts Theatre</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 Hotel Valencia / H&amp;M</w:t>
            </w: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Third St Promenade</w:t>
            </w:r>
          </w:p>
        </w:tc>
        <w:tc>
          <w:tcPr>
            <w:tcW w:w="48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Pr>
          <w:p>
            <w:pPr>
              <w:jc w:val="right"/>
              <w:spacing w:after="0"/>
              <w:rPr>
                <w:sz w:val="20"/>
                <w:szCs w:val="20"/>
                <w:color w:val="auto"/>
              </w:rPr>
            </w:pPr>
            <w:r>
              <w:rPr>
                <w:rFonts w:ascii="Arial" w:cs="Arial" w:eastAsia="Arial" w:hAnsi="Arial"/>
                <w:sz w:val="13"/>
                <w:szCs w:val="13"/>
                <w:color w:val="auto"/>
              </w:rPr>
              <w:t>1996-2000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78,326</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209,000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w w:val="92"/>
              </w:rPr>
              <w:t>J. Crew / Banana Republic / Old Navy / Abercrombie &amp; Fitch</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Westgate Center</w:t>
            </w:r>
          </w:p>
        </w:tc>
        <w:tc>
          <w:tcPr>
            <w:tcW w:w="480" w:type="dxa"/>
            <w:vAlign w:val="bottom"/>
            <w:shd w:val="clear" w:color="auto" w:fill="CCEEFF"/>
          </w:tcPr>
          <w:p>
            <w:pPr>
              <w:spacing w:after="0"/>
              <w:rPr>
                <w:sz w:val="12"/>
                <w:szCs w:val="12"/>
                <w:color w:val="auto"/>
              </w:rPr>
            </w:pPr>
          </w:p>
        </w:tc>
        <w:tc>
          <w:tcPr>
            <w:tcW w:w="1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2004</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138,803</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637,000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38,000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Walmart</w:t>
            </w: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9"/>
              </w:rPr>
              <w:t>Target / Burlington Coat Factory / Ross Dress For Less /</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0"/>
              </w:rPr>
              <w:t>Neighborhood</w:t>
            </w:r>
          </w:p>
        </w:tc>
        <w:tc>
          <w:tcPr>
            <w:tcW w:w="32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Michaels / Nordstrom Rack / Nike Factory</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3280" w:type="dxa"/>
            <w:vAlign w:val="bottom"/>
            <w:shd w:val="clear" w:color="auto" w:fill="CCEEFF"/>
          </w:tcPr>
          <w:p>
            <w:pPr>
              <w:spacing w:after="0"/>
              <w:rPr>
                <w:sz w:val="15"/>
                <w:szCs w:val="15"/>
                <w:color w:val="auto"/>
              </w:rPr>
            </w:pP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150 Post Street</w:t>
            </w:r>
          </w:p>
        </w:tc>
        <w:tc>
          <w:tcPr>
            <w:tcW w:w="48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San Francisco, CA</w:t>
            </w:r>
          </w:p>
        </w:tc>
        <w:tc>
          <w:tcPr>
            <w:tcW w:w="680" w:type="dxa"/>
            <w:vAlign w:val="bottom"/>
          </w:tcPr>
          <w:p>
            <w:pPr>
              <w:jc w:val="right"/>
              <w:ind w:right="337"/>
              <w:spacing w:after="0"/>
              <w:rPr>
                <w:sz w:val="20"/>
                <w:szCs w:val="20"/>
                <w:color w:val="auto"/>
              </w:rPr>
            </w:pPr>
            <w:r>
              <w:rPr>
                <w:rFonts w:ascii="Arial" w:cs="Arial" w:eastAsia="Arial" w:hAnsi="Arial"/>
                <w:sz w:val="13"/>
                <w:szCs w:val="13"/>
                <w:color w:val="auto"/>
                <w:w w:val="89"/>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37,219</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H&amp;M</w:t>
            </w:r>
          </w:p>
        </w:tc>
      </w:tr>
      <w:tr>
        <w:trPr>
          <w:trHeight w:val="97"/>
        </w:trPr>
        <w:tc>
          <w:tcPr>
            <w:tcW w:w="4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160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328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1,611,415</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3,381,000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328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3"/>
          </w:tcPr>
          <w:p>
            <w:pPr>
              <w:ind w:left="60"/>
              <w:spacing w:after="0"/>
              <w:rPr>
                <w:sz w:val="20"/>
                <w:szCs w:val="20"/>
                <w:color w:val="auto"/>
              </w:rPr>
            </w:pPr>
            <w:r>
              <w:rPr>
                <w:rFonts w:ascii="Arial" w:cs="Arial" w:eastAsia="Arial" w:hAnsi="Arial"/>
                <w:sz w:val="13"/>
                <w:szCs w:val="13"/>
                <w:b w:val="1"/>
                <w:bCs w:val="1"/>
                <w:color w:val="auto"/>
                <w:w w:val="98"/>
              </w:rPr>
              <w:t>NY Metro / New Jersey</w:t>
            </w:r>
          </w:p>
        </w:tc>
        <w:tc>
          <w:tcPr>
            <w:tcW w:w="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80" w:type="dxa"/>
            <w:vAlign w:val="bottom"/>
          </w:tcPr>
          <w:p>
            <w:pPr>
              <w:spacing w:after="0"/>
              <w:rPr>
                <w:sz w:val="8"/>
                <w:szCs w:val="8"/>
                <w:color w:val="auto"/>
              </w:rPr>
            </w:pPr>
          </w:p>
        </w:tc>
      </w:tr>
      <w:tr>
        <w:trPr>
          <w:trHeight w:val="196"/>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Brick Plaza</w:t>
            </w:r>
          </w:p>
        </w:tc>
        <w:tc>
          <w:tcPr>
            <w:tcW w:w="4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Monmouth-Ocean, NJ</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60,264</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26,630</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422,000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A&amp;P</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AMC Loews / Barnes &amp; Noble / Sports Authority</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Brook 35</w:t>
            </w:r>
          </w:p>
        </w:tc>
        <w:tc>
          <w:tcPr>
            <w:tcW w:w="480" w:type="dxa"/>
            <w:vAlign w:val="bottom"/>
          </w:tcPr>
          <w:p>
            <w:pPr>
              <w:jc w:val="center"/>
              <w:ind w:left="37"/>
              <w:spacing w:after="0" w:line="148" w:lineRule="exact"/>
              <w:rPr>
                <w:sz w:val="20"/>
                <w:szCs w:val="20"/>
                <w:color w:val="auto"/>
              </w:rPr>
            </w:pPr>
            <w:r>
              <w:rPr>
                <w:rFonts w:ascii="Arial" w:cs="Arial" w:eastAsia="Arial" w:hAnsi="Arial"/>
                <w:sz w:val="13"/>
                <w:szCs w:val="13"/>
                <w:color w:val="auto"/>
                <w:w w:val="87"/>
              </w:rPr>
              <w:t>(5)</w:t>
            </w:r>
          </w:p>
        </w:tc>
        <w:tc>
          <w:tcPr>
            <w:tcW w:w="1600" w:type="dxa"/>
            <w:vAlign w:val="bottom"/>
          </w:tcPr>
          <w:p>
            <w:pPr>
              <w:ind w:left="6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45,596</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11,500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6"/>
              </w:rPr>
              <w:t>Ann Taylor / Banana Republic / Coach / Williams-Sonoma</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tcPr>
          <w:p>
            <w:pPr>
              <w:ind w:left="60"/>
              <w:spacing w:after="0" w:line="135" w:lineRule="exact"/>
              <w:rPr>
                <w:sz w:val="20"/>
                <w:szCs w:val="20"/>
                <w:color w:val="auto"/>
              </w:rPr>
            </w:pPr>
            <w:r>
              <w:rPr>
                <w:rFonts w:ascii="Arial" w:cs="Arial" w:eastAsia="Arial" w:hAnsi="Arial"/>
                <w:sz w:val="13"/>
                <w:szCs w:val="13"/>
                <w:color w:val="auto"/>
                <w:w w:val="95"/>
              </w:rPr>
              <w:t>Jersey-Long Island, NY-NJ-</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PA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Darien</w:t>
            </w:r>
          </w:p>
        </w:tc>
        <w:tc>
          <w:tcPr>
            <w:tcW w:w="480" w:type="dxa"/>
            <w:vAlign w:val="bottom"/>
            <w:shd w:val="clear" w:color="auto" w:fill="CCEEFF"/>
          </w:tcPr>
          <w:p>
            <w:pPr>
              <w:spacing w:after="0"/>
              <w:rPr>
                <w:sz w:val="13"/>
                <w:szCs w:val="13"/>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New Haven-Bridgeport-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48,129</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Equinox</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Stamford-Waterbury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Fresh Meadows</w:t>
            </w:r>
          </w:p>
        </w:tc>
        <w:tc>
          <w:tcPr>
            <w:tcW w:w="48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79,716</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15,000</w:t>
            </w:r>
          </w:p>
        </w:tc>
        <w:tc>
          <w:tcPr>
            <w:tcW w:w="840" w:type="dxa"/>
            <w:vAlign w:val="bottom"/>
          </w:tcPr>
          <w:p>
            <w:pPr>
              <w:ind w:left="80"/>
              <w:spacing w:after="0"/>
              <w:rPr>
                <w:sz w:val="20"/>
                <w:szCs w:val="20"/>
                <w:color w:val="auto"/>
              </w:rPr>
            </w:pPr>
            <w:r>
              <w:rPr>
                <w:rFonts w:ascii="Arial" w:cs="Arial" w:eastAsia="Arial" w:hAnsi="Arial"/>
                <w:sz w:val="13"/>
                <w:szCs w:val="13"/>
                <w:color w:val="auto"/>
                <w:w w:val="92"/>
              </w:rPr>
              <w:t>Island of Gold</w:t>
            </w:r>
          </w:p>
        </w:tc>
        <w:tc>
          <w:tcPr>
            <w:tcW w:w="3280" w:type="dxa"/>
            <w:vAlign w:val="bottom"/>
          </w:tcPr>
          <w:p>
            <w:pPr>
              <w:ind w:left="40"/>
              <w:spacing w:after="0"/>
              <w:rPr>
                <w:sz w:val="20"/>
                <w:szCs w:val="20"/>
                <w:color w:val="auto"/>
              </w:rPr>
            </w:pPr>
            <w:r>
              <w:rPr>
                <w:rFonts w:ascii="Arial" w:cs="Arial" w:eastAsia="Arial" w:hAnsi="Arial"/>
                <w:sz w:val="13"/>
                <w:szCs w:val="13"/>
                <w:color w:val="auto"/>
              </w:rPr>
              <w:t>AMC Loews / Kohl's / Michaels / Modell's</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480" w:type="dxa"/>
            <w:vAlign w:val="bottom"/>
            <w:shd w:val="clear" w:color="auto" w:fill="CCEEFF"/>
          </w:tcPr>
          <w:p>
            <w:pPr>
              <w:spacing w:after="0"/>
              <w:rPr>
                <w:sz w:val="12"/>
                <w:szCs w:val="12"/>
                <w:color w:val="auto"/>
              </w:rPr>
            </w:pPr>
          </w:p>
        </w:tc>
        <w:tc>
          <w:tcPr>
            <w:tcW w:w="1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13,969</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Saks Fifth Avenue</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Stamford-Waterbury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Hauppauge</w:t>
            </w:r>
          </w:p>
        </w:tc>
        <w:tc>
          <w:tcPr>
            <w:tcW w:w="48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28,110</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13,671</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61,000</w:t>
            </w:r>
          </w:p>
        </w:tc>
        <w:tc>
          <w:tcPr>
            <w:tcW w:w="840" w:type="dxa"/>
            <w:vAlign w:val="bottom"/>
          </w:tcPr>
          <w:p>
            <w:pPr>
              <w:ind w:left="80"/>
              <w:spacing w:after="0"/>
              <w:rPr>
                <w:sz w:val="20"/>
                <w:szCs w:val="20"/>
                <w:color w:val="auto"/>
              </w:rPr>
            </w:pPr>
            <w:r>
              <w:rPr>
                <w:rFonts w:ascii="Arial" w:cs="Arial" w:eastAsia="Arial" w:hAnsi="Arial"/>
                <w:sz w:val="13"/>
                <w:szCs w:val="13"/>
                <w:color w:val="auto"/>
              </w:rPr>
              <w:t>Shop Rite</w:t>
            </w:r>
          </w:p>
        </w:tc>
        <w:tc>
          <w:tcPr>
            <w:tcW w:w="3280" w:type="dxa"/>
            <w:vAlign w:val="bottom"/>
          </w:tcPr>
          <w:p>
            <w:pPr>
              <w:ind w:left="40"/>
              <w:spacing w:after="0"/>
              <w:rPr>
                <w:sz w:val="20"/>
                <w:szCs w:val="20"/>
                <w:color w:val="auto"/>
              </w:rPr>
            </w:pPr>
            <w:r>
              <w:rPr>
                <w:rFonts w:ascii="Arial" w:cs="Arial" w:eastAsia="Arial" w:hAnsi="Arial"/>
                <w:sz w:val="13"/>
                <w:szCs w:val="13"/>
                <w:color w:val="auto"/>
              </w:rPr>
              <w:t>AC Moore</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Huntington</w:t>
            </w:r>
          </w:p>
        </w:tc>
        <w:tc>
          <w:tcPr>
            <w:tcW w:w="480" w:type="dxa"/>
            <w:vAlign w:val="bottom"/>
            <w:shd w:val="clear" w:color="auto" w:fill="CCEEFF"/>
          </w:tcPr>
          <w:p>
            <w:pPr>
              <w:spacing w:after="0"/>
              <w:rPr>
                <w:sz w:val="12"/>
                <w:szCs w:val="12"/>
                <w:color w:val="auto"/>
              </w:rPr>
            </w:pPr>
          </w:p>
        </w:tc>
        <w:tc>
          <w:tcPr>
            <w:tcW w:w="1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1988/2007</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43,760</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Buy Buy Baby / Bed, Bath &amp; Beyond / Michaels / Nordstrom</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Rack</w:t>
            </w: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Huntington Square</w:t>
            </w:r>
          </w:p>
        </w:tc>
        <w:tc>
          <w:tcPr>
            <w:tcW w:w="48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2010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12,327</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80" w:type="dxa"/>
            <w:vAlign w:val="bottom"/>
          </w:tcPr>
          <w:p>
            <w:pPr>
              <w:spacing w:after="0"/>
              <w:rPr>
                <w:sz w:val="8"/>
                <w:szCs w:val="8"/>
                <w:color w:val="auto"/>
              </w:rPr>
            </w:pPr>
          </w:p>
        </w:tc>
      </w:tr>
      <w:tr>
        <w:trPr>
          <w:trHeight w:val="196"/>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Melville Mall</w:t>
            </w:r>
          </w:p>
        </w:tc>
        <w:tc>
          <w:tcPr>
            <w:tcW w:w="48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3"/>
                <w:szCs w:val="13"/>
                <w:color w:val="auto"/>
                <w:w w:val="87"/>
              </w:rPr>
              <w:t>(8)</w:t>
            </w:r>
          </w:p>
        </w:tc>
        <w:tc>
          <w:tcPr>
            <w:tcW w:w="1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69,757</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246,000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Dick’s Sporting Goods / Marshalls</w:t>
            </w: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Mercer Mall</w:t>
            </w:r>
          </w:p>
        </w:tc>
        <w:tc>
          <w:tcPr>
            <w:tcW w:w="480" w:type="dxa"/>
            <w:vAlign w:val="bottom"/>
          </w:tcPr>
          <w:p>
            <w:pPr>
              <w:jc w:val="center"/>
              <w:ind w:left="37"/>
              <w:spacing w:after="0"/>
              <w:rPr>
                <w:sz w:val="20"/>
                <w:szCs w:val="20"/>
                <w:color w:val="auto"/>
              </w:rPr>
            </w:pPr>
            <w:r>
              <w:rPr>
                <w:rFonts w:ascii="Arial" w:cs="Arial" w:eastAsia="Arial" w:hAnsi="Arial"/>
                <w:sz w:val="13"/>
                <w:szCs w:val="13"/>
                <w:color w:val="auto"/>
                <w:w w:val="87"/>
              </w:rPr>
              <w:t>(6)</w:t>
            </w:r>
          </w:p>
        </w:tc>
        <w:tc>
          <w:tcPr>
            <w:tcW w:w="1600" w:type="dxa"/>
            <w:vAlign w:val="bottom"/>
          </w:tcPr>
          <w:p>
            <w:pPr>
              <w:ind w:left="60"/>
              <w:spacing w:after="0"/>
              <w:rPr>
                <w:sz w:val="20"/>
                <w:szCs w:val="20"/>
                <w:color w:val="auto"/>
              </w:rPr>
            </w:pPr>
            <w:r>
              <w:rPr>
                <w:rFonts w:ascii="Arial" w:cs="Arial" w:eastAsia="Arial" w:hAnsi="Arial"/>
                <w:sz w:val="13"/>
                <w:szCs w:val="13"/>
                <w:color w:val="auto"/>
              </w:rPr>
              <w:t>Trenton, NJ</w:t>
            </w:r>
          </w:p>
        </w:tc>
        <w:tc>
          <w:tcPr>
            <w:tcW w:w="680" w:type="dxa"/>
            <w:vAlign w:val="bottom"/>
          </w:tcPr>
          <w:p>
            <w:pPr>
              <w:jc w:val="right"/>
              <w:spacing w:after="0"/>
              <w:rPr>
                <w:sz w:val="20"/>
                <w:szCs w:val="20"/>
                <w:color w:val="auto"/>
              </w:rPr>
            </w:pPr>
            <w:r>
              <w:rPr>
                <w:rFonts w:ascii="Arial" w:cs="Arial" w:eastAsia="Arial" w:hAnsi="Arial"/>
                <w:sz w:val="13"/>
                <w:szCs w:val="13"/>
                <w:color w:val="auto"/>
              </w:rPr>
              <w:t>2003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113,546</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55,754</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501,000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ind w:left="60"/>
              <w:spacing w:after="0"/>
              <w:rPr>
                <w:sz w:val="20"/>
                <w:szCs w:val="20"/>
                <w:color w:val="auto"/>
              </w:rPr>
            </w:pPr>
            <w:r>
              <w:rPr>
                <w:rFonts w:ascii="Arial" w:cs="Arial" w:eastAsia="Arial" w:hAnsi="Arial"/>
                <w:sz w:val="13"/>
                <w:szCs w:val="13"/>
                <w:color w:val="auto"/>
              </w:rPr>
              <w:t>75,000</w:t>
            </w:r>
          </w:p>
        </w:tc>
        <w:tc>
          <w:tcPr>
            <w:tcW w:w="840" w:type="dxa"/>
            <w:vAlign w:val="bottom"/>
          </w:tcPr>
          <w:p>
            <w:pPr>
              <w:ind w:left="80"/>
              <w:spacing w:after="0"/>
              <w:rPr>
                <w:sz w:val="20"/>
                <w:szCs w:val="20"/>
                <w:color w:val="auto"/>
              </w:rPr>
            </w:pPr>
            <w:r>
              <w:rPr>
                <w:rFonts w:ascii="Arial" w:cs="Arial" w:eastAsia="Arial" w:hAnsi="Arial"/>
                <w:sz w:val="13"/>
                <w:szCs w:val="13"/>
                <w:color w:val="auto"/>
              </w:rPr>
              <w:t>Shop Rite</w:t>
            </w:r>
          </w:p>
        </w:tc>
        <w:tc>
          <w:tcPr>
            <w:tcW w:w="3280" w:type="dxa"/>
            <w:vAlign w:val="bottom"/>
          </w:tcPr>
          <w:p>
            <w:pPr>
              <w:ind w:left="40"/>
              <w:spacing w:after="0"/>
              <w:rPr>
                <w:sz w:val="20"/>
                <w:szCs w:val="20"/>
                <w:color w:val="auto"/>
              </w:rPr>
            </w:pPr>
            <w:r>
              <w:rPr>
                <w:rFonts w:ascii="Arial" w:cs="Arial" w:eastAsia="Arial" w:hAnsi="Arial"/>
                <w:sz w:val="13"/>
                <w:szCs w:val="13"/>
                <w:color w:val="auto"/>
                <w:w w:val="92"/>
              </w:rPr>
              <w:t>Bed, Bath &amp; Beyond / DSW / TJ Maxx / Raymour &amp; Flanigan</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w w:val="97"/>
              </w:rPr>
              <w:t>The Grove at Shrewsbury</w:t>
            </w:r>
          </w:p>
        </w:tc>
        <w:tc>
          <w:tcPr>
            <w:tcW w:w="480" w:type="dxa"/>
            <w:vAlign w:val="bottom"/>
            <w:shd w:val="clear" w:color="auto" w:fill="CCEEFF"/>
          </w:tcPr>
          <w:p>
            <w:pPr>
              <w:jc w:val="center"/>
              <w:ind w:left="37"/>
              <w:spacing w:after="0" w:line="148" w:lineRule="exact"/>
              <w:rPr>
                <w:sz w:val="20"/>
                <w:szCs w:val="20"/>
                <w:color w:val="auto"/>
              </w:rPr>
            </w:pPr>
            <w:r>
              <w:rPr>
                <w:rFonts w:ascii="Arial" w:cs="Arial" w:eastAsia="Arial" w:hAnsi="Arial"/>
                <w:sz w:val="13"/>
                <w:szCs w:val="13"/>
                <w:color w:val="auto"/>
                <w:w w:val="87"/>
              </w:rPr>
              <w:t>(5)</w:t>
            </w:r>
          </w:p>
        </w:tc>
        <w:tc>
          <w:tcPr>
            <w:tcW w:w="1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120,193</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56,046</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188,000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Lululemon / Brooks Brothers / Anthropologie / Pottery Barn /</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5"/>
              </w:rPr>
              <w:t>Jersey-Long Island, NY-NJ-</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J. Crew / Banana Republic / Williams-Sonoma</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Troy</w:t>
            </w:r>
          </w:p>
        </w:tc>
        <w:tc>
          <w:tcPr>
            <w:tcW w:w="48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Newark, NJ</w:t>
            </w:r>
          </w:p>
        </w:tc>
        <w:tc>
          <w:tcPr>
            <w:tcW w:w="68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29,502</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64,000</w:t>
            </w:r>
          </w:p>
        </w:tc>
        <w:tc>
          <w:tcPr>
            <w:tcW w:w="840" w:type="dxa"/>
            <w:vAlign w:val="bottom"/>
          </w:tcPr>
          <w:p>
            <w:pPr>
              <w:ind w:left="80"/>
              <w:spacing w:after="0"/>
              <w:rPr>
                <w:sz w:val="20"/>
                <w:szCs w:val="20"/>
                <w:color w:val="auto"/>
              </w:rPr>
            </w:pPr>
            <w:r>
              <w:rPr>
                <w:rFonts w:ascii="Arial" w:cs="Arial" w:eastAsia="Arial" w:hAnsi="Arial"/>
                <w:sz w:val="13"/>
                <w:szCs w:val="13"/>
                <w:color w:val="auto"/>
              </w:rPr>
              <w:t>Pathmark</w:t>
            </w:r>
          </w:p>
        </w:tc>
        <w:tc>
          <w:tcPr>
            <w:tcW w:w="3280" w:type="dxa"/>
            <w:vAlign w:val="bottom"/>
          </w:tcPr>
          <w:p>
            <w:pPr>
              <w:ind w:left="40"/>
              <w:spacing w:after="0"/>
              <w:rPr>
                <w:sz w:val="20"/>
                <w:szCs w:val="20"/>
                <w:color w:val="auto"/>
              </w:rPr>
            </w:pPr>
            <w:r>
              <w:rPr>
                <w:rFonts w:ascii="Arial" w:cs="Arial" w:eastAsia="Arial" w:hAnsi="Arial"/>
                <w:sz w:val="13"/>
                <w:szCs w:val="13"/>
                <w:color w:val="auto"/>
              </w:rPr>
              <w:t>L.A. Fitness</w:t>
            </w:r>
          </w:p>
        </w:tc>
      </w:tr>
      <w:tr>
        <w:trPr>
          <w:trHeight w:val="43"/>
        </w:trPr>
        <w:tc>
          <w:tcPr>
            <w:tcW w:w="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80" w:type="dxa"/>
            <w:vAlign w:val="bottom"/>
            <w:tcBorders>
              <w:bottom w:val="single" w:sz="8" w:color="CCEEFF"/>
            </w:tcBorders>
          </w:tcPr>
          <w:p>
            <w:pPr>
              <w:spacing w:after="0"/>
              <w:rPr>
                <w:sz w:val="3"/>
                <w:szCs w:val="3"/>
                <w:color w:val="auto"/>
              </w:rPr>
            </w:pPr>
          </w:p>
        </w:tc>
      </w:tr>
      <w:tr>
        <w:trPr>
          <w:trHeight w:val="167"/>
        </w:trPr>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w w:val="91"/>
              </w:rPr>
              <w:t>Total NY Metro/New Jersey</w:t>
            </w: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664,869</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2,684,000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328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England</w:t>
            </w:r>
          </w:p>
        </w:tc>
        <w:tc>
          <w:tcPr>
            <w:tcW w:w="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80" w:type="dxa"/>
            <w:vAlign w:val="bottom"/>
          </w:tcPr>
          <w:p>
            <w:pPr>
              <w:spacing w:after="0"/>
              <w:rPr>
                <w:sz w:val="8"/>
                <w:szCs w:val="8"/>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w w:val="98"/>
              </w:rPr>
              <w:t>Assembly Row/Assembly</w:t>
            </w:r>
          </w:p>
        </w:tc>
        <w:tc>
          <w:tcPr>
            <w:tcW w:w="480" w:type="dxa"/>
            <w:vAlign w:val="bottom"/>
            <w:shd w:val="clear" w:color="auto" w:fill="CCEEFF"/>
          </w:tcPr>
          <w:p>
            <w:pPr>
              <w:jc w:val="center"/>
              <w:ind w:left="37"/>
              <w:spacing w:after="0" w:line="148" w:lineRule="exact"/>
              <w:rPr>
                <w:sz w:val="20"/>
                <w:szCs w:val="20"/>
                <w:color w:val="auto"/>
              </w:rPr>
            </w:pPr>
            <w:r>
              <w:rPr>
                <w:rFonts w:ascii="Arial" w:cs="Arial" w:eastAsia="Arial" w:hAnsi="Arial"/>
                <w:sz w:val="13"/>
                <w:szCs w:val="13"/>
                <w:color w:val="auto"/>
                <w:w w:val="87"/>
              </w:rPr>
              <w:t>(4)</w:t>
            </w:r>
          </w:p>
        </w:tc>
        <w:tc>
          <w:tcPr>
            <w:tcW w:w="1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2005-2011</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417,668</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594,000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7"/>
              </w:rPr>
              <w:t>AMC Theatre / LEGOLAND Discovery Center / Saks Fifth</w:t>
            </w:r>
          </w:p>
        </w:tc>
      </w:tr>
      <w:tr>
        <w:trPr>
          <w:trHeight w:val="135"/>
        </w:trPr>
        <w:tc>
          <w:tcPr>
            <w:tcW w:w="1500" w:type="dxa"/>
            <w:vAlign w:val="bottom"/>
            <w:gridSpan w:val="4"/>
            <w:shd w:val="clear" w:color="auto" w:fill="CCEEFF"/>
          </w:tcPr>
          <w:p>
            <w:pPr>
              <w:ind w:left="40"/>
              <w:spacing w:after="0" w:line="135" w:lineRule="exact"/>
              <w:rPr>
                <w:sz w:val="20"/>
                <w:szCs w:val="20"/>
                <w:color w:val="auto"/>
              </w:rPr>
            </w:pPr>
            <w:r>
              <w:rPr>
                <w:rFonts w:ascii="Arial" w:cs="Arial" w:eastAsia="Arial" w:hAnsi="Arial"/>
                <w:sz w:val="13"/>
                <w:szCs w:val="13"/>
                <w:color w:val="auto"/>
              </w:rPr>
              <w:t>Square Marketplace</w:t>
            </w:r>
          </w:p>
        </w:tc>
        <w:tc>
          <w:tcPr>
            <w:tcW w:w="480" w:type="dxa"/>
            <w:vAlign w:val="bottom"/>
            <w:shd w:val="clear" w:color="auto" w:fill="CCEEFF"/>
          </w:tcPr>
          <w:p>
            <w:pPr>
              <w:spacing w:after="0"/>
              <w:rPr>
                <w:sz w:val="11"/>
                <w:szCs w:val="11"/>
                <w:color w:val="auto"/>
              </w:rPr>
            </w:pPr>
          </w:p>
        </w:tc>
        <w:tc>
          <w:tcPr>
            <w:tcW w:w="16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Avenue Off 5th / J. Crew / Nike Factory / Banana Republic /</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1"/>
              </w:rPr>
              <w:t>Bed, Bath &amp; Beyond / LOFT / TJ Maxx / Earls Kitchen + Bar /</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Legal on the Mystic</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Chelsea Commons</w:t>
            </w:r>
          </w:p>
        </w:tc>
        <w:tc>
          <w:tcPr>
            <w:tcW w:w="480" w:type="dxa"/>
            <w:vAlign w:val="bottom"/>
          </w:tcPr>
          <w:p>
            <w:pPr>
              <w:spacing w:after="0"/>
              <w:rPr>
                <w:sz w:val="12"/>
                <w:szCs w:val="12"/>
                <w:color w:val="auto"/>
              </w:rPr>
            </w:pPr>
          </w:p>
        </w:tc>
        <w:tc>
          <w:tcPr>
            <w:tcW w:w="1600" w:type="dxa"/>
            <w:vAlign w:val="bottom"/>
          </w:tcPr>
          <w:p>
            <w:pPr>
              <w:ind w:left="6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2006-2008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42,679</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7,123</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Sav-A-Lot</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480" w:type="dxa"/>
            <w:vAlign w:val="bottom"/>
            <w:shd w:val="clear" w:color="auto" w:fill="CCEEFF"/>
          </w:tcPr>
          <w:p>
            <w:pPr>
              <w:spacing w:after="0"/>
              <w:rPr>
                <w:sz w:val="13"/>
                <w:szCs w:val="13"/>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34,881</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80,000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328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Linden Square</w:t>
            </w:r>
          </w:p>
        </w:tc>
        <w:tc>
          <w:tcPr>
            <w:tcW w:w="480" w:type="dxa"/>
            <w:vAlign w:val="bottom"/>
          </w:tcPr>
          <w:p>
            <w:pPr>
              <w:spacing w:after="0"/>
              <w:rPr>
                <w:sz w:val="12"/>
                <w:szCs w:val="12"/>
                <w:color w:val="auto"/>
              </w:rPr>
            </w:pPr>
          </w:p>
        </w:tc>
        <w:tc>
          <w:tcPr>
            <w:tcW w:w="1600" w:type="dxa"/>
            <w:vAlign w:val="bottom"/>
          </w:tcPr>
          <w:p>
            <w:pPr>
              <w:ind w:left="6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146,681</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480" w:type="dxa"/>
            <w:vAlign w:val="bottom"/>
            <w:shd w:val="clear" w:color="auto" w:fill="CCEEFF"/>
          </w:tcPr>
          <w:p>
            <w:pPr>
              <w:spacing w:after="0"/>
              <w:rPr>
                <w:sz w:val="13"/>
                <w:szCs w:val="13"/>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48,000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28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480" w:type="dxa"/>
            <w:vAlign w:val="bottom"/>
          </w:tcPr>
          <w:p>
            <w:pPr>
              <w:spacing w:after="0"/>
              <w:rPr>
                <w:sz w:val="12"/>
                <w:szCs w:val="12"/>
                <w:color w:val="auto"/>
              </w:rPr>
            </w:pPr>
          </w:p>
        </w:tc>
        <w:tc>
          <w:tcPr>
            <w:tcW w:w="1600" w:type="dxa"/>
            <w:vAlign w:val="bottom"/>
          </w:tcPr>
          <w:p>
            <w:pPr>
              <w:ind w:left="6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18,058</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Hannaford</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TJ Maxx / HomeGoods</w:t>
            </w:r>
          </w:p>
        </w:tc>
      </w:tr>
      <w:tr>
        <w:trPr>
          <w:trHeight w:val="160"/>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80" w:type="dxa"/>
            <w:vAlign w:val="bottom"/>
          </w:tcPr>
          <w:p>
            <w:pPr>
              <w:spacing w:after="0"/>
              <w:rPr>
                <w:sz w:val="13"/>
                <w:szCs w:val="13"/>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7" w:right="239" w:bottom="1440" w:gutter="0" w:footer="0" w:header="0"/>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70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2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70"/>
        </w:trPr>
        <w:tc>
          <w:tcPr>
            <w:tcW w:w="4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Saugus Plaza</w:t>
            </w:r>
          </w:p>
        </w:tc>
        <w:tc>
          <w:tcPr>
            <w:tcW w:w="40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w w:val="94"/>
              </w:rPr>
              <w:t>Boston-Cambridge-Quincy,</w:t>
            </w:r>
          </w:p>
        </w:tc>
        <w:tc>
          <w:tcPr>
            <w:tcW w:w="700" w:type="dxa"/>
            <w:vAlign w:val="bottom"/>
          </w:tcPr>
          <w:p>
            <w:pPr>
              <w:jc w:val="right"/>
              <w:spacing w:after="0"/>
              <w:rPr>
                <w:sz w:val="20"/>
                <w:szCs w:val="20"/>
                <w:color w:val="auto"/>
              </w:rPr>
            </w:pPr>
            <w:r>
              <w:rPr>
                <w:rFonts w:ascii="Arial" w:cs="Arial" w:eastAsia="Arial" w:hAnsi="Arial"/>
                <w:sz w:val="13"/>
                <w:szCs w:val="13"/>
                <w:color w:val="auto"/>
              </w:rPr>
              <w:t>1996</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14,815</w:t>
            </w:r>
          </w:p>
        </w:tc>
        <w:tc>
          <w:tcPr>
            <w:tcW w:w="6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168,000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55,000</w:t>
            </w:r>
          </w:p>
        </w:tc>
        <w:tc>
          <w:tcPr>
            <w:tcW w:w="820" w:type="dxa"/>
            <w:vAlign w:val="bottom"/>
          </w:tcPr>
          <w:p>
            <w:pPr>
              <w:ind w:left="80"/>
              <w:spacing w:after="0"/>
              <w:rPr>
                <w:sz w:val="20"/>
                <w:szCs w:val="20"/>
                <w:color w:val="auto"/>
              </w:rPr>
            </w:pPr>
            <w:r>
              <w:rPr>
                <w:rFonts w:ascii="Arial" w:cs="Arial" w:eastAsia="Arial" w:hAnsi="Arial"/>
                <w:sz w:val="13"/>
                <w:szCs w:val="13"/>
                <w:color w:val="auto"/>
                <w:w w:val="93"/>
              </w:rPr>
              <w:t>Super Stop &amp;</w:t>
            </w:r>
          </w:p>
        </w:tc>
        <w:tc>
          <w:tcPr>
            <w:tcW w:w="3220" w:type="dxa"/>
            <w:vAlign w:val="bottom"/>
          </w:tcPr>
          <w:p>
            <w:pPr>
              <w:ind w:left="60"/>
              <w:spacing w:after="0"/>
              <w:rPr>
                <w:sz w:val="20"/>
                <w:szCs w:val="20"/>
                <w:color w:val="auto"/>
              </w:rPr>
            </w:pPr>
            <w:r>
              <w:rPr>
                <w:rFonts w:ascii="Arial" w:cs="Arial" w:eastAsia="Arial" w:hAnsi="Arial"/>
                <w:sz w:val="13"/>
                <w:szCs w:val="13"/>
                <w:color w:val="auto"/>
              </w:rPr>
              <w:t>Kmart</w:t>
            </w:r>
          </w:p>
        </w:tc>
      </w:tr>
      <w:tr>
        <w:trPr>
          <w:trHeight w:val="170"/>
        </w:trPr>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MA-NH</w:t>
            </w:r>
          </w:p>
        </w:tc>
        <w:tc>
          <w:tcPr>
            <w:tcW w:w="7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Shop</w:t>
            </w:r>
          </w:p>
        </w:tc>
        <w:tc>
          <w:tcPr>
            <w:tcW w:w="322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New England</w:t>
            </w: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684,150</w:t>
            </w: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1,645,000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6"/>
          </w:tcPr>
          <w:p>
            <w:pPr>
              <w:ind w:left="60"/>
              <w:spacing w:after="0"/>
              <w:rPr>
                <w:sz w:val="20"/>
                <w:szCs w:val="20"/>
                <w:color w:val="auto"/>
              </w:rPr>
            </w:pPr>
            <w:r>
              <w:rPr>
                <w:rFonts w:ascii="Arial" w:cs="Arial" w:eastAsia="Arial" w:hAnsi="Arial"/>
                <w:sz w:val="13"/>
                <w:szCs w:val="13"/>
                <w:b w:val="1"/>
                <w:bCs w:val="1"/>
                <w:color w:val="auto"/>
              </w:rPr>
              <w:t>Baltimore</w:t>
            </w: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Governor Plaza</w:t>
            </w:r>
          </w:p>
        </w:tc>
        <w:tc>
          <w:tcPr>
            <w:tcW w:w="4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26,418</w:t>
            </w:r>
          </w:p>
        </w:tc>
        <w:tc>
          <w:tcPr>
            <w:tcW w:w="6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242,000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16,500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Dick’s Sporting Goods</w:t>
            </w: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Perring Plaza</w:t>
            </w:r>
          </w:p>
        </w:tc>
        <w:tc>
          <w:tcPr>
            <w:tcW w:w="400" w:type="dxa"/>
            <w:vAlign w:val="bottom"/>
          </w:tcPr>
          <w:p>
            <w:pPr>
              <w:spacing w:after="0"/>
              <w:rPr>
                <w:sz w:val="12"/>
                <w:szCs w:val="12"/>
                <w:color w:val="auto"/>
              </w:rPr>
            </w:pPr>
          </w:p>
        </w:tc>
        <w:tc>
          <w:tcPr>
            <w:tcW w:w="1600" w:type="dxa"/>
            <w:vAlign w:val="bottom"/>
          </w:tcPr>
          <w:p>
            <w:pPr>
              <w:ind w:left="10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29,926</w:t>
            </w:r>
          </w:p>
        </w:tc>
        <w:tc>
          <w:tcPr>
            <w:tcW w:w="66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w w:val="97"/>
              </w:rPr>
              <w:t>Home Depot / Burlington Coat Factory / Jo-Ann Stores /</w:t>
            </w: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Micro Center</w:t>
            </w: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322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THE AVENUE at White</w:t>
            </w:r>
          </w:p>
        </w:tc>
        <w:tc>
          <w:tcPr>
            <w:tcW w:w="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(5)</w:t>
            </w: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97,404</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53,064</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Loews / Old Navy / Barnes &amp; Noble / AC Moore</w:t>
            </w:r>
          </w:p>
        </w:tc>
      </w:tr>
      <w:tr>
        <w:trPr>
          <w:trHeight w:val="176"/>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Marsh</w:t>
            </w: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w w:val="88"/>
              </w:rPr>
              <w:t>The Shoppes at Nottingham</w:t>
            </w:r>
          </w:p>
        </w:tc>
        <w:tc>
          <w:tcPr>
            <w:tcW w:w="400" w:type="dxa"/>
            <w:vAlign w:val="bottom"/>
          </w:tcPr>
          <w:p>
            <w:pPr>
              <w:spacing w:after="0"/>
              <w:rPr>
                <w:sz w:val="12"/>
                <w:szCs w:val="12"/>
                <w:color w:val="auto"/>
              </w:rPr>
            </w:pPr>
          </w:p>
        </w:tc>
        <w:tc>
          <w:tcPr>
            <w:tcW w:w="1600" w:type="dxa"/>
            <w:vAlign w:val="bottom"/>
          </w:tcPr>
          <w:p>
            <w:pPr>
              <w:ind w:left="10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17,430</w:t>
            </w:r>
          </w:p>
        </w:tc>
        <w:tc>
          <w:tcPr>
            <w:tcW w:w="66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Square</w:t>
            </w: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4"/>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White Marsh Plaza</w:t>
            </w:r>
          </w:p>
        </w:tc>
        <w:tc>
          <w:tcPr>
            <w:tcW w:w="4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25,109</w:t>
            </w:r>
          </w:p>
        </w:tc>
        <w:tc>
          <w:tcPr>
            <w:tcW w:w="6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80,000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20" w:type="dxa"/>
            <w:vAlign w:val="bottom"/>
            <w:tcBorders>
              <w:bottom w:val="single" w:sz="8" w:color="CCEEFF"/>
            </w:tcBorders>
            <w:shd w:val="clear" w:color="auto" w:fill="CCEEFF"/>
          </w:tcPr>
          <w:p>
            <w:pPr>
              <w:spacing w:after="0"/>
              <w:rPr>
                <w:sz w:val="17"/>
                <w:szCs w:val="17"/>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White Marsh Other</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36,223</w:t>
            </w:r>
          </w:p>
        </w:tc>
        <w:tc>
          <w:tcPr>
            <w:tcW w:w="66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60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Baltimore</w:t>
            </w: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232,510</w:t>
            </w: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6"/>
          </w:tcPr>
          <w:p>
            <w:pPr>
              <w:ind w:left="60"/>
              <w:spacing w:after="0"/>
              <w:rPr>
                <w:sz w:val="20"/>
                <w:szCs w:val="20"/>
                <w:color w:val="auto"/>
              </w:rPr>
            </w:pPr>
            <w:r>
              <w:rPr>
                <w:rFonts w:ascii="Arial" w:cs="Arial" w:eastAsia="Arial" w:hAnsi="Arial"/>
                <w:sz w:val="13"/>
                <w:szCs w:val="13"/>
                <w:b w:val="1"/>
                <w:bCs w:val="1"/>
                <w:color w:val="auto"/>
              </w:rPr>
              <w:t>Chicago</w:t>
            </w: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Crossroads</w:t>
            </w: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31,137</w:t>
            </w: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Finley Square</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32,637</w:t>
            </w:r>
          </w:p>
        </w:tc>
        <w:tc>
          <w:tcPr>
            <w:tcW w:w="66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314,000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Arial" w:cs="Arial" w:eastAsia="Arial" w:hAnsi="Arial"/>
                <w:sz w:val="13"/>
                <w:szCs w:val="13"/>
                <w:color w:val="auto"/>
              </w:rPr>
              <w:t>Bed, Bath &amp; Beyond / Buy Buy Baby / Petsmart</w:t>
            </w: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Garden Market</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Chicago, IL</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1994</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12,672</w:t>
            </w: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140,000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Mariano's</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Fresh Market</w:t>
            </w:r>
          </w:p>
        </w:tc>
        <w:tc>
          <w:tcPr>
            <w:tcW w:w="322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North Lake Commons</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16,566</w:t>
            </w:r>
          </w:p>
        </w:tc>
        <w:tc>
          <w:tcPr>
            <w:tcW w:w="66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129,000</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ind w:left="60"/>
              <w:spacing w:after="0"/>
              <w:rPr>
                <w:sz w:val="20"/>
                <w:szCs w:val="20"/>
                <w:color w:val="auto"/>
              </w:rPr>
            </w:pPr>
            <w:r>
              <w:rPr>
                <w:rFonts w:ascii="Arial" w:cs="Arial" w:eastAsia="Arial" w:hAnsi="Arial"/>
                <w:sz w:val="13"/>
                <w:szCs w:val="13"/>
                <w:color w:val="auto"/>
              </w:rPr>
              <w:t>77,000</w:t>
            </w:r>
          </w:p>
        </w:tc>
        <w:tc>
          <w:tcPr>
            <w:tcW w:w="820" w:type="dxa"/>
            <w:vAlign w:val="bottom"/>
          </w:tcPr>
          <w:p>
            <w:pPr>
              <w:ind w:left="80"/>
              <w:spacing w:after="0"/>
              <w:rPr>
                <w:sz w:val="20"/>
                <w:szCs w:val="20"/>
                <w:color w:val="auto"/>
              </w:rPr>
            </w:pPr>
            <w:r>
              <w:rPr>
                <w:rFonts w:ascii="Arial" w:cs="Arial" w:eastAsia="Arial" w:hAnsi="Arial"/>
                <w:sz w:val="13"/>
                <w:szCs w:val="13"/>
                <w:color w:val="auto"/>
              </w:rPr>
              <w:t>Jewel Osco</w:t>
            </w:r>
          </w:p>
        </w:tc>
        <w:tc>
          <w:tcPr>
            <w:tcW w:w="322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60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Chicago</w:t>
            </w: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93,012</w:t>
            </w: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6"/>
          </w:tcPr>
          <w:p>
            <w:pPr>
              <w:ind w:left="60"/>
              <w:spacing w:after="0"/>
              <w:rPr>
                <w:sz w:val="20"/>
                <w:szCs w:val="20"/>
                <w:color w:val="auto"/>
              </w:rPr>
            </w:pPr>
            <w:r>
              <w:rPr>
                <w:rFonts w:ascii="Arial" w:cs="Arial" w:eastAsia="Arial" w:hAnsi="Arial"/>
                <w:sz w:val="13"/>
                <w:szCs w:val="13"/>
                <w:b w:val="1"/>
                <w:bCs w:val="1"/>
                <w:color w:val="auto"/>
              </w:rPr>
              <w:t>South Florida</w:t>
            </w: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Courtyard Shops</w:t>
            </w: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40,688</w:t>
            </w: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49,000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Publix</w:t>
            </w:r>
          </w:p>
        </w:tc>
        <w:tc>
          <w:tcPr>
            <w:tcW w:w="322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Del Mar Village</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Miami-Ft Lauderdale</w:t>
            </w:r>
          </w:p>
        </w:tc>
        <w:tc>
          <w:tcPr>
            <w:tcW w:w="700" w:type="dxa"/>
            <w:vAlign w:val="bottom"/>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56,111</w:t>
            </w:r>
          </w:p>
        </w:tc>
        <w:tc>
          <w:tcPr>
            <w:tcW w:w="66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179,000</w:t>
            </w:r>
          </w:p>
        </w:tc>
        <w:tc>
          <w:tcPr>
            <w:tcW w:w="500" w:type="dxa"/>
            <w:vAlign w:val="bottom"/>
          </w:tcPr>
          <w:p>
            <w:pPr>
              <w:jc w:val="right"/>
              <w:spacing w:after="0"/>
              <w:rPr>
                <w:sz w:val="20"/>
                <w:szCs w:val="20"/>
                <w:color w:val="auto"/>
              </w:rPr>
            </w:pPr>
            <w:r>
              <w:rPr>
                <w:rFonts w:ascii="Arial" w:cs="Arial" w:eastAsia="Arial" w:hAnsi="Arial"/>
                <w:sz w:val="13"/>
                <w:szCs w:val="13"/>
                <w:color w:val="auto"/>
              </w:rPr>
              <w:t>74%</w:t>
            </w:r>
          </w:p>
        </w:tc>
        <w:tc>
          <w:tcPr>
            <w:tcW w:w="600" w:type="dxa"/>
            <w:vAlign w:val="bottom"/>
          </w:tcPr>
          <w:p>
            <w:pPr>
              <w:ind w:left="60"/>
              <w:spacing w:after="0"/>
              <w:rPr>
                <w:sz w:val="20"/>
                <w:szCs w:val="20"/>
                <w:color w:val="auto"/>
              </w:rPr>
            </w:pPr>
            <w:r>
              <w:rPr>
                <w:rFonts w:ascii="Arial" w:cs="Arial" w:eastAsia="Arial" w:hAnsi="Arial"/>
                <w:sz w:val="13"/>
                <w:szCs w:val="13"/>
                <w:color w:val="auto"/>
              </w:rPr>
              <w:t>44,000</w:t>
            </w:r>
          </w:p>
        </w:tc>
        <w:tc>
          <w:tcPr>
            <w:tcW w:w="82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322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Tower Shops</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2011/2014</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82,720</w:t>
            </w: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374,000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89"/>
              </w:rPr>
              <w:t>Best Buy / DSW / Old Navy / Ross Dress For Less / TJ Maxx</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 Ulta</w:t>
            </w: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b w:val="1"/>
                <w:bCs w:val="1"/>
                <w:color w:val="auto"/>
              </w:rPr>
              <w:t>Total South Florida</w:t>
            </w:r>
          </w:p>
        </w:tc>
        <w:tc>
          <w:tcPr>
            <w:tcW w:w="7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179,519</w:t>
            </w:r>
          </w:p>
        </w:tc>
        <w:tc>
          <w:tcPr>
            <w:tcW w:w="6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683,000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Other</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6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20" w:type="dxa"/>
            <w:vAlign w:val="bottom"/>
            <w:tcBorders>
              <w:top w:val="single" w:sz="8" w:color="CCEEFF"/>
            </w:tcBorders>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Barracks Road</w:t>
            </w:r>
          </w:p>
        </w:tc>
        <w:tc>
          <w:tcPr>
            <w:tcW w:w="400" w:type="dxa"/>
            <w:vAlign w:val="bottom"/>
          </w:tcPr>
          <w:p>
            <w:pPr>
              <w:spacing w:after="0"/>
              <w:rPr>
                <w:sz w:val="12"/>
                <w:szCs w:val="12"/>
                <w:color w:val="auto"/>
              </w:rPr>
            </w:pPr>
          </w:p>
        </w:tc>
        <w:tc>
          <w:tcPr>
            <w:tcW w:w="1600" w:type="dxa"/>
            <w:vAlign w:val="bottom"/>
          </w:tcPr>
          <w:p>
            <w:pPr>
              <w:ind w:left="100"/>
              <w:spacing w:after="0" w:line="148" w:lineRule="exact"/>
              <w:rPr>
                <w:sz w:val="20"/>
                <w:szCs w:val="20"/>
                <w:color w:val="auto"/>
              </w:rPr>
            </w:pPr>
            <w:r>
              <w:rPr>
                <w:rFonts w:ascii="Arial" w:cs="Arial" w:eastAsia="Arial" w:hAnsi="Arial"/>
                <w:sz w:val="13"/>
                <w:szCs w:val="13"/>
                <w:color w:val="auto"/>
              </w:rPr>
              <w:t>Charlottesville, VA</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60,234</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36,265</w:t>
            </w: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497,000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99,000</w:t>
            </w:r>
          </w:p>
        </w:tc>
        <w:tc>
          <w:tcPr>
            <w:tcW w:w="40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2"/>
              </w:rPr>
              <w:t>Harris Teeter / Anthropologie / Bed, Bath &amp; Beyond / Barnes &amp; Noble / Old</w:t>
            </w: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Pr>
          <w:p>
            <w:pPr>
              <w:ind w:left="60"/>
              <w:spacing w:after="0"/>
              <w:rPr>
                <w:sz w:val="20"/>
                <w:szCs w:val="20"/>
                <w:color w:val="auto"/>
              </w:rPr>
            </w:pPr>
            <w:r>
              <w:rPr>
                <w:rFonts w:ascii="Arial" w:cs="Arial" w:eastAsia="Arial" w:hAnsi="Arial"/>
                <w:sz w:val="13"/>
                <w:szCs w:val="13"/>
                <w:color w:val="auto"/>
              </w:rPr>
              <w:t>Navy / Michaels / Ulta</w:t>
            </w:r>
          </w:p>
        </w:tc>
      </w:tr>
      <w:tr>
        <w:trPr>
          <w:trHeight w:val="204"/>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Bristol Plaza</w:t>
            </w:r>
          </w:p>
        </w:tc>
        <w:tc>
          <w:tcPr>
            <w:tcW w:w="4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Hartford, CT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29,340</w:t>
            </w:r>
          </w:p>
        </w:tc>
        <w:tc>
          <w:tcPr>
            <w:tcW w:w="6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267,000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8"/>
              </w:rPr>
              <w:t>Stop &amp; Shop</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TJ Maxx</w:t>
            </w: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Eastgate</w:t>
            </w:r>
          </w:p>
        </w:tc>
        <w:tc>
          <w:tcPr>
            <w:tcW w:w="400" w:type="dxa"/>
            <w:vAlign w:val="bottom"/>
          </w:tcPr>
          <w:p>
            <w:pPr>
              <w:spacing w:after="0"/>
              <w:rPr>
                <w:sz w:val="12"/>
                <w:szCs w:val="12"/>
                <w:color w:val="auto"/>
              </w:rPr>
            </w:pPr>
          </w:p>
        </w:tc>
        <w:tc>
          <w:tcPr>
            <w:tcW w:w="1600" w:type="dxa"/>
            <w:vAlign w:val="bottom"/>
          </w:tcPr>
          <w:p>
            <w:pPr>
              <w:ind w:left="100"/>
              <w:spacing w:after="0" w:line="148" w:lineRule="exact"/>
              <w:rPr>
                <w:sz w:val="20"/>
                <w:szCs w:val="20"/>
                <w:color w:val="auto"/>
              </w:rPr>
            </w:pPr>
            <w:r>
              <w:rPr>
                <w:rFonts w:ascii="Arial" w:cs="Arial" w:eastAsia="Arial" w:hAnsi="Arial"/>
                <w:sz w:val="13"/>
                <w:szCs w:val="13"/>
                <w:color w:val="auto"/>
              </w:rPr>
              <w:t>Raleigh-Durham-Chapel</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27,305</w:t>
            </w:r>
          </w:p>
        </w:tc>
        <w:tc>
          <w:tcPr>
            <w:tcW w:w="66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Hill, NC</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4"/>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Gratiot Plaza</w:t>
            </w:r>
          </w:p>
        </w:tc>
        <w:tc>
          <w:tcPr>
            <w:tcW w:w="4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Detroit, MI</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19,216</w:t>
            </w:r>
          </w:p>
        </w:tc>
        <w:tc>
          <w:tcPr>
            <w:tcW w:w="6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217,000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69,000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Houston St</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San Antonio, TX</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62,030</w:t>
            </w:r>
          </w:p>
        </w:tc>
        <w:tc>
          <w:tcPr>
            <w:tcW w:w="66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172,000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Arial" w:cs="Arial" w:eastAsia="Arial" w:hAnsi="Arial"/>
                <w:sz w:val="13"/>
                <w:szCs w:val="13"/>
                <w:color w:val="auto"/>
              </w:rPr>
              <w:t>Hotel Valencia / Walgreens</w:t>
            </w: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Lancaster</w:t>
            </w:r>
          </w:p>
        </w:tc>
        <w:tc>
          <w:tcPr>
            <w:tcW w:w="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(6)</w:t>
            </w: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Lancaster, PA</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13,533</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4,907</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Michaels</w:t>
            </w: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29th Place</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Charlottesville, VA</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40,251</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4,987</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169,000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Arial" w:cs="Arial" w:eastAsia="Arial" w:hAnsi="Arial"/>
                <w:sz w:val="13"/>
                <w:szCs w:val="13"/>
                <w:color w:val="auto"/>
              </w:rPr>
              <w:t>DSW / HomeGoods / Staples / Stein Mart</w:t>
            </w: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216"/>
        </w:trPr>
        <w:tc>
          <w:tcPr>
            <w:tcW w:w="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Willow Lawn</w:t>
            </w:r>
          </w:p>
        </w:tc>
        <w:tc>
          <w:tcPr>
            <w:tcW w:w="4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97"/>
              </w:rPr>
              <w:t>Richmond-Petersburg, VA</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83,420</w:t>
            </w:r>
          </w:p>
        </w:tc>
        <w:tc>
          <w:tcPr>
            <w:tcW w:w="6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445,000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Old Navy / Staples / Ross Dress For Less</w:t>
            </w: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b w:val="1"/>
                <w:bCs w:val="1"/>
                <w:color w:val="auto"/>
              </w:rPr>
              <w:t>Total Other</w:t>
            </w:r>
          </w:p>
        </w:tc>
        <w:tc>
          <w:tcPr>
            <w:tcW w:w="70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335,329</w:t>
            </w:r>
          </w:p>
        </w:tc>
        <w:tc>
          <w:tcPr>
            <w:tcW w:w="660" w:type="dxa"/>
            <w:vAlign w:val="bottom"/>
          </w:tcPr>
          <w:p>
            <w:pPr>
              <w:spacing w:after="0"/>
              <w:rPr>
                <w:sz w:val="14"/>
                <w:szCs w:val="14"/>
                <w:color w:val="auto"/>
              </w:rPr>
            </w:pPr>
          </w:p>
        </w:tc>
        <w:tc>
          <w:tcPr>
            <w:tcW w:w="7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2,047,000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176"/>
        </w:trPr>
        <w:tc>
          <w:tcPr>
            <w:tcW w:w="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3220" w:type="dxa"/>
            <w:vAlign w:val="bottom"/>
            <w:tcBorders>
              <w:bottom w:val="single" w:sz="8" w:color="auto"/>
            </w:tcBorders>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Arial" w:cs="Arial" w:eastAsia="Arial" w:hAnsi="Arial"/>
                <w:sz w:val="13"/>
                <w:szCs w:val="13"/>
                <w:b w:val="1"/>
                <w:bCs w:val="1"/>
                <w:color w:val="auto"/>
              </w:rPr>
              <w:t>Grand Total</w:t>
            </w: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$ 5,536,792</w:t>
            </w:r>
          </w:p>
        </w:tc>
        <w:tc>
          <w:tcPr>
            <w:tcW w:w="660" w:type="dxa"/>
            <w:vAlign w:val="bottom"/>
          </w:tcPr>
          <w:p>
            <w:pPr>
              <w:jc w:val="right"/>
              <w:ind w:right="38"/>
              <w:spacing w:after="0"/>
              <w:rPr>
                <w:sz w:val="20"/>
                <w:szCs w:val="20"/>
                <w:color w:val="auto"/>
              </w:rPr>
            </w:pPr>
            <w:r>
              <w:rPr>
                <w:rFonts w:ascii="Arial" w:cs="Arial" w:eastAsia="Arial" w:hAnsi="Arial"/>
                <w:sz w:val="13"/>
                <w:szCs w:val="13"/>
                <w:b w:val="1"/>
                <w:bCs w:val="1"/>
                <w:color w:val="auto"/>
                <w:w w:val="93"/>
              </w:rPr>
              <w:t>$ 690,128</w:t>
            </w: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20,056,000</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96%</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Notes:</w:t>
            </w: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920" w:type="dxa"/>
            <w:vAlign w:val="bottom"/>
            <w:gridSpan w:val="10"/>
          </w:tcPr>
          <w:p>
            <w:pPr>
              <w:spacing w:after="0" w:line="20" w:lineRule="exact"/>
              <w:rPr>
                <w:sz w:val="1"/>
                <w:szCs w:val="1"/>
                <w:color w:val="auto"/>
              </w:rPr>
            </w:pPr>
          </w:p>
        </w:tc>
      </w:tr>
      <w:tr>
        <w:trPr>
          <w:trHeight w:val="19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94"/>
              </w:rPr>
              <w:t>The mortgage or capital lease obligations differ from the total reported on the consolidated balance sheet due to the unamortized discount or premium on certain mortgage payables.</w:t>
            </w: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700" w:type="dxa"/>
            <w:vAlign w:val="bottom"/>
            <w:gridSpan w:val="9"/>
          </w:tcPr>
          <w:p>
            <w:pPr>
              <w:ind w:left="60"/>
              <w:spacing w:after="0"/>
              <w:rPr>
                <w:sz w:val="20"/>
                <w:szCs w:val="20"/>
                <w:color w:val="auto"/>
              </w:rPr>
            </w:pPr>
            <w:r>
              <w:rPr>
                <w:rFonts w:ascii="Arial" w:cs="Arial" w:eastAsia="Arial" w:hAnsi="Arial"/>
                <w:sz w:val="13"/>
                <w:szCs w:val="13"/>
                <w:color w:val="auto"/>
                <w:w w:val="95"/>
              </w:rPr>
              <w:t>Excludes newly created redevelopment square footage not yet in service, as well as residential and hotel square footage.</w:t>
            </w: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20" w:type="dxa"/>
            <w:vAlign w:val="bottom"/>
            <w:gridSpan w:val="4"/>
          </w:tcPr>
          <w:p>
            <w:pPr>
              <w:ind w:left="60"/>
              <w:spacing w:after="0"/>
              <w:rPr>
                <w:sz w:val="20"/>
                <w:szCs w:val="20"/>
                <w:color w:val="auto"/>
              </w:rPr>
            </w:pPr>
            <w:r>
              <w:rPr>
                <w:rFonts w:ascii="Arial" w:cs="Arial" w:eastAsia="Arial" w:hAnsi="Arial"/>
                <w:sz w:val="13"/>
                <w:szCs w:val="13"/>
                <w:color w:val="auto"/>
                <w:w w:val="97"/>
              </w:rPr>
              <w:t>The Trust has a controlling financial interest in this property.</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700" w:type="dxa"/>
            <w:vAlign w:val="bottom"/>
            <w:gridSpan w:val="9"/>
          </w:tcPr>
          <w:p>
            <w:pPr>
              <w:ind w:left="60"/>
              <w:spacing w:after="0"/>
              <w:rPr>
                <w:sz w:val="20"/>
                <w:szCs w:val="20"/>
                <w:color w:val="auto"/>
              </w:rPr>
            </w:pPr>
            <w:r>
              <w:rPr>
                <w:rFonts w:ascii="Arial" w:cs="Arial" w:eastAsia="Arial" w:hAnsi="Arial"/>
                <w:sz w:val="13"/>
                <w:szCs w:val="13"/>
                <w:color w:val="auto"/>
                <w:w w:val="93"/>
              </w:rPr>
              <w:t>Portion of property is currently under development. See further discussion in the Pike &amp; Rose and Assembly Row schedule.</w:t>
            </w:r>
          </w:p>
        </w:tc>
        <w:tc>
          <w:tcPr>
            <w:tcW w:w="3220" w:type="dxa"/>
            <w:vAlign w:val="bottom"/>
          </w:tcPr>
          <w:p>
            <w:pPr>
              <w:spacing w:after="0"/>
              <w:rPr>
                <w:sz w:val="16"/>
                <w:szCs w:val="16"/>
                <w:color w:val="auto"/>
              </w:rPr>
            </w:pPr>
          </w:p>
        </w:tc>
      </w:tr>
      <w:tr>
        <w:trPr>
          <w:trHeight w:val="16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92"/>
              </w:rPr>
              <w:t>All or a portion of the property is owned in a "downreit" partnership, of which a wholly owned subsidiary of the Trust is the sole general partner, with third party partners holding operating</w:t>
            </w:r>
          </w:p>
        </w:tc>
      </w:tr>
      <w:tr>
        <w:trPr>
          <w:trHeight w:val="160"/>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0" w:type="dxa"/>
            <w:vAlign w:val="bottom"/>
            <w:gridSpan w:val="2"/>
          </w:tcPr>
          <w:p>
            <w:pPr>
              <w:ind w:left="60"/>
              <w:spacing w:after="0"/>
              <w:rPr>
                <w:sz w:val="20"/>
                <w:szCs w:val="20"/>
                <w:color w:val="auto"/>
              </w:rPr>
            </w:pPr>
            <w:r>
              <w:rPr>
                <w:rFonts w:ascii="Arial" w:cs="Arial" w:eastAsia="Arial" w:hAnsi="Arial"/>
                <w:sz w:val="13"/>
                <w:szCs w:val="13"/>
                <w:color w:val="auto"/>
              </w:rPr>
              <w:t>partnership units.</w:t>
            </w: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20" w:type="dxa"/>
            <w:vAlign w:val="bottom"/>
            <w:gridSpan w:val="4"/>
          </w:tcPr>
          <w:p>
            <w:pPr>
              <w:ind w:left="60"/>
              <w:spacing w:after="0"/>
              <w:rPr>
                <w:sz w:val="20"/>
                <w:szCs w:val="20"/>
                <w:color w:val="auto"/>
              </w:rPr>
            </w:pPr>
            <w:r>
              <w:rPr>
                <w:rFonts w:ascii="Arial" w:cs="Arial" w:eastAsia="Arial" w:hAnsi="Arial"/>
                <w:sz w:val="13"/>
                <w:szCs w:val="13"/>
                <w:color w:val="auto"/>
                <w:w w:val="96"/>
              </w:rPr>
              <w:t>All or a portion of property subject to capital lease obligation.</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gridSpan w:val="6"/>
          </w:tcPr>
          <w:p>
            <w:pPr>
              <w:ind w:left="60"/>
              <w:spacing w:after="0"/>
              <w:rPr>
                <w:sz w:val="20"/>
                <w:szCs w:val="20"/>
                <w:color w:val="auto"/>
              </w:rPr>
            </w:pPr>
            <w:r>
              <w:rPr>
                <w:rFonts w:ascii="Arial" w:cs="Arial" w:eastAsia="Arial" w:hAnsi="Arial"/>
                <w:sz w:val="13"/>
                <w:szCs w:val="13"/>
                <w:color w:val="auto"/>
                <w:w w:val="94"/>
              </w:rPr>
              <w:t>Includes a 100% owned, 8.1 acre land parcel being used for The Point redevelopment.</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6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88"/>
              </w:rPr>
              <w:t>On October 16, 2006, the Trust acquired control of Melville Mall through a 20 year master lease and secondary financing. Since the Trust controls this property and retains substantially all of the</w:t>
            </w:r>
          </w:p>
        </w:tc>
      </w:tr>
      <w:tr>
        <w:trPr>
          <w:trHeight w:val="160"/>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780" w:type="dxa"/>
            <w:vAlign w:val="bottom"/>
            <w:gridSpan w:val="6"/>
          </w:tcPr>
          <w:p>
            <w:pPr>
              <w:ind w:left="60"/>
              <w:spacing w:after="0"/>
              <w:rPr>
                <w:sz w:val="20"/>
                <w:szCs w:val="20"/>
                <w:color w:val="auto"/>
              </w:rPr>
            </w:pPr>
            <w:r>
              <w:rPr>
                <w:rFonts w:ascii="Arial" w:cs="Arial" w:eastAsia="Arial" w:hAnsi="Arial"/>
                <w:sz w:val="13"/>
                <w:szCs w:val="13"/>
                <w:color w:val="auto"/>
                <w:w w:val="88"/>
              </w:rPr>
              <w:t>economic benefit and risks associated with it, we consolidate this property and its operations</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2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2014</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372,693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35.69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$ 31.55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1,542,966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11,381,523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30.54</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2014</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536,819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34.93</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$ 30.13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2,572,606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9,774,179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18.21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328,355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31.84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$ 27.01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1,583,057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7,815,348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23.80</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2013</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395,906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27.24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$ 21.73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2,182,320</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7,040,879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17.78</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1,633,773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32.62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$ 27.79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7,880,949</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36,011,929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22.04</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177,145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33.16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$ 28.85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763,753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11,087,445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62.59</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2014</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224,858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32.65</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$ 25.06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1,706,360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9,260,234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41.18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176,649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25.73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$ 22.16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629,580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7,649,978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43.31</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2013</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109,673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31.45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$ 23.43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878,831</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6,458,712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58.89</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688,325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30.81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$ 25.03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3,978,524</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34,456,369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50.06</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195,548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37.98</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779,213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294,078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1.50</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2014</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311,961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36.56</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$ 33.79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866,246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513,945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1.65</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151,706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38.95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$ 32.66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953,477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165,370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1.09</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2013</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67%</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286,233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25.63</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$ 21.08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1,303,489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582,167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2.03</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945,448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33.93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$ 29.80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3,902,425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1,555,560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1.65</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2014</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434,165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36.22</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14,045,241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32.35</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2014</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622,916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35.83</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11,584,637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18.60</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2014</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364,034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31.62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8,445,438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23.20</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2013</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484,144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27.84</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7,723,079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15.95</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1,905,259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33.08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41,798,395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21.94</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1280" w:right="100" w:hanging="1251"/>
        <w:spacing w:after="0" w:line="230"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Approximately $6.1 million ($11.89 per square foot) in 3rd Quarter 2014, $5.6 million ($7.30 per square foot) in 2nd Quarter 2014, $5.1 million ($12.38 per square foot) in 1st Quarter 2014 and $1.5 million ($3.09 per square foot) in 4th Quarter 2013 of the Tenant Improvements &amp; Incentives are for properties under active redevelopment (e.g. Westgate Center, Willow Lawn, Hollywood Boulevard) and are included in the Projected Cost for those projects on the Summary of Redevelopment Opportunities.</w:t>
      </w:r>
    </w:p>
    <w:p>
      <w:pPr>
        <w:spacing w:after="0" w:line="2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1280" w:right="60" w:hanging="1251"/>
        <w:spacing w:after="0" w:line="288" w:lineRule="auto"/>
        <w:tabs>
          <w:tab w:leader="none" w:pos="1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the tenant improvements and incentives on leases signed for those projects; these amounts for leases signed for Assembly Row and Pike &amp; Rose are included in the Projected Cost column for those projects shown on the Pike &amp; Rose and Assembly Row schedule.</w:t>
      </w:r>
    </w:p>
    <w:p>
      <w:pPr>
        <w:sectPr>
          <w:pgSz w:w="11900" w:h="16838" w:orient="portrait"/>
          <w:cols w:equalWidth="0" w:num="1">
            <w:col w:w="11380"/>
          </w:cols>
          <w:pgMar w:left="260" w:top="976"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60" w:top="976" w:right="25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457,000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14.82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766,000</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32.68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1,224,000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1,414,000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16.91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1,177,000</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36.03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2,591,000</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1,761,000</w:t>
            </w: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18.02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828,000</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35.46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2,589,000</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23.60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643,000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19.93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477,000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39.87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1,120,000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28.42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39.40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444,000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21.93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466,000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37.54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910,000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29.93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18.18</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39.06</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10,884,000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17.37</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7,972,000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36.27</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18,856,000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25.36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233,000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80,000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31.58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487,000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32.21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567,000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32.12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210,000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23.28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630,000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38.70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840,000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34.84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429,000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20.01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479,000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38.49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908,000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29.76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185,000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12.29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628,000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36.87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813,000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31.27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348,000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456,000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38.32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804,000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8,973,000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17.02</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3,030,000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36.12</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12,003,000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21.84</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10,884,000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17.37</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7,972,000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36.27</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18,856,000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25.36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September 30, 2014.</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occupied square footage as of September 30, 2014.</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Overall Portfolio Statistics (1)</w:t>
            </w: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0" w:type="dxa"/>
            <w:vAlign w:val="bottom"/>
            <w:gridSpan w:val="5"/>
          </w:tcPr>
          <w:p>
            <w:pPr>
              <w:ind w:left="240"/>
              <w:spacing w:after="0"/>
              <w:rPr>
                <w:sz w:val="20"/>
                <w:szCs w:val="20"/>
                <w:color w:val="auto"/>
              </w:rPr>
            </w:pPr>
            <w:r>
              <w:rPr>
                <w:rFonts w:ascii="Arial" w:cs="Arial" w:eastAsia="Arial" w:hAnsi="Arial"/>
                <w:sz w:val="14"/>
                <w:szCs w:val="14"/>
                <w:b w:val="1"/>
                <w:bCs w:val="1"/>
                <w:color w:val="auto"/>
              </w:rPr>
              <w:t>At September 30, 2014</w:t>
            </w: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At September 30, 2013</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color w:val="auto"/>
              </w:rPr>
              <w:t>Size</w:t>
            </w:r>
          </w:p>
        </w:tc>
        <w:tc>
          <w:tcPr>
            <w:tcW w:w="1320" w:type="dxa"/>
            <w:vAlign w:val="bottom"/>
            <w:gridSpan w:val="3"/>
          </w:tcPr>
          <w:p>
            <w:pPr>
              <w:ind w:left="48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Size</w:t>
            </w:r>
          </w:p>
        </w:tc>
        <w:tc>
          <w:tcPr>
            <w:tcW w:w="66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6"/>
                <w:szCs w:val="16"/>
                <w:color w:val="auto"/>
                <w:w w:val="83"/>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(3) (4) (sf)</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20,056,000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19,172,000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19,531,000</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18,623,000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95.3%</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1,500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92.7%</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1,114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94.7%</w:t>
            </w:r>
          </w:p>
        </w:tc>
      </w:tr>
      <w:tr>
        <w:trPr>
          <w:trHeight w:val="770"/>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Same Center Statistics (1)</w:t>
            </w:r>
          </w:p>
        </w:tc>
        <w:tc>
          <w:tcPr>
            <w:tcW w:w="27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gridSpan w:val="5"/>
          </w:tcPr>
          <w:p>
            <w:pPr>
              <w:ind w:left="240"/>
              <w:spacing w:after="0"/>
              <w:rPr>
                <w:sz w:val="20"/>
                <w:szCs w:val="20"/>
                <w:color w:val="auto"/>
              </w:rPr>
            </w:pPr>
            <w:r>
              <w:rPr>
                <w:rFonts w:ascii="Arial" w:cs="Arial" w:eastAsia="Arial" w:hAnsi="Arial"/>
                <w:sz w:val="14"/>
                <w:szCs w:val="14"/>
                <w:b w:val="1"/>
                <w:bCs w:val="1"/>
                <w:color w:val="auto"/>
              </w:rPr>
              <w:t>At September 30, 2014</w:t>
            </w:r>
          </w:p>
        </w:tc>
        <w:tc>
          <w:tcPr>
            <w:tcW w:w="6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At September 30, 2013</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color w:val="auto"/>
              </w:rPr>
              <w:t>Size</w:t>
            </w:r>
          </w:p>
        </w:tc>
        <w:tc>
          <w:tcPr>
            <w:tcW w:w="1320" w:type="dxa"/>
            <w:vAlign w:val="bottom"/>
            <w:gridSpan w:val="3"/>
          </w:tcPr>
          <w:p>
            <w:pPr>
              <w:ind w:left="48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Size</w:t>
            </w:r>
          </w:p>
        </w:tc>
        <w:tc>
          <w:tcPr>
            <w:tcW w:w="66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6"/>
                <w:szCs w:val="16"/>
                <w:color w:val="auto"/>
                <w:w w:val="83"/>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16,873,000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16,177,000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16,876,000</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16,096,000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95.4%</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5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38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2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1,011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95.6%</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September 30, 2014 leased percentage was 98.6% for anchor tenants and 91.8% for small shop tenants.</w:t>
      </w:r>
    </w:p>
    <w:p>
      <w:pPr>
        <w:spacing w:after="0" w:line="72" w:lineRule="exact"/>
        <w:rPr>
          <w:rFonts w:ascii="Arial" w:cs="Arial" w:eastAsia="Arial" w:hAnsi="Arial"/>
          <w:sz w:val="16"/>
          <w:szCs w:val="16"/>
          <w:color w:val="auto"/>
        </w:rPr>
      </w:pPr>
    </w:p>
    <w:p>
      <w:pPr>
        <w:ind w:left="840" w:right="600" w:hanging="805"/>
        <w:spacing w:after="0" w:line="293"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Occupied percentage was 94.7% and 94.6% at September 30, 2014 and 2013, respectively, and same center occupied percentage was 95.4% and 94.8% at September 30, 2014 and 2013, respectively.</w:t>
      </w:r>
    </w:p>
    <w:p>
      <w:pPr>
        <w:spacing w:after="0" w:line="9"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Rank</w:t>
            </w:r>
          </w:p>
        </w:tc>
        <w:tc>
          <w:tcPr>
            <w:tcW w:w="4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420" w:type="dxa"/>
            <w:vAlign w:val="bottom"/>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Percentage of</w:t>
            </w:r>
          </w:p>
        </w:tc>
        <w:tc>
          <w:tcPr>
            <w:tcW w:w="54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6"/>
              </w:rPr>
              <w:t>Stores</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4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 GLA (4)</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6"/>
              </w:rPr>
              <w:t>Leased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898,000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4.48%</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12,754,000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2.67%</w:t>
            </w:r>
          </w:p>
        </w:tc>
        <w:tc>
          <w:tcPr>
            <w:tcW w:w="980" w:type="dxa"/>
            <w:vAlign w:val="bottom"/>
          </w:tcPr>
          <w:p>
            <w:pPr>
              <w:jc w:val="right"/>
              <w:spacing w:after="0"/>
              <w:rPr>
                <w:sz w:val="20"/>
                <w:szCs w:val="20"/>
                <w:color w:val="auto"/>
              </w:rPr>
            </w:pPr>
            <w:r>
              <w:rPr>
                <w:rFonts w:ascii="Arial" w:cs="Arial" w:eastAsia="Arial" w:hAnsi="Arial"/>
                <w:sz w:val="16"/>
                <w:szCs w:val="16"/>
                <w:color w:val="auto"/>
              </w:rPr>
              <w:t>736,000</w:t>
            </w:r>
          </w:p>
        </w:tc>
        <w:tc>
          <w:tcPr>
            <w:tcW w:w="280" w:type="dxa"/>
            <w:vAlign w:val="bottom"/>
          </w:tcPr>
          <w:p>
            <w:pPr>
              <w:spacing w:after="0"/>
              <w:rPr>
                <w:sz w:val="20"/>
                <w:szCs w:val="20"/>
                <w:color w:val="auto"/>
              </w:rPr>
            </w:pPr>
          </w:p>
        </w:tc>
        <w:tc>
          <w:tcPr>
            <w:tcW w:w="1420" w:type="dxa"/>
            <w:vAlign w:val="bottom"/>
          </w:tcPr>
          <w:p>
            <w:pPr>
              <w:jc w:val="right"/>
              <w:ind w:right="320"/>
              <w:spacing w:after="0"/>
              <w:rPr>
                <w:sz w:val="20"/>
                <w:szCs w:val="20"/>
                <w:color w:val="auto"/>
              </w:rPr>
            </w:pPr>
            <w:r>
              <w:rPr>
                <w:rFonts w:ascii="Arial" w:cs="Arial" w:eastAsia="Arial" w:hAnsi="Arial"/>
                <w:sz w:val="16"/>
                <w:szCs w:val="16"/>
                <w:color w:val="auto"/>
              </w:rPr>
              <w:t>3.67%</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TJX Companies,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705,000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3.52%</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Gap,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9,984,000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2.09%</w:t>
            </w:r>
          </w:p>
        </w:tc>
        <w:tc>
          <w:tcPr>
            <w:tcW w:w="980" w:type="dxa"/>
            <w:vAlign w:val="bottom"/>
          </w:tcPr>
          <w:p>
            <w:pPr>
              <w:jc w:val="right"/>
              <w:spacing w:after="0"/>
              <w:rPr>
                <w:sz w:val="20"/>
                <w:szCs w:val="20"/>
                <w:color w:val="auto"/>
              </w:rPr>
            </w:pPr>
            <w:r>
              <w:rPr>
                <w:rFonts w:ascii="Arial" w:cs="Arial" w:eastAsia="Arial" w:hAnsi="Arial"/>
                <w:sz w:val="16"/>
                <w:szCs w:val="16"/>
                <w:color w:val="auto"/>
              </w:rPr>
              <w:t>301,000</w:t>
            </w:r>
          </w:p>
        </w:tc>
        <w:tc>
          <w:tcPr>
            <w:tcW w:w="280" w:type="dxa"/>
            <w:vAlign w:val="bottom"/>
          </w:tcPr>
          <w:p>
            <w:pPr>
              <w:spacing w:after="0"/>
              <w:rPr>
                <w:sz w:val="20"/>
                <w:szCs w:val="20"/>
                <w:color w:val="auto"/>
              </w:rPr>
            </w:pPr>
          </w:p>
        </w:tc>
        <w:tc>
          <w:tcPr>
            <w:tcW w:w="1420" w:type="dxa"/>
            <w:vAlign w:val="bottom"/>
          </w:tcPr>
          <w:p>
            <w:pPr>
              <w:jc w:val="right"/>
              <w:ind w:right="320"/>
              <w:spacing w:after="0"/>
              <w:rPr>
                <w:sz w:val="20"/>
                <w:szCs w:val="20"/>
                <w:color w:val="auto"/>
              </w:rPr>
            </w:pPr>
            <w:r>
              <w:rPr>
                <w:rFonts w:ascii="Arial" w:cs="Arial" w:eastAsia="Arial" w:hAnsi="Arial"/>
                <w:sz w:val="16"/>
                <w:szCs w:val="16"/>
                <w:color w:val="auto"/>
              </w:rPr>
              <w:t>1.50%</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L.A. Fitness International LLC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371,000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1.85%</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6,780,000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1.42%</w:t>
            </w:r>
          </w:p>
        </w:tc>
        <w:tc>
          <w:tcPr>
            <w:tcW w:w="980" w:type="dxa"/>
            <w:vAlign w:val="bottom"/>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Pr>
          <w:p>
            <w:pPr>
              <w:spacing w:after="0"/>
              <w:rPr>
                <w:sz w:val="20"/>
                <w:szCs w:val="20"/>
                <w:color w:val="auto"/>
              </w:rPr>
            </w:pPr>
          </w:p>
        </w:tc>
        <w:tc>
          <w:tcPr>
            <w:tcW w:w="1420" w:type="dxa"/>
            <w:vAlign w:val="bottom"/>
          </w:tcPr>
          <w:p>
            <w:pPr>
              <w:jc w:val="right"/>
              <w:ind w:right="320"/>
              <w:spacing w:after="0"/>
              <w:rPr>
                <w:sz w:val="20"/>
                <w:szCs w:val="20"/>
                <w:color w:val="auto"/>
              </w:rPr>
            </w:pPr>
            <w:r>
              <w:rPr>
                <w:rFonts w:ascii="Arial" w:cs="Arial" w:eastAsia="Arial" w:hAnsi="Arial"/>
                <w:sz w:val="16"/>
                <w:szCs w:val="16"/>
                <w:color w:val="auto"/>
              </w:rPr>
              <w:t>0.94%</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212,000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1.06%</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DSW,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5,816,000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1.22%</w:t>
            </w:r>
          </w:p>
        </w:tc>
        <w:tc>
          <w:tcPr>
            <w:tcW w:w="980" w:type="dxa"/>
            <w:vAlign w:val="bottom"/>
          </w:tcPr>
          <w:p>
            <w:pPr>
              <w:jc w:val="right"/>
              <w:spacing w:after="0"/>
              <w:rPr>
                <w:sz w:val="20"/>
                <w:szCs w:val="20"/>
                <w:color w:val="auto"/>
              </w:rPr>
            </w:pPr>
            <w:r>
              <w:rPr>
                <w:rFonts w:ascii="Arial" w:cs="Arial" w:eastAsia="Arial" w:hAnsi="Arial"/>
                <w:sz w:val="16"/>
                <w:szCs w:val="16"/>
                <w:color w:val="auto"/>
              </w:rPr>
              <w:t>200,000</w:t>
            </w:r>
          </w:p>
        </w:tc>
        <w:tc>
          <w:tcPr>
            <w:tcW w:w="280" w:type="dxa"/>
            <w:vAlign w:val="bottom"/>
          </w:tcPr>
          <w:p>
            <w:pPr>
              <w:spacing w:after="0"/>
              <w:rPr>
                <w:sz w:val="20"/>
                <w:szCs w:val="20"/>
                <w:color w:val="auto"/>
              </w:rPr>
            </w:pPr>
          </w:p>
        </w:tc>
        <w:tc>
          <w:tcPr>
            <w:tcW w:w="1420" w:type="dxa"/>
            <w:vAlign w:val="bottom"/>
          </w:tcPr>
          <w:p>
            <w:pPr>
              <w:jc w:val="right"/>
              <w:ind w:right="320"/>
              <w:spacing w:after="0"/>
              <w:rPr>
                <w:sz w:val="20"/>
                <w:szCs w:val="20"/>
                <w:color w:val="auto"/>
              </w:rPr>
            </w:pPr>
            <w:r>
              <w:rPr>
                <w:rFonts w:ascii="Arial" w:cs="Arial" w:eastAsia="Arial" w:hAnsi="Arial"/>
                <w:sz w:val="16"/>
                <w:szCs w:val="16"/>
                <w:color w:val="auto"/>
              </w:rPr>
              <w:t>1.00%</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2.18%</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Barnes &amp; Noble,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5,117,000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1.07%</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420" w:type="dxa"/>
            <w:vAlign w:val="bottom"/>
          </w:tcPr>
          <w:p>
            <w:pPr>
              <w:jc w:val="right"/>
              <w:ind w:right="320"/>
              <w:spacing w:after="0"/>
              <w:rPr>
                <w:sz w:val="20"/>
                <w:szCs w:val="20"/>
                <w:color w:val="auto"/>
              </w:rPr>
            </w:pPr>
            <w:r>
              <w:rPr>
                <w:rFonts w:ascii="Arial" w:cs="Arial" w:eastAsia="Arial" w:hAnsi="Arial"/>
                <w:sz w:val="16"/>
                <w:szCs w:val="16"/>
                <w:color w:val="auto"/>
              </w:rPr>
              <w:t>1.07%</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Michaels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266,000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1.33%</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4,425,000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0.92%</w:t>
            </w:r>
          </w:p>
        </w:tc>
        <w:tc>
          <w:tcPr>
            <w:tcW w:w="980" w:type="dxa"/>
            <w:vAlign w:val="bottom"/>
          </w:tcPr>
          <w:p>
            <w:pPr>
              <w:jc w:val="right"/>
              <w:spacing w:after="0"/>
              <w:rPr>
                <w:sz w:val="20"/>
                <w:szCs w:val="20"/>
                <w:color w:val="auto"/>
              </w:rPr>
            </w:pPr>
            <w:r>
              <w:rPr>
                <w:rFonts w:ascii="Arial" w:cs="Arial" w:eastAsia="Arial" w:hAnsi="Arial"/>
                <w:sz w:val="16"/>
                <w:szCs w:val="16"/>
                <w:color w:val="auto"/>
              </w:rPr>
              <w:t>167,000</w:t>
            </w:r>
          </w:p>
        </w:tc>
        <w:tc>
          <w:tcPr>
            <w:tcW w:w="280" w:type="dxa"/>
            <w:vAlign w:val="bottom"/>
          </w:tcPr>
          <w:p>
            <w:pPr>
              <w:spacing w:after="0"/>
              <w:rPr>
                <w:sz w:val="20"/>
                <w:szCs w:val="20"/>
                <w:color w:val="auto"/>
              </w:rPr>
            </w:pPr>
          </w:p>
        </w:tc>
        <w:tc>
          <w:tcPr>
            <w:tcW w:w="1420" w:type="dxa"/>
            <w:vAlign w:val="bottom"/>
          </w:tcPr>
          <w:p>
            <w:pPr>
              <w:jc w:val="right"/>
              <w:ind w:right="320"/>
              <w:spacing w:after="0"/>
              <w:rPr>
                <w:sz w:val="20"/>
                <w:szCs w:val="20"/>
                <w:color w:val="auto"/>
              </w:rPr>
            </w:pPr>
            <w:r>
              <w:rPr>
                <w:rFonts w:ascii="Arial" w:cs="Arial" w:eastAsia="Arial" w:hAnsi="Arial"/>
                <w:sz w:val="16"/>
                <w:szCs w:val="16"/>
                <w:color w:val="auto"/>
              </w:rPr>
              <w:t>0.83%</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Dick's Sporting Goods,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1.03%</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AMC Entertainment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4,294,000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0.90%</w:t>
            </w:r>
          </w:p>
        </w:tc>
        <w:tc>
          <w:tcPr>
            <w:tcW w:w="980" w:type="dxa"/>
            <w:vAlign w:val="bottom"/>
          </w:tcPr>
          <w:p>
            <w:pPr>
              <w:jc w:val="right"/>
              <w:spacing w:after="0"/>
              <w:rPr>
                <w:sz w:val="20"/>
                <w:szCs w:val="20"/>
                <w:color w:val="auto"/>
              </w:rPr>
            </w:pPr>
            <w:r>
              <w:rPr>
                <w:rFonts w:ascii="Arial" w:cs="Arial" w:eastAsia="Arial" w:hAnsi="Arial"/>
                <w:sz w:val="16"/>
                <w:szCs w:val="16"/>
                <w:color w:val="auto"/>
              </w:rPr>
              <w:t>229,000</w:t>
            </w:r>
          </w:p>
        </w:tc>
        <w:tc>
          <w:tcPr>
            <w:tcW w:w="280" w:type="dxa"/>
            <w:vAlign w:val="bottom"/>
          </w:tcPr>
          <w:p>
            <w:pPr>
              <w:spacing w:after="0"/>
              <w:rPr>
                <w:sz w:val="19"/>
                <w:szCs w:val="19"/>
                <w:color w:val="auto"/>
              </w:rPr>
            </w:pPr>
          </w:p>
        </w:tc>
        <w:tc>
          <w:tcPr>
            <w:tcW w:w="1420" w:type="dxa"/>
            <w:vAlign w:val="bottom"/>
          </w:tcPr>
          <w:p>
            <w:pPr>
              <w:jc w:val="right"/>
              <w:ind w:right="320"/>
              <w:spacing w:after="0"/>
              <w:rPr>
                <w:sz w:val="20"/>
                <w:szCs w:val="20"/>
                <w:color w:val="auto"/>
              </w:rPr>
            </w:pPr>
            <w:r>
              <w:rPr>
                <w:rFonts w:ascii="Arial" w:cs="Arial" w:eastAsia="Arial" w:hAnsi="Arial"/>
                <w:sz w:val="16"/>
                <w:szCs w:val="16"/>
                <w:color w:val="auto"/>
              </w:rPr>
              <w:t>1.14%</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Staples,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178,000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0.89%</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Riverbed Technology,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3,705,000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0.77%</w:t>
            </w:r>
          </w:p>
        </w:tc>
        <w:tc>
          <w:tcPr>
            <w:tcW w:w="980" w:type="dxa"/>
            <w:vAlign w:val="bottom"/>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Pr>
          <w:p>
            <w:pPr>
              <w:spacing w:after="0"/>
              <w:rPr>
                <w:sz w:val="20"/>
                <w:szCs w:val="20"/>
                <w:color w:val="auto"/>
              </w:rPr>
            </w:pPr>
          </w:p>
        </w:tc>
        <w:tc>
          <w:tcPr>
            <w:tcW w:w="1420" w:type="dxa"/>
            <w:vAlign w:val="bottom"/>
          </w:tcPr>
          <w:p>
            <w:pPr>
              <w:jc w:val="right"/>
              <w:ind w:right="320"/>
              <w:spacing w:after="0"/>
              <w:rPr>
                <w:sz w:val="20"/>
                <w:szCs w:val="20"/>
                <w:color w:val="auto"/>
              </w:rPr>
            </w:pPr>
            <w:r>
              <w:rPr>
                <w:rFonts w:ascii="Arial" w:cs="Arial" w:eastAsia="Arial" w:hAnsi="Arial"/>
                <w:sz w:val="16"/>
                <w:szCs w:val="16"/>
                <w:color w:val="auto"/>
              </w:rPr>
              <w:t>0.41%</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1.04%</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Kroger Co.,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3,528,000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0.74%</w:t>
            </w:r>
          </w:p>
        </w:tc>
        <w:tc>
          <w:tcPr>
            <w:tcW w:w="980" w:type="dxa"/>
            <w:vAlign w:val="bottom"/>
          </w:tcPr>
          <w:p>
            <w:pPr>
              <w:jc w:val="right"/>
              <w:spacing w:after="0"/>
              <w:rPr>
                <w:sz w:val="20"/>
                <w:szCs w:val="20"/>
                <w:color w:val="auto"/>
              </w:rPr>
            </w:pPr>
            <w:r>
              <w:rPr>
                <w:rFonts w:ascii="Arial" w:cs="Arial" w:eastAsia="Arial" w:hAnsi="Arial"/>
                <w:sz w:val="16"/>
                <w:szCs w:val="16"/>
                <w:color w:val="auto"/>
              </w:rPr>
              <w:t>311,000</w:t>
            </w:r>
          </w:p>
        </w:tc>
        <w:tc>
          <w:tcPr>
            <w:tcW w:w="280" w:type="dxa"/>
            <w:vAlign w:val="bottom"/>
          </w:tcPr>
          <w:p>
            <w:pPr>
              <w:spacing w:after="0"/>
              <w:rPr>
                <w:sz w:val="20"/>
                <w:szCs w:val="20"/>
                <w:color w:val="auto"/>
              </w:rPr>
            </w:pPr>
          </w:p>
        </w:tc>
        <w:tc>
          <w:tcPr>
            <w:tcW w:w="1420" w:type="dxa"/>
            <w:vAlign w:val="bottom"/>
          </w:tcPr>
          <w:p>
            <w:pPr>
              <w:jc w:val="right"/>
              <w:ind w:right="320"/>
              <w:spacing w:after="0"/>
              <w:rPr>
                <w:sz w:val="20"/>
                <w:szCs w:val="20"/>
                <w:color w:val="auto"/>
              </w:rPr>
            </w:pPr>
            <w:r>
              <w:rPr>
                <w:rFonts w:ascii="Arial" w:cs="Arial" w:eastAsia="Arial" w:hAnsi="Arial"/>
                <w:sz w:val="16"/>
                <w:szCs w:val="16"/>
                <w:color w:val="auto"/>
              </w:rPr>
              <w:t>1.55%</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0.25%</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PETsMART,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3,246,000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Pr>
          <w:p>
            <w:pPr>
              <w:spacing w:after="0"/>
              <w:rPr>
                <w:sz w:val="20"/>
                <w:szCs w:val="20"/>
                <w:color w:val="auto"/>
              </w:rPr>
            </w:pPr>
          </w:p>
        </w:tc>
        <w:tc>
          <w:tcPr>
            <w:tcW w:w="1420" w:type="dxa"/>
            <w:vAlign w:val="bottom"/>
          </w:tcPr>
          <w:p>
            <w:pPr>
              <w:jc w:val="right"/>
              <w:ind w:right="320"/>
              <w:spacing w:after="0"/>
              <w:rPr>
                <w:sz w:val="20"/>
                <w:szCs w:val="20"/>
                <w:color w:val="auto"/>
              </w:rPr>
            </w:pPr>
            <w:r>
              <w:rPr>
                <w:rFonts w:ascii="Arial" w:cs="Arial" w:eastAsia="Arial" w:hAnsi="Arial"/>
                <w:sz w:val="16"/>
                <w:szCs w:val="16"/>
                <w:color w:val="auto"/>
              </w:rPr>
              <w:t>0.75%</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Dress Barn, Inc.,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133,000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0.66%</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Bank of America,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3,189,000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Pr>
          <w:p>
            <w:pPr>
              <w:spacing w:after="0"/>
              <w:rPr>
                <w:sz w:val="20"/>
                <w:szCs w:val="20"/>
                <w:color w:val="auto"/>
              </w:rPr>
            </w:pPr>
          </w:p>
        </w:tc>
        <w:tc>
          <w:tcPr>
            <w:tcW w:w="1420" w:type="dxa"/>
            <w:vAlign w:val="bottom"/>
          </w:tcPr>
          <w:p>
            <w:pPr>
              <w:jc w:val="right"/>
              <w:ind w:right="320"/>
              <w:spacing w:after="0"/>
              <w:rPr>
                <w:sz w:val="20"/>
                <w:szCs w:val="20"/>
                <w:color w:val="auto"/>
              </w:rPr>
            </w:pPr>
            <w:r>
              <w:rPr>
                <w:rFonts w:ascii="Arial" w:cs="Arial" w:eastAsia="Arial" w:hAnsi="Arial"/>
                <w:sz w:val="16"/>
                <w:szCs w:val="16"/>
                <w:color w:val="auto"/>
              </w:rPr>
              <w:t>0.32%</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 Moore,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161,000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Sports Authority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3,080,000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0.64%</w:t>
            </w:r>
          </w:p>
        </w:tc>
        <w:tc>
          <w:tcPr>
            <w:tcW w:w="980" w:type="dxa"/>
            <w:vAlign w:val="bottom"/>
          </w:tcPr>
          <w:p>
            <w:pPr>
              <w:jc w:val="right"/>
              <w:spacing w:after="0"/>
              <w:rPr>
                <w:sz w:val="20"/>
                <w:szCs w:val="20"/>
                <w:color w:val="auto"/>
              </w:rPr>
            </w:pPr>
            <w:r>
              <w:rPr>
                <w:rFonts w:ascii="Arial" w:cs="Arial" w:eastAsia="Arial" w:hAnsi="Arial"/>
                <w:sz w:val="16"/>
                <w:szCs w:val="16"/>
                <w:color w:val="auto"/>
              </w:rPr>
              <w:t>179,000</w:t>
            </w:r>
          </w:p>
        </w:tc>
        <w:tc>
          <w:tcPr>
            <w:tcW w:w="280" w:type="dxa"/>
            <w:vAlign w:val="bottom"/>
          </w:tcPr>
          <w:p>
            <w:pPr>
              <w:spacing w:after="0"/>
              <w:rPr>
                <w:sz w:val="20"/>
                <w:szCs w:val="20"/>
                <w:color w:val="auto"/>
              </w:rPr>
            </w:pPr>
          </w:p>
        </w:tc>
        <w:tc>
          <w:tcPr>
            <w:tcW w:w="1420" w:type="dxa"/>
            <w:vAlign w:val="bottom"/>
          </w:tcPr>
          <w:p>
            <w:pPr>
              <w:jc w:val="right"/>
              <w:ind w:right="320"/>
              <w:spacing w:after="0"/>
              <w:rPr>
                <w:sz w:val="20"/>
                <w:szCs w:val="20"/>
                <w:color w:val="auto"/>
              </w:rPr>
            </w:pPr>
            <w:r>
              <w:rPr>
                <w:rFonts w:ascii="Arial" w:cs="Arial" w:eastAsia="Arial" w:hAnsi="Arial"/>
                <w:sz w:val="16"/>
                <w:szCs w:val="16"/>
                <w:color w:val="auto"/>
              </w:rPr>
              <w:t>0.89%</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Container Store, Inc.,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6"/>
                <w:szCs w:val="16"/>
                <w:color w:val="auto"/>
              </w:rPr>
              <w:t>0.37%</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140,618,000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29.39%</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6,724,000</w:t>
            </w:r>
          </w:p>
        </w:tc>
        <w:tc>
          <w:tcPr>
            <w:tcW w:w="2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color w:val="auto"/>
              </w:rPr>
              <w:t>33.53%</w:t>
            </w:r>
          </w:p>
        </w:tc>
        <w:tc>
          <w:tcPr>
            <w:tcW w:w="5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478,561,000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20,056,000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42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506"/>
        </w:trPr>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6"/>
              </w:rPr>
              <w:t>Notes:</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0300" w:type="dxa"/>
            <w:vAlign w:val="bottom"/>
            <w:gridSpan w:val="7"/>
          </w:tcPr>
          <w:p>
            <w:pPr>
              <w:ind w:left="140"/>
              <w:spacing w:after="0"/>
              <w:rPr>
                <w:sz w:val="20"/>
                <w:szCs w:val="20"/>
                <w:color w:val="auto"/>
              </w:rPr>
            </w:pPr>
            <w:r>
              <w:rPr>
                <w:rFonts w:ascii="Arial" w:cs="Arial" w:eastAsia="Arial" w:hAnsi="Arial"/>
                <w:sz w:val="16"/>
                <w:szCs w:val="16"/>
                <w:color w:val="auto"/>
                <w:w w:val="92"/>
              </w:rPr>
              <w:t>Does not include amounts related to leases these tenants have with our partnership with a discretionary fund created and advised by ING Clarion Partners.</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0300" w:type="dxa"/>
            <w:vAlign w:val="bottom"/>
            <w:gridSpan w:val="7"/>
          </w:tcPr>
          <w:p>
            <w:pPr>
              <w:ind w:left="140"/>
              <w:spacing w:after="0"/>
              <w:rPr>
                <w:sz w:val="20"/>
                <w:szCs w:val="20"/>
                <w:color w:val="auto"/>
              </w:rPr>
            </w:pPr>
            <w:r>
              <w:rPr>
                <w:rFonts w:ascii="Arial" w:cs="Arial" w:eastAsia="Arial" w:hAnsi="Arial"/>
                <w:sz w:val="16"/>
                <w:szCs w:val="16"/>
                <w:color w:val="auto"/>
                <w:w w:val="90"/>
              </w:rPr>
              <w:t>Reflects aggregate, annualized in-place contractual (defined as cash-basis including adjustments for concessions) minimum rent for all occupied spaces as of</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September 30, 2014.</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w w:val="98"/>
              </w:rPr>
              <w:t>Excludes redevelopment square footage not yet placed in service.</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Individual items may not add up to total due to rounding.</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94"/>
              <w:spacing w:after="0"/>
              <w:rPr>
                <w:sz w:val="20"/>
                <w:szCs w:val="20"/>
                <w:color w:val="auto"/>
              </w:rPr>
            </w:pPr>
            <w:r>
              <w:rPr>
                <w:rFonts w:ascii="Arial" w:cs="Arial" w:eastAsia="Arial" w:hAnsi="Arial"/>
                <w:sz w:val="14"/>
                <w:szCs w:val="14"/>
                <w:b w:val="1"/>
                <w:bCs w:val="1"/>
                <w:color w:val="auto"/>
                <w:w w:val="91"/>
              </w:rPr>
              <w:t>2014 Guidance</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gridSpan w:val="3"/>
          </w:tcPr>
          <w:p>
            <w:pPr>
              <w:jc w:val="center"/>
              <w:ind w:left="94"/>
              <w:spacing w:after="0"/>
              <w:rPr>
                <w:sz w:val="20"/>
                <w:szCs w:val="20"/>
                <w:color w:val="auto"/>
              </w:rPr>
            </w:pPr>
            <w:r>
              <w:rPr>
                <w:rFonts w:ascii="Arial" w:cs="Arial" w:eastAsia="Arial" w:hAnsi="Arial"/>
                <w:sz w:val="14"/>
                <w:szCs w:val="14"/>
                <w:color w:val="auto"/>
                <w:w w:val="97"/>
              </w:rPr>
              <w:t>(Dollars in millions except</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80" w:type="dxa"/>
            <w:vAlign w:val="bottom"/>
            <w:gridSpan w:val="3"/>
          </w:tcPr>
          <w:p>
            <w:pPr>
              <w:jc w:val="center"/>
              <w:ind w:left="134"/>
              <w:spacing w:after="0"/>
              <w:rPr>
                <w:sz w:val="20"/>
                <w:szCs w:val="20"/>
                <w:color w:val="auto"/>
              </w:rPr>
            </w:pPr>
            <w:r>
              <w:rPr>
                <w:rFonts w:ascii="Arial" w:cs="Arial" w:eastAsia="Arial" w:hAnsi="Arial"/>
                <w:sz w:val="14"/>
                <w:szCs w:val="14"/>
                <w:color w:val="auto"/>
                <w:w w:val="91"/>
              </w:rPr>
              <w:t>per share amounts)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5"/>
        </w:trPr>
        <w:tc>
          <w:tcPr>
            <w:tcW w:w="40" w:type="dxa"/>
            <w:vAlign w:val="bottom"/>
          </w:tcPr>
          <w:p>
            <w:pPr>
              <w:spacing w:after="0"/>
              <w:rPr>
                <w:sz w:val="18"/>
                <w:szCs w:val="18"/>
                <w:color w:val="auto"/>
              </w:rPr>
            </w:pPr>
          </w:p>
        </w:tc>
        <w:tc>
          <w:tcPr>
            <w:tcW w:w="8660" w:type="dxa"/>
            <w:vAlign w:val="bottom"/>
            <w:gridSpan w:val="5"/>
          </w:tcPr>
          <w:p>
            <w:pPr>
              <w:spacing w:after="0"/>
              <w:rPr>
                <w:sz w:val="20"/>
                <w:szCs w:val="20"/>
                <w:color w:val="auto"/>
              </w:rPr>
            </w:pPr>
            <w:r>
              <w:rPr>
                <w:rFonts w:ascii="Arial" w:cs="Arial" w:eastAsia="Arial" w:hAnsi="Arial"/>
                <w:sz w:val="18"/>
                <w:szCs w:val="18"/>
                <w:color w:val="auto"/>
              </w:rPr>
              <w:t>Funds from Operations available for common shareholders (FFO)</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44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60" w:type="dxa"/>
            <w:vAlign w:val="bottom"/>
            <w:gridSpan w:val="5"/>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Gain on sale of real estate in real estate partnership</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60" w:type="dxa"/>
            <w:vAlign w:val="bottom"/>
            <w:gridSpan w:val="5"/>
          </w:tcPr>
          <w:p>
            <w:pPr>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660" w:type="dxa"/>
            <w:vAlign w:val="bottom"/>
            <w:gridSpan w:val="5"/>
          </w:tcPr>
          <w:p>
            <w:pPr>
              <w:spacing w:after="0"/>
              <w:rPr>
                <w:sz w:val="20"/>
                <w:szCs w:val="20"/>
                <w:color w:val="auto"/>
              </w:rPr>
            </w:pPr>
            <w:r>
              <w:rPr>
                <w:rFonts w:ascii="Arial" w:cs="Arial" w:eastAsia="Arial" w:hAnsi="Arial"/>
                <w:sz w:val="18"/>
                <w:szCs w:val="18"/>
                <w:color w:val="auto"/>
              </w:rPr>
              <w:t>Funds from operations</w:t>
            </w: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Dividends on preferred shares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60" w:type="dxa"/>
            <w:vAlign w:val="bottom"/>
            <w:gridSpan w:val="5"/>
          </w:tcPr>
          <w:p>
            <w:pPr>
              <w:spacing w:after="0"/>
              <w:rPr>
                <w:sz w:val="20"/>
                <w:szCs w:val="20"/>
                <w:color w:val="auto"/>
              </w:rPr>
            </w:pPr>
            <w:r>
              <w:rPr>
                <w:rFonts w:ascii="Arial" w:cs="Arial" w:eastAsia="Arial" w:hAnsi="Arial"/>
                <w:sz w:val="18"/>
                <w:szCs w:val="18"/>
                <w:color w:val="auto"/>
              </w:rPr>
              <w:t>Income attributable to operating partnership units</w:t>
            </w:r>
          </w:p>
        </w:tc>
        <w:tc>
          <w:tcPr>
            <w:tcW w:w="3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66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FFO</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337</w:t>
            </w:r>
          </w:p>
        </w:tc>
        <w:tc>
          <w:tcPr>
            <w:tcW w:w="2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0" w:type="dxa"/>
            <w:vAlign w:val="bottom"/>
            <w:tcBorders>
              <w:top w:val="single" w:sz="8" w:color="auto"/>
              <w:bottom w:val="single" w:sz="8" w:color="auto"/>
            </w:tcBorders>
          </w:tcPr>
          <w:p>
            <w:pPr>
              <w:spacing w:after="0"/>
              <w:rPr>
                <w:sz w:val="24"/>
                <w:szCs w:val="24"/>
                <w:color w:val="auto"/>
              </w:rPr>
            </w:pPr>
          </w:p>
        </w:tc>
      </w:tr>
      <w:tr>
        <w:trPr>
          <w:trHeight w:val="271"/>
        </w:trPr>
        <w:tc>
          <w:tcPr>
            <w:tcW w:w="40" w:type="dxa"/>
            <w:vAlign w:val="bottom"/>
            <w:tcBorders>
              <w:right w:val="single" w:sz="8" w:color="CCEEFF"/>
            </w:tcBorders>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4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8660" w:type="dxa"/>
            <w:vAlign w:val="bottom"/>
            <w:gridSpan w:val="5"/>
          </w:tcPr>
          <w:p>
            <w:pPr>
              <w:spacing w:after="0"/>
              <w:rPr>
                <w:sz w:val="20"/>
                <w:szCs w:val="20"/>
                <w:color w:val="auto"/>
              </w:rPr>
            </w:pPr>
            <w:r>
              <w:rPr>
                <w:rFonts w:ascii="Arial" w:cs="Arial" w:eastAsia="Arial" w:hAnsi="Arial"/>
                <w:sz w:val="18"/>
                <w:szCs w:val="18"/>
                <w:color w:val="auto"/>
              </w:rPr>
              <w:t>Weighted average number of common shares, diluted</w:t>
            </w:r>
          </w:p>
        </w:tc>
        <w:tc>
          <w:tcPr>
            <w:tcW w:w="3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4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8660" w:type="dxa"/>
            <w:vAlign w:val="bottom"/>
            <w:gridSpan w:val="5"/>
          </w:tcPr>
          <w:p>
            <w:pPr>
              <w:spacing w:after="0"/>
              <w:rPr>
                <w:sz w:val="20"/>
                <w:szCs w:val="20"/>
                <w:color w:val="auto"/>
              </w:rPr>
            </w:pPr>
            <w:r>
              <w:rPr>
                <w:rFonts w:ascii="Arial" w:cs="Arial" w:eastAsia="Arial" w:hAnsi="Arial"/>
                <w:sz w:val="18"/>
                <w:szCs w:val="18"/>
                <w:color w:val="auto"/>
              </w:rPr>
              <w:t>FFO per diluted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0" w:type="dxa"/>
            <w:vAlign w:val="bottom"/>
            <w:tcBorders>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710"/>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3"/>
              </w:rPr>
              <w:t>2015 Guidance</w:t>
            </w: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gridSpan w:val="3"/>
          </w:tcPr>
          <w:p>
            <w:pPr>
              <w:jc w:val="center"/>
              <w:ind w:left="54"/>
              <w:spacing w:after="0"/>
              <w:rPr>
                <w:sz w:val="20"/>
                <w:szCs w:val="20"/>
                <w:color w:val="auto"/>
              </w:rPr>
            </w:pPr>
            <w:r>
              <w:rPr>
                <w:rFonts w:ascii="Arial" w:cs="Arial" w:eastAsia="Arial" w:hAnsi="Arial"/>
                <w:sz w:val="14"/>
                <w:szCs w:val="14"/>
                <w:color w:val="auto"/>
                <w:w w:val="97"/>
              </w:rPr>
              <w:t>(Dollars in millions except</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3"/>
          </w:tcPr>
          <w:p>
            <w:pPr>
              <w:jc w:val="center"/>
              <w:ind w:left="94"/>
              <w:spacing w:after="0"/>
              <w:rPr>
                <w:sz w:val="20"/>
                <w:szCs w:val="20"/>
                <w:color w:val="auto"/>
              </w:rPr>
            </w:pPr>
            <w:r>
              <w:rPr>
                <w:rFonts w:ascii="Arial" w:cs="Arial" w:eastAsia="Arial" w:hAnsi="Arial"/>
                <w:sz w:val="14"/>
                <w:szCs w:val="14"/>
                <w:color w:val="auto"/>
                <w:w w:val="91"/>
              </w:rPr>
              <w:t>per share amounts)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40" w:type="dxa"/>
            <w:vAlign w:val="bottom"/>
            <w:tcBorders>
              <w:right w:val="single" w:sz="8" w:color="CCEEFF"/>
            </w:tcBorders>
          </w:tcPr>
          <w:p>
            <w:pPr>
              <w:spacing w:after="0"/>
              <w:rPr>
                <w:sz w:val="22"/>
                <w:szCs w:val="22"/>
                <w:color w:val="auto"/>
              </w:rPr>
            </w:pPr>
          </w:p>
        </w:tc>
        <w:tc>
          <w:tcPr>
            <w:tcW w:w="47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0"/>
              </w:rPr>
              <w:t>Funds from Operations available for common shareholders (FFO)</w:t>
            </w:r>
          </w:p>
        </w:tc>
        <w:tc>
          <w:tcPr>
            <w:tcW w:w="390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866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60" w:type="dxa"/>
            <w:vAlign w:val="bottom"/>
            <w:gridSpan w:val="5"/>
          </w:tcPr>
          <w:p>
            <w:pPr>
              <w:spacing w:after="0"/>
              <w:rPr>
                <w:sz w:val="20"/>
                <w:szCs w:val="20"/>
                <w:color w:val="auto"/>
              </w:rPr>
            </w:pPr>
            <w:r>
              <w:rPr>
                <w:rFonts w:ascii="Arial" w:cs="Arial" w:eastAsia="Arial" w:hAnsi="Arial"/>
                <w:sz w:val="18"/>
                <w:szCs w:val="18"/>
                <w:color w:val="auto"/>
              </w:rPr>
              <w:t>Gain on sale of real estate</w:t>
            </w:r>
          </w:p>
        </w:tc>
        <w:tc>
          <w:tcPr>
            <w:tcW w:w="34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60" w:type="dxa"/>
            <w:vAlign w:val="bottom"/>
            <w:gridSpan w:val="5"/>
          </w:tcPr>
          <w:p>
            <w:pPr>
              <w:spacing w:after="0"/>
              <w:rPr>
                <w:sz w:val="20"/>
                <w:szCs w:val="20"/>
                <w:color w:val="auto"/>
              </w:rPr>
            </w:pPr>
            <w:r>
              <w:rPr>
                <w:rFonts w:ascii="Arial" w:cs="Arial" w:eastAsia="Arial" w:hAnsi="Arial"/>
                <w:sz w:val="18"/>
                <w:szCs w:val="18"/>
                <w:color w:val="auto"/>
              </w:rPr>
              <w:t>Amortization of initial direct costs of leases</w:t>
            </w:r>
          </w:p>
        </w:tc>
        <w:tc>
          <w:tcPr>
            <w:tcW w:w="3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60" w:type="dxa"/>
            <w:vAlign w:val="bottom"/>
            <w:gridSpan w:val="5"/>
          </w:tcPr>
          <w:p>
            <w:pPr>
              <w:spacing w:after="0"/>
              <w:rPr>
                <w:sz w:val="20"/>
                <w:szCs w:val="20"/>
                <w:color w:val="auto"/>
              </w:rPr>
            </w:pPr>
            <w:r>
              <w:rPr>
                <w:rFonts w:ascii="Arial" w:cs="Arial" w:eastAsia="Arial" w:hAnsi="Arial"/>
                <w:sz w:val="18"/>
                <w:szCs w:val="18"/>
                <w:color w:val="auto"/>
              </w:rPr>
              <w:t>Dividends on preferred shares</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60" w:type="dxa"/>
            <w:vAlign w:val="bottom"/>
            <w:gridSpan w:val="5"/>
          </w:tcPr>
          <w:p>
            <w:pPr>
              <w:spacing w:after="0"/>
              <w:rPr>
                <w:sz w:val="20"/>
                <w:szCs w:val="20"/>
                <w:color w:val="auto"/>
              </w:rPr>
            </w:pPr>
            <w:r>
              <w:rPr>
                <w:rFonts w:ascii="Arial" w:cs="Arial" w:eastAsia="Arial" w:hAnsi="Arial"/>
                <w:sz w:val="18"/>
                <w:szCs w:val="18"/>
                <w:color w:val="auto"/>
              </w:rPr>
              <w:t>Income attributable to unvested shares</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8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FFO</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21"/>
                <w:szCs w:val="21"/>
                <w:color w:val="auto"/>
              </w:rPr>
            </w:pPr>
          </w:p>
        </w:tc>
      </w:tr>
      <w:tr>
        <w:trPr>
          <w:trHeight w:val="324"/>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86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5.26</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8700" w:type="dxa"/>
            <w:vAlign w:val="bottom"/>
            <w:gridSpan w:val="6"/>
          </w:tcPr>
          <w:p>
            <w:pPr>
              <w:spacing w:after="0"/>
              <w:rPr>
                <w:sz w:val="20"/>
                <w:szCs w:val="20"/>
                <w:color w:val="auto"/>
              </w:rPr>
            </w:pPr>
            <w:r>
              <w:rPr>
                <w:rFonts w:ascii="Arial" w:cs="Arial" w:eastAsia="Arial" w:hAnsi="Arial"/>
                <w:sz w:val="14"/>
                <w:szCs w:val="14"/>
                <w:color w:val="auto"/>
              </w:rPr>
              <w:t>Note:</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3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(1) -</w:t>
            </w:r>
          </w:p>
        </w:tc>
        <w:tc>
          <w:tcPr>
            <w:tcW w:w="8380" w:type="dxa"/>
            <w:vAlign w:val="bottom"/>
            <w:gridSpan w:val="4"/>
          </w:tcPr>
          <w:p>
            <w:pPr>
              <w:spacing w:after="0"/>
              <w:rPr>
                <w:sz w:val="20"/>
                <w:szCs w:val="20"/>
                <w:color w:val="auto"/>
              </w:rPr>
            </w:pPr>
            <w:r>
              <w:rPr>
                <w:rFonts w:ascii="Arial" w:cs="Arial" w:eastAsia="Arial" w:hAnsi="Arial"/>
                <w:sz w:val="14"/>
                <w:szCs w:val="14"/>
                <w:color w:val="auto"/>
              </w:rPr>
              <w:t>Individual items may not add up to total due to rounding.</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742" w:right="239"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10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4,358</w:t>
            </w:r>
          </w:p>
        </w:tc>
        <w:tc>
          <w:tcPr>
            <w:tcW w:w="120" w:type="dxa"/>
            <w:vAlign w:val="bottom"/>
          </w:tcPr>
          <w:p>
            <w:pPr>
              <w:spacing w:after="0"/>
              <w:rPr>
                <w:sz w:val="21"/>
                <w:szCs w:val="21"/>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4,631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13,821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4"/>
              </w:rPr>
              <w:t>4,642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13,921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4,381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2,690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4"/>
              </w:rPr>
              <w:t>1,952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income before gain on sale of real estate</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4"/>
              </w:rPr>
              <w:t>1,112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15,862</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4"/>
              </w:rPr>
              <w:t>1,112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17,152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187,113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210,703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(39,836)</w:t>
            </w:r>
          </w:p>
        </w:tc>
        <w:tc>
          <w:tcPr>
            <w:tcW w:w="0" w:type="dxa"/>
            <w:vAlign w:val="bottom"/>
          </w:tcPr>
          <w:p>
            <w:pPr>
              <w:spacing w:after="0"/>
              <w:rPr>
                <w:sz w:val="1"/>
                <w:szCs w:val="1"/>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149,955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170,867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158,490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61,022</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120,936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117,723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158,490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auto"/>
              </w:rPr>
              <w:t>27</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vMerge w:val="restart"/>
          </w:tcPr>
          <w:p>
            <w:pPr>
              <w:jc w:val="center"/>
              <w:ind w:left="196"/>
              <w:spacing w:after="0"/>
              <w:rPr>
                <w:sz w:val="20"/>
                <w:szCs w:val="20"/>
                <w:color w:val="auto"/>
              </w:rPr>
            </w:pPr>
            <w:r>
              <w:rPr>
                <w:rFonts w:ascii="Arial" w:cs="Arial" w:eastAsia="Arial" w:hAnsi="Arial"/>
                <w:sz w:val="14"/>
                <w:szCs w:val="14"/>
                <w:b w:val="1"/>
                <w:bCs w:val="1"/>
                <w:color w:val="auto"/>
              </w:rPr>
              <w:t>Maturity</w:t>
            </w:r>
          </w:p>
        </w:tc>
        <w:tc>
          <w:tcPr>
            <w:tcW w:w="2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Stated Interest Rate as of</w:t>
            </w:r>
          </w:p>
        </w:tc>
        <w:tc>
          <w:tcPr>
            <w:tcW w:w="280" w:type="dxa"/>
            <w:vAlign w:val="bottom"/>
          </w:tcPr>
          <w:p>
            <w:pPr>
              <w:spacing w:after="0"/>
              <w:rPr>
                <w:sz w:val="14"/>
                <w:szCs w:val="14"/>
                <w:color w:val="auto"/>
              </w:rPr>
            </w:pPr>
          </w:p>
        </w:tc>
        <w:tc>
          <w:tcPr>
            <w:tcW w:w="14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197"/>
              <w:spacing w:after="0"/>
              <w:rPr>
                <w:sz w:val="20"/>
                <w:szCs w:val="20"/>
                <w:color w:val="auto"/>
              </w:rPr>
            </w:pPr>
            <w:r>
              <w:rPr>
                <w:rFonts w:ascii="Arial" w:cs="Arial" w:eastAsia="Arial" w:hAnsi="Arial"/>
                <w:sz w:val="14"/>
                <w:szCs w:val="14"/>
                <w:b w:val="1"/>
                <w:bCs w:val="1"/>
                <w:color w:val="auto"/>
                <w:w w:val="91"/>
              </w:rPr>
              <w:t>September 30, 2014</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400" w:type="dxa"/>
            <w:vAlign w:val="bottom"/>
            <w:tcBorders>
              <w:bottom w:val="single" w:sz="8" w:color="CCEEFF"/>
            </w:tcBorders>
            <w:shd w:val="clear" w:color="auto" w:fill="CCEEFF"/>
          </w:tcPr>
          <w:p>
            <w:pPr>
              <w:jc w:val="center"/>
              <w:ind w:left="196"/>
              <w:spacing w:after="0"/>
              <w:rPr>
                <w:sz w:val="20"/>
                <w:szCs w:val="20"/>
                <w:color w:val="auto"/>
              </w:rPr>
            </w:pPr>
            <w:r>
              <w:rPr>
                <w:rFonts w:ascii="Arial" w:cs="Arial" w:eastAsia="Arial" w:hAnsi="Arial"/>
                <w:sz w:val="18"/>
                <w:szCs w:val="18"/>
                <w:color w:val="auto"/>
                <w:w w:val="91"/>
              </w:rPr>
              <w:t>7/1/2016</w:t>
            </w:r>
          </w:p>
        </w:tc>
        <w:tc>
          <w:tcPr>
            <w:tcW w:w="270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5.99% (a)</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400" w:type="dxa"/>
            <w:vAlign w:val="bottom"/>
          </w:tcPr>
          <w:p>
            <w:pPr>
              <w:jc w:val="center"/>
              <w:ind w:left="196"/>
              <w:spacing w:after="0"/>
              <w:rPr>
                <w:sz w:val="20"/>
                <w:szCs w:val="20"/>
                <w:color w:val="auto"/>
              </w:rPr>
            </w:pPr>
            <w:r>
              <w:rPr>
                <w:rFonts w:ascii="Arial" w:cs="Arial" w:eastAsia="Arial" w:hAnsi="Arial"/>
                <w:sz w:val="18"/>
                <w:szCs w:val="18"/>
                <w:color w:val="auto"/>
                <w:w w:val="91"/>
              </w:rPr>
              <w:t>7/1/2016</w:t>
            </w:r>
          </w:p>
        </w:tc>
        <w:tc>
          <w:tcPr>
            <w:tcW w:w="2040" w:type="dxa"/>
            <w:vAlign w:val="bottom"/>
          </w:tcPr>
          <w:p>
            <w:pPr>
              <w:ind w:left="1540"/>
              <w:spacing w:after="0"/>
              <w:rPr>
                <w:sz w:val="20"/>
                <w:szCs w:val="20"/>
                <w:color w:val="auto"/>
              </w:rPr>
            </w:pPr>
            <w:r>
              <w:rPr>
                <w:rFonts w:ascii="Arial" w:cs="Arial" w:eastAsia="Arial" w:hAnsi="Arial"/>
                <w:sz w:val="18"/>
                <w:szCs w:val="18"/>
                <w:color w:val="auto"/>
                <w:w w:val="93"/>
              </w:rPr>
              <w:t>5.90%</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7"/>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Fixed Rate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34,385</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Year</w:t>
            </w:r>
          </w:p>
        </w:tc>
        <w:tc>
          <w:tcPr>
            <w:tcW w:w="2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Scheduled Amortization</w:t>
            </w:r>
          </w:p>
        </w:tc>
        <w:tc>
          <w:tcPr>
            <w:tcW w:w="13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2014</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20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tcPr>
          <w:p>
            <w:pPr>
              <w:jc w:val="right"/>
              <w:ind w:right="14"/>
              <w:spacing w:after="0"/>
              <w:rPr>
                <w:sz w:val="20"/>
                <w:szCs w:val="20"/>
                <w:color w:val="auto"/>
              </w:rPr>
            </w:pPr>
            <w:r>
              <w:rPr>
                <w:rFonts w:ascii="Arial" w:cs="Arial" w:eastAsia="Arial" w:hAnsi="Arial"/>
                <w:sz w:val="18"/>
                <w:szCs w:val="18"/>
                <w:color w:val="auto"/>
              </w:rPr>
              <w:t>2015</w:t>
            </w:r>
          </w:p>
        </w:tc>
        <w:tc>
          <w:tcPr>
            <w:tcW w:w="760" w:type="dxa"/>
            <w:vAlign w:val="bottom"/>
          </w:tcPr>
          <w:p>
            <w:pPr>
              <w:spacing w:after="0"/>
              <w:rPr>
                <w:sz w:val="21"/>
                <w:szCs w:val="21"/>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2016</w:t>
            </w:r>
          </w:p>
        </w:tc>
        <w:tc>
          <w:tcPr>
            <w:tcW w:w="7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1660" w:type="dxa"/>
            <w:vAlign w:val="bottom"/>
          </w:tcPr>
          <w:p>
            <w:pPr>
              <w:jc w:val="right"/>
              <w:ind w:right="14"/>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  $</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Notes:</w:t>
      </w:r>
    </w:p>
    <w:p>
      <w:pPr>
        <w:spacing w:after="0" w:line="63" w:lineRule="exact"/>
        <w:rPr>
          <w:sz w:val="20"/>
          <w:szCs w:val="20"/>
          <w:color w:val="auto"/>
        </w:rPr>
      </w:pPr>
    </w:p>
    <w:p>
      <w:pPr>
        <w:ind w:left="620" w:right="220" w:hanging="585"/>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Status Report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rPr>
              <w:t>Grocery</w:t>
            </w:r>
          </w:p>
        </w:tc>
        <w:tc>
          <w:tcPr>
            <w:tcW w:w="110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1"/>
              </w:rPr>
              <w:t>Real Estate</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Mortgage</w:t>
            </w:r>
          </w:p>
        </w:tc>
        <w:tc>
          <w:tcPr>
            <w:tcW w:w="660" w:type="dxa"/>
            <w:vAlign w:val="bottom"/>
          </w:tcPr>
          <w:p>
            <w:pPr>
              <w:spacing w:after="0"/>
              <w:rPr>
                <w:sz w:val="11"/>
                <w:szCs w:val="11"/>
                <w:color w:val="auto"/>
              </w:rPr>
            </w:pPr>
          </w:p>
        </w:tc>
        <w:tc>
          <w:tcPr>
            <w:tcW w:w="5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1100" w:type="dxa"/>
            <w:vAlign w:val="bottom"/>
          </w:tcPr>
          <w:p>
            <w:pPr>
              <w:spacing w:after="0"/>
              <w:rPr>
                <w:sz w:val="11"/>
                <w:szCs w:val="11"/>
                <w:color w:val="auto"/>
              </w:rPr>
            </w:pPr>
          </w:p>
        </w:tc>
        <w:tc>
          <w:tcPr>
            <w:tcW w:w="2480" w:type="dxa"/>
            <w:vAlign w:val="bottom"/>
          </w:tcPr>
          <w:p>
            <w:pPr>
              <w:spacing w:after="0"/>
              <w:rPr>
                <w:sz w:val="11"/>
                <w:szCs w:val="11"/>
                <w:color w:val="auto"/>
              </w:rPr>
            </w:pPr>
          </w:p>
        </w:tc>
      </w:tr>
      <w:tr>
        <w:trPr>
          <w:trHeight w:val="174"/>
        </w:trPr>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23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MSA Description</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Obligation</w:t>
            </w: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Grocery Anchor</w:t>
            </w:r>
          </w:p>
        </w:tc>
        <w:tc>
          <w:tcPr>
            <w:tcW w:w="2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1"/>
              <w:spacing w:after="0"/>
              <w:rPr>
                <w:sz w:val="20"/>
                <w:szCs w:val="20"/>
                <w:color w:val="auto"/>
              </w:rPr>
            </w:pPr>
            <w:r>
              <w:rPr>
                <w:rFonts w:ascii="Arial" w:cs="Arial" w:eastAsia="Arial" w:hAnsi="Arial"/>
                <w:sz w:val="11"/>
                <w:szCs w:val="11"/>
                <w:color w:val="auto"/>
                <w:w w:val="97"/>
              </w:rPr>
              <w:t>(in</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color w:val="auto"/>
                <w:w w:val="91"/>
              </w:rPr>
              <w:t>(in thousands)</w:t>
            </w:r>
          </w:p>
        </w:tc>
        <w:tc>
          <w:tcPr>
            <w:tcW w:w="100" w:type="dxa"/>
            <w:vAlign w:val="bottom"/>
          </w:tcPr>
          <w:p>
            <w:pPr>
              <w:spacing w:after="0"/>
              <w:rPr>
                <w:sz w:val="11"/>
                <w:szCs w:val="11"/>
                <w:color w:val="auto"/>
              </w:rPr>
            </w:pPr>
          </w:p>
        </w:tc>
        <w:tc>
          <w:tcPr>
            <w:tcW w:w="560" w:type="dxa"/>
            <w:vAlign w:val="bottom"/>
          </w:tcPr>
          <w:p>
            <w:pPr>
              <w:jc w:val="center"/>
              <w:ind w:right="41"/>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2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r>
      <w:tr>
        <w:trPr>
          <w:trHeight w:val="262"/>
        </w:trPr>
        <w:tc>
          <w:tcPr>
            <w:tcW w:w="1580" w:type="dxa"/>
            <w:vAlign w:val="bottom"/>
            <w:gridSpan w:val="4"/>
          </w:tcPr>
          <w:p>
            <w:pPr>
              <w:ind w:left="40"/>
              <w:spacing w:after="0"/>
              <w:rPr>
                <w:sz w:val="20"/>
                <w:szCs w:val="20"/>
                <w:color w:val="auto"/>
              </w:rPr>
            </w:pPr>
            <w:r>
              <w:rPr>
                <w:rFonts w:ascii="Arial" w:cs="Arial" w:eastAsia="Arial" w:hAnsi="Arial"/>
                <w:sz w:val="13"/>
                <w:szCs w:val="13"/>
                <w:color w:val="auto"/>
              </w:rPr>
              <w:t>Barcroft Plaza</w:t>
            </w:r>
          </w:p>
        </w:tc>
        <w:tc>
          <w:tcPr>
            <w:tcW w:w="2320" w:type="dxa"/>
            <w:vAlign w:val="bottom"/>
            <w:gridSpan w:val="2"/>
          </w:tcPr>
          <w:p>
            <w:pPr>
              <w:ind w:left="180"/>
              <w:spacing w:after="0"/>
              <w:rPr>
                <w:sz w:val="20"/>
                <w:szCs w:val="20"/>
                <w:color w:val="auto"/>
              </w:rPr>
            </w:pPr>
            <w:r>
              <w:rPr>
                <w:rFonts w:ascii="Arial" w:cs="Arial" w:eastAsia="Arial" w:hAnsi="Arial"/>
                <w:sz w:val="13"/>
                <w:szCs w:val="13"/>
                <w:color w:val="auto"/>
              </w:rPr>
              <w:t>Washington, DC-MD-VA</w:t>
            </w:r>
          </w:p>
        </w:tc>
        <w:tc>
          <w:tcPr>
            <w:tcW w:w="800" w:type="dxa"/>
            <w:vAlign w:val="bottom"/>
          </w:tcPr>
          <w:p>
            <w:pPr>
              <w:jc w:val="right"/>
              <w:spacing w:after="0"/>
              <w:rPr>
                <w:sz w:val="20"/>
                <w:szCs w:val="20"/>
                <w:color w:val="auto"/>
              </w:rPr>
            </w:pPr>
            <w:r>
              <w:rPr>
                <w:rFonts w:ascii="Arial" w:cs="Arial" w:eastAsia="Arial" w:hAnsi="Arial"/>
                <w:sz w:val="13"/>
                <w:szCs w:val="13"/>
                <w:color w:val="auto"/>
              </w:rPr>
              <w:t>2006-2007</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34,591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41"/>
              <w:spacing w:after="0"/>
              <w:rPr>
                <w:sz w:val="20"/>
                <w:szCs w:val="20"/>
                <w:color w:val="auto"/>
              </w:rPr>
            </w:pPr>
            <w:r>
              <w:rPr>
                <w:rFonts w:ascii="Arial" w:cs="Arial" w:eastAsia="Arial" w:hAnsi="Arial"/>
                <w:sz w:val="13"/>
                <w:szCs w:val="13"/>
                <w:color w:val="auto"/>
              </w:rPr>
              <w:t>20,785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79%</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480" w:type="dxa"/>
            <w:vAlign w:val="bottom"/>
          </w:tcPr>
          <w:p>
            <w:pPr>
              <w:ind w:left="120"/>
              <w:spacing w:after="0"/>
              <w:rPr>
                <w:sz w:val="20"/>
                <w:szCs w:val="20"/>
                <w:color w:val="auto"/>
              </w:rPr>
            </w:pPr>
            <w:r>
              <w:rPr>
                <w:rFonts w:ascii="Arial" w:cs="Arial" w:eastAsia="Arial" w:hAnsi="Arial"/>
                <w:sz w:val="13"/>
                <w:szCs w:val="13"/>
                <w:color w:val="auto"/>
              </w:rPr>
              <w:t>Bank of America</w:t>
            </w:r>
          </w:p>
        </w:tc>
      </w:tr>
      <w:tr>
        <w:trPr>
          <w:trHeight w:val="156"/>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3"/>
              </w:rPr>
              <w:t>Free State Shopping Center</w:t>
            </w: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Washington, DC-MD-VA</w:t>
            </w:r>
          </w:p>
        </w:tc>
        <w:tc>
          <w:tcPr>
            <w:tcW w:w="8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66,819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TJ Maxx / Ross Dress For Less / Office</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Depot</w:t>
            </w:r>
          </w:p>
        </w:tc>
      </w:tr>
      <w:tr>
        <w:trPr>
          <w:trHeight w:val="264"/>
        </w:trPr>
        <w:tc>
          <w:tcPr>
            <w:tcW w:w="158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color w:val="auto"/>
              </w:rPr>
              <w:t>Plaza del Mercado</w:t>
            </w:r>
          </w:p>
        </w:tc>
        <w:tc>
          <w:tcPr>
            <w:tcW w:w="2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Washington, DC-MD-VA</w:t>
            </w:r>
          </w:p>
        </w:tc>
        <w:tc>
          <w:tcPr>
            <w:tcW w:w="800" w:type="dxa"/>
            <w:vAlign w:val="bottom"/>
            <w:tcBorders>
              <w:bottom w:val="single" w:sz="8" w:color="CCEEFF"/>
            </w:tcBorders>
          </w:tcPr>
          <w:p>
            <w:pPr>
              <w:jc w:val="right"/>
              <w:ind w:right="337"/>
              <w:spacing w:after="0"/>
              <w:rPr>
                <w:sz w:val="20"/>
                <w:szCs w:val="20"/>
                <w:color w:val="auto"/>
              </w:rPr>
            </w:pPr>
            <w:r>
              <w:rPr>
                <w:rFonts w:ascii="Arial" w:cs="Arial" w:eastAsia="Arial" w:hAnsi="Arial"/>
                <w:sz w:val="13"/>
                <w:szCs w:val="13"/>
                <w:color w:val="auto"/>
              </w:rPr>
              <w:t>2004</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21,762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6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4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w w:val="94"/>
              </w:rPr>
              <w:t>Total Washington Metropolitan Area</w:t>
            </w: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123,172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154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York / New Jersey</w:t>
            </w: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70"/>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Greenlawn Plaza</w:t>
            </w: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Nassau-Suffolk, NY</w:t>
            </w:r>
          </w:p>
        </w:tc>
        <w:tc>
          <w:tcPr>
            <w:tcW w:w="8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2006</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20,810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13,600</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Tuesday Morning</w:t>
            </w:r>
          </w:p>
        </w:tc>
      </w:tr>
      <w:tr>
        <w:trPr>
          <w:trHeight w:val="242"/>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 New York / New Jersey</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20,810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New England</w:t>
            </w:r>
          </w:p>
        </w:tc>
        <w:tc>
          <w:tcPr>
            <w:tcW w:w="78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r>
      <w:tr>
        <w:trPr>
          <w:trHeight w:val="148"/>
        </w:trPr>
        <w:tc>
          <w:tcPr>
            <w:tcW w:w="15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Atlantic Plaza</w:t>
            </w:r>
          </w:p>
        </w:tc>
        <w:tc>
          <w:tcPr>
            <w:tcW w:w="2320" w:type="dxa"/>
            <w:vAlign w:val="bottom"/>
            <w:gridSpan w:val="2"/>
          </w:tcPr>
          <w:p>
            <w:pPr>
              <w:ind w:left="180"/>
              <w:spacing w:after="0" w:line="148" w:lineRule="exact"/>
              <w:rPr>
                <w:sz w:val="20"/>
                <w:szCs w:val="20"/>
                <w:color w:val="auto"/>
              </w:rPr>
            </w:pPr>
            <w:r>
              <w:rPr>
                <w:rFonts w:ascii="Arial" w:cs="Arial" w:eastAsia="Arial" w:hAnsi="Arial"/>
                <w:sz w:val="13"/>
                <w:szCs w:val="13"/>
                <w:color w:val="auto"/>
              </w:rPr>
              <w:t>Boston-Worcester-Lawrence-Lowell-</w:t>
            </w:r>
          </w:p>
        </w:tc>
        <w:tc>
          <w:tcPr>
            <w:tcW w:w="800" w:type="dxa"/>
            <w:vAlign w:val="bottom"/>
          </w:tcPr>
          <w:p>
            <w:pPr>
              <w:jc w:val="right"/>
              <w:ind w:right="337"/>
              <w:spacing w:after="0" w:line="148"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20,119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70%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110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4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2"/>
          </w:tcPr>
          <w:p>
            <w:pPr>
              <w:ind w:left="180"/>
              <w:spacing w:after="0"/>
              <w:rPr>
                <w:sz w:val="20"/>
                <w:szCs w:val="20"/>
                <w:color w:val="auto"/>
              </w:rPr>
            </w:pPr>
            <w:r>
              <w:rPr>
                <w:rFonts w:ascii="Arial" w:cs="Arial" w:eastAsia="Arial" w:hAnsi="Arial"/>
                <w:sz w:val="13"/>
                <w:szCs w:val="13"/>
                <w:color w:val="auto"/>
              </w:rPr>
              <w:t>Brockton, MA</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56"/>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Boston-Worcester-Lawrence-Lowell-</w:t>
            </w:r>
          </w:p>
        </w:tc>
        <w:tc>
          <w:tcPr>
            <w:tcW w:w="8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23,012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Brockton, MA</w:t>
            </w:r>
          </w:p>
        </w:tc>
        <w:tc>
          <w:tcPr>
            <w:tcW w:w="8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 New England</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43,131</w:t>
            </w: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239,000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6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r>
      <w:tr>
        <w:trPr>
          <w:trHeight w:val="264"/>
        </w:trPr>
        <w:tc>
          <w:tcPr>
            <w:tcW w:w="15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Grand Totals</w:t>
            </w: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93"/>
              </w:rPr>
              <w:t>187,113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b w:val="1"/>
                <w:bCs w:val="1"/>
                <w:color w:val="auto"/>
              </w:rPr>
              <w:t>34,385</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820,000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83%</w:t>
            </w:r>
          </w:p>
        </w:tc>
        <w:tc>
          <w:tcPr>
            <w:tcW w:w="6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5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nine months ended September 30, 2014 and 2013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40" w:type="dxa"/>
            <w:vAlign w:val="bottom"/>
            <w:gridSpan w:val="4"/>
          </w:tcPr>
          <w:p>
            <w:pPr>
              <w:jc w:val="center"/>
              <w:ind w:right="272"/>
              <w:spacing w:after="0"/>
              <w:rPr>
                <w:sz w:val="20"/>
                <w:szCs w:val="20"/>
                <w:color w:val="auto"/>
              </w:rPr>
            </w:pPr>
            <w:r>
              <w:rPr>
                <w:rFonts w:ascii="Arial" w:cs="Arial" w:eastAsia="Arial" w:hAnsi="Arial"/>
                <w:sz w:val="14"/>
                <w:szCs w:val="14"/>
                <w:b w:val="1"/>
                <w:bCs w:val="1"/>
                <w:color w:val="auto"/>
                <w:w w:val="94"/>
              </w:rPr>
              <w:t>Nine Months Ended</w:t>
            </w:r>
          </w:p>
        </w:tc>
      </w:tr>
      <w:tr>
        <w:trPr>
          <w:trHeight w:val="276"/>
        </w:trPr>
        <w:tc>
          <w:tcPr>
            <w:tcW w:w="5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53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49,049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63,366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135,010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138,005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42,660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39,408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127,403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119,885</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23,422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69,772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80,314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3,399</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115,129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128,466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332,140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341,438</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r>
      <w:tr>
        <w:trPr>
          <w:trHeight w:val="257"/>
        </w:trPr>
        <w:tc>
          <w:tcPr>
            <w:tcW w:w="538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110,728</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104,605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327,739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312,583</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2019-12-05T09:28:23Z</dcterms:created>
  <dcterms:modified xsi:type="dcterms:W3CDTF">2019-12-05T09:28:23Z</dcterms:modified>
</cp:coreProperties>
</file>