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September 28, 2015, Federal Realty Investment Trust (the “Registrant”) closed its underwritten public offering of $250,000,000 aggregate principal amount of 2.55% Notes due 2021 (the “Notes”). The Notes were issued pursuant to an underwriting agreement with Wells Fargo Securities, LLC, J.P. Morgan Securities LLC and Merrill Lynch, Pierce, Fenner &amp; Smith Incorporated, as representatives of the several underwriters named in Schedule I to the related pricing agreement. The Notes are governed by the Indenture, dated as of September 1, 1998, between the Registrant and U.S. Bank National Association (successor trustee to Wachovia Bank, National Association (successor trustee to First Union National Bank)).</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senior unsecured obligations of the Registrant and rank equally with all of the Registrant’s other senior unsecured indebtedness. The Notes bear interest at 2.55% per annum, and interest is payable on January 15 and July 15 of each year, beginning on January 15, 2016. The Notes will mature on January 15, 2021.</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jc w:val="right"/>
              <w:ind w:right="36"/>
              <w:spacing w:after="0" w:line="151" w:lineRule="exact"/>
              <w:rPr>
                <w:sz w:val="20"/>
                <w:szCs w:val="20"/>
                <w:color w:val="auto"/>
              </w:rPr>
            </w:pPr>
            <w:r>
              <w:rPr>
                <w:rFonts w:ascii="Arial" w:cs="Arial" w:eastAsia="Arial" w:hAnsi="Arial"/>
                <w:sz w:val="14"/>
                <w:szCs w:val="14"/>
                <w:b w:val="1"/>
                <w:bCs w:val="1"/>
                <w:color w:val="auto"/>
              </w:rPr>
              <w:t>No.</w:t>
            </w:r>
          </w:p>
        </w:tc>
        <w:tc>
          <w:tcPr>
            <w:tcW w:w="894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05"/>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8940" w:type="dxa"/>
            <w:vAlign w:val="bottom"/>
            <w:gridSpan w:val="3"/>
          </w:tcPr>
          <w:p>
            <w:pPr>
              <w:ind w:left="560"/>
              <w:spacing w:after="0"/>
              <w:rPr>
                <w:sz w:val="20"/>
                <w:szCs w:val="20"/>
                <w:color w:val="auto"/>
              </w:rPr>
            </w:pPr>
            <w:r>
              <w:rPr>
                <w:rFonts w:ascii="Arial" w:cs="Arial" w:eastAsia="Arial" w:hAnsi="Arial"/>
                <w:sz w:val="18"/>
                <w:szCs w:val="18"/>
                <w:color w:val="auto"/>
              </w:rPr>
              <w:t>Form of 2.55% Note due 2021</w:t>
            </w: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5.1</w:t>
            </w:r>
          </w:p>
        </w:tc>
        <w:tc>
          <w:tcPr>
            <w:tcW w:w="8940" w:type="dxa"/>
            <w:vAlign w:val="bottom"/>
            <w:gridSpan w:val="3"/>
          </w:tcPr>
          <w:p>
            <w:pPr>
              <w:ind w:left="560"/>
              <w:spacing w:after="0"/>
              <w:rPr>
                <w:sz w:val="20"/>
                <w:szCs w:val="20"/>
                <w:color w:val="auto"/>
              </w:rPr>
            </w:pPr>
            <w:r>
              <w:rPr>
                <w:rFonts w:ascii="Arial" w:cs="Arial" w:eastAsia="Arial" w:hAnsi="Arial"/>
                <w:sz w:val="18"/>
                <w:szCs w:val="18"/>
                <w:color w:val="auto"/>
                <w:w w:val="92"/>
              </w:rPr>
              <w:t>Opinion of Pillsbury Winthrop Shaw Pittman LLP relating to legality of the securities being issued by the Registrant</w:t>
            </w: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894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23.1</w:t>
            </w:r>
          </w:p>
        </w:tc>
        <w:tc>
          <w:tcPr>
            <w:tcW w:w="8940" w:type="dxa"/>
            <w:vAlign w:val="bottom"/>
            <w:gridSpan w:val="3"/>
          </w:tcPr>
          <w:p>
            <w:pPr>
              <w:ind w:left="560"/>
              <w:spacing w:after="0"/>
              <w:rPr>
                <w:sz w:val="20"/>
                <w:szCs w:val="20"/>
                <w:color w:val="auto"/>
              </w:rPr>
            </w:pPr>
            <w:r>
              <w:rPr>
                <w:rFonts w:ascii="Arial" w:cs="Arial" w:eastAsia="Arial" w:hAnsi="Arial"/>
                <w:sz w:val="18"/>
                <w:szCs w:val="18"/>
                <w:color w:val="auto"/>
                <w:w w:val="93"/>
              </w:rPr>
              <w:t>Consents of Pillsbury Winthrop Shaw Pittman LLP (contained in the opinions filed as Exhibits 5.1 and 8.1 hereto)</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30, 2015</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Executive Vice President-Managing Director Mixed-Use Operations</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 Note due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CUSIP No. 313747 AW7</w:t>
            </w:r>
          </w:p>
        </w:tc>
        <w:tc>
          <w:tcPr>
            <w:tcW w:w="5280" w:type="dxa"/>
            <w:vAlign w:val="bottom"/>
          </w:tcPr>
          <w:p>
            <w:pPr>
              <w:jc w:val="right"/>
              <w:spacing w:after="0"/>
              <w:rPr>
                <w:sz w:val="20"/>
                <w:szCs w:val="20"/>
                <w:color w:val="auto"/>
              </w:rPr>
            </w:pPr>
            <w:r>
              <w:rPr>
                <w:rFonts w:ascii="Arial" w:cs="Arial" w:eastAsia="Arial" w:hAnsi="Arial"/>
                <w:sz w:val="18"/>
                <w:szCs w:val="18"/>
                <w:color w:val="auto"/>
              </w:rPr>
              <w:t>$250,000,000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Fifty Million Dollars ($250,000,000) on January 15, 2021 (the “Stated Maturity Date”) or the date fixed for earlier redemption (the “Redemption Date,” and together with the Stated Maturity Date with respect to principal repayable on such date, the “Maturity Date”), and to pay interest on the outstanding principal amount thereof from September 28, 2015 or from the most recent interest payment date to which interest has been paid or duly provided for, semi-annually on January 15 and July 15 in each year (each, an “Interest Payment Date”), commencing January 15, 2016, at the rate of 2.55%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 or July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1" w:right="239" w:bottom="144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September 28, 2015,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M. Taylor,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Darlene Hough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080"/>
          </w:cols>
          <w:pgMar w:left="240" w:top="274" w:right="5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2.55% Note due 2021</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“2.55% Notes due 2021” (collectively, the “Notes”), and the aggregate principal amount of the Notes to be issued under such series is limited to $250,000,000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80" w:firstLine="443"/>
        <w:spacing w:after="0" w:line="277" w:lineRule="auto"/>
        <w:tabs>
          <w:tab w:leader="none" w:pos="1153"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153"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performance, or a breach, of any covenant or agreement by the Company under the Indenture (other than a covenant or agreement a default in whose</w:t>
      </w:r>
    </w:p>
    <w:p>
      <w:pPr>
        <w:sectPr>
          <w:pgSz w:w="11900" w:h="16838" w:orient="portrait"/>
          <w:cols w:equalWidth="0" w:num="1">
            <w:col w:w="11400"/>
          </w:cols>
          <w:pgMar w:left="240" w:top="274" w:right="25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79" w:lineRule="exact"/>
        <w:rPr>
          <w:sz w:val="20"/>
          <w:szCs w:val="20"/>
          <w:color w:val="auto"/>
        </w:rPr>
      </w:pPr>
    </w:p>
    <w:p>
      <w:pPr>
        <w:ind w:firstLine="443"/>
        <w:spacing w:after="0" w:line="290" w:lineRule="auto"/>
        <w:tabs>
          <w:tab w:leader="none" w:pos="693"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3"/>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December 15, 2020 (the “Par Call Date”),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79"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(1) a Primary Treasury Dealer (as defined below) selected by Wells Fargo Securities, LLC, (2) J.P. Morgan Securities LLC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Merrill Lynch, Pierce, Fenner &amp; Smith Incorporated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Reference Treasury Dealers ceases to be a primary U.S. Government securities dealer (a “Primary Treasury Dealer”), the Company will substitute therefor another Primary Treasury Dealer; and (3) any two other Primary Treasury Dealers selected by the Company.</w:t>
      </w:r>
    </w:p>
    <w:p>
      <w:pPr>
        <w:spacing w:after="0" w:line="73"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60" w:firstLine="913"/>
        <w:spacing w:after="0" w:line="279" w:lineRule="auto"/>
        <w:rPr>
          <w:sz w:val="20"/>
          <w:szCs w:val="20"/>
          <w:color w:val="auto"/>
        </w:rPr>
      </w:pPr>
      <w:r>
        <w:rPr>
          <w:rFonts w:ascii="Arial" w:cs="Arial" w:eastAsia="Arial" w:hAnsi="Arial"/>
          <w:sz w:val="17"/>
          <w:szCs w:val="17"/>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7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8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58" w:lineRule="exact"/>
        <w:rPr>
          <w:sz w:val="20"/>
          <w:szCs w:val="20"/>
          <w:color w:val="auto"/>
        </w:rPr>
      </w:pPr>
    </w:p>
    <w:p>
      <w:pPr>
        <w:ind w:right="3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60" w:firstLine="4"/>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8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right="1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right="20" w:firstLine="43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3" w:name="page14"/>
    <w:bookmarkEnd w:id="13"/>
    <w:p>
      <w:pPr>
        <w:ind w:left="460" w:right="3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24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$250,000,000 aggregate principal amount of 2.55% Notes due 2021 (the “Notes”) of the Company, pursuant to the Underwriting Agreement and related Pricing Agreement, each dated September 21, 2015,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September 28, 2015 setting forth the terms of the Notes, the “Indenture”).</w:t>
      </w:r>
    </w:p>
    <w:p>
      <w:pPr>
        <w:spacing w:after="0" w:line="16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333-203999) (the “Registration Statement”) filed by the Company to register the offer and sale of the Notes with the Securities and Exchange Commission (the “Commission”) under the Securities Act of 1933 (the “Securities Act”), (d) the Prospectus dated May 8, 2015, as supplemented by the Prospectus Supplement dated September 21, 2015,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w:t>
      </w:r>
    </w:p>
    <w:p>
      <w:pPr>
        <w:sectPr>
          <w:pgSz w:w="11900" w:h="16838" w:orient="portrait"/>
          <w:cols w:equalWidth="0" w:num="1">
            <w:col w:w="11420"/>
          </w:cols>
          <w:pgMar w:left="240" w:top="121" w:right="239" w:bottom="1440" w:gutter="0" w:footer="0" w:header="0"/>
        </w:sectPr>
      </w:pPr>
    </w:p>
    <w:bookmarkStart w:id="15" w:name="page16"/>
    <w:bookmarkEnd w:id="15"/>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hereby consent to the filing of this opinion as Exhibit 5.1 to the Company’s Current Report on Form 8-K filed by the Company with the Commission on September 29, 2015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320"/>
          </w:cols>
          <w:pgMar w:left="240" w:top="27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September 21, 2015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6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lvl w:ilvl="1">
      <w:lvlJc w:val="left"/>
      <w:lvlText w:val="(%2)"/>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2019-12-05T10:04:03Z</dcterms:created>
  <dcterms:modified xsi:type="dcterms:W3CDTF">2019-12-05T10:04:03Z</dcterms:modified>
</cp:coreProperties>
</file>