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700" w:right="3779" w:hanging="257"/>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1998</w:t>
      </w:r>
    </w:p>
    <w:p>
      <w:pPr>
        <w:spacing w:after="0" w:line="200" w:lineRule="exact"/>
        <w:rPr>
          <w:sz w:val="24"/>
          <w:szCs w:val="24"/>
          <w:color w:val="auto"/>
        </w:rPr>
      </w:pPr>
    </w:p>
    <w:p>
      <w:pPr>
        <w:spacing w:after="0" w:line="291"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(Exact</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name of registrant as</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specified in its charter)</w:t>
            </w:r>
          </w:p>
        </w:tc>
      </w:tr>
      <w:tr>
        <w:trPr>
          <w:trHeight w:val="331"/>
        </w:trPr>
        <w:tc>
          <w:tcPr>
            <w:tcW w:w="27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District of Columbia</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1-7533</w:t>
            </w:r>
          </w:p>
        </w:tc>
        <w:tc>
          <w:tcPr>
            <w:tcW w:w="1780" w:type="dxa"/>
            <w:vAlign w:val="bottom"/>
          </w:tcPr>
          <w:p>
            <w:pPr>
              <w:ind w:left="560"/>
              <w:spacing w:after="0"/>
              <w:rPr>
                <w:sz w:val="20"/>
                <w:szCs w:val="20"/>
                <w:color w:val="auto"/>
              </w:rPr>
            </w:pPr>
            <w:r>
              <w:rPr>
                <w:rFonts w:ascii="Courier New" w:cs="Courier New" w:eastAsia="Courier New" w:hAnsi="Courier New"/>
                <w:sz w:val="14"/>
                <w:szCs w:val="14"/>
                <w:color w:val="auto"/>
              </w:rPr>
              <w:t>52-0782497</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880" w:type="dxa"/>
            <w:vAlign w:val="bottom"/>
          </w:tcPr>
          <w:p>
            <w:pPr>
              <w:spacing w:after="0"/>
              <w:rPr>
                <w:sz w:val="20"/>
                <w:szCs w:val="20"/>
                <w:color w:val="auto"/>
              </w:rPr>
            </w:pPr>
            <w:r>
              <w:rPr>
                <w:rFonts w:ascii="Courier New" w:cs="Courier New" w:eastAsia="Courier New" w:hAnsi="Courier New"/>
                <w:sz w:val="14"/>
                <w:szCs w:val="14"/>
                <w:color w:val="auto"/>
              </w:rPr>
              <w:t>(State or</w:t>
            </w:r>
          </w:p>
        </w:tc>
        <w:tc>
          <w:tcPr>
            <w:tcW w:w="1840" w:type="dxa"/>
            <w:vAlign w:val="bottom"/>
          </w:tcPr>
          <w:p>
            <w:pPr>
              <w:spacing w:after="0"/>
              <w:rPr>
                <w:sz w:val="20"/>
                <w:szCs w:val="20"/>
                <w:color w:val="auto"/>
              </w:rPr>
            </w:pPr>
            <w:r>
              <w:rPr>
                <w:rFonts w:ascii="Courier New" w:cs="Courier New" w:eastAsia="Courier New" w:hAnsi="Courier New"/>
                <w:sz w:val="14"/>
                <w:szCs w:val="14"/>
                <w:color w:val="auto"/>
              </w:rPr>
              <w:t>other jurisdiction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(Commission</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of incorporation)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File Number)</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Identification No.)</w:t>
            </w:r>
          </w:p>
        </w:tc>
      </w:tr>
      <w:tr>
        <w:trPr>
          <w:trHeight w:val="497"/>
        </w:trPr>
        <w:tc>
          <w:tcPr>
            <w:tcW w:w="880" w:type="dxa"/>
            <w:vAlign w:val="bottom"/>
          </w:tcPr>
          <w:p>
            <w:pPr>
              <w:spacing w:after="0"/>
              <w:rPr>
                <w:sz w:val="20"/>
                <w:szCs w:val="20"/>
                <w:color w:val="auto"/>
              </w:rPr>
            </w:pPr>
            <w:r>
              <w:rPr>
                <w:rFonts w:ascii="Courier New" w:cs="Courier New" w:eastAsia="Courier New" w:hAnsi="Courier New"/>
                <w:sz w:val="14"/>
                <w:szCs w:val="14"/>
                <w:color w:val="auto"/>
              </w:rPr>
              <w:t>1626 East</w:t>
            </w:r>
          </w:p>
        </w:tc>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Jefferson Street, Rockville, Maryland</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20852-4041</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3"/>
                <w:szCs w:val="13"/>
                <w:color w:val="auto"/>
                <w:w w:val="73"/>
              </w:rPr>
              <w:t>-----------------------------------------------</w:t>
            </w:r>
          </w:p>
        </w:tc>
        <w:tc>
          <w:tcPr>
            <w:tcW w:w="14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(Address of principal executive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offices)</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(Zip Code)</w:t>
            </w:r>
          </w:p>
        </w:tc>
      </w:tr>
    </w:tbl>
    <w:p>
      <w:pPr>
        <w:spacing w:after="0" w:line="335" w:lineRule="exact"/>
        <w:rPr>
          <w:sz w:val="24"/>
          <w:szCs w:val="24"/>
          <w:color w:val="auto"/>
        </w:rPr>
      </w:pPr>
    </w:p>
    <w:p>
      <w:pPr>
        <w:ind w:left="860"/>
        <w:spacing w:after="0"/>
        <w:tabs>
          <w:tab w:leader="none" w:pos="532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7" w:lineRule="exact"/>
        <w:rPr>
          <w:sz w:val="24"/>
          <w:szCs w:val="24"/>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1998.</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1998</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180"/>
            <w:col w:w="1260" w:space="720"/>
            <w:col w:w="763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460" w:space="720"/>
            <w:col w:w="419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March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920" w:space="720"/>
            <w:col w:w="359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31, 1998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Debt Summary.......................................................</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040" w:type="dxa"/>
            <w:vAlign w:val="bottom"/>
          </w:tcPr>
          <w:p>
            <w:pPr>
              <w:jc w:val="right"/>
              <w:ind w:right="5048"/>
              <w:spacing w:after="0"/>
              <w:rPr>
                <w:sz w:val="20"/>
                <w:szCs w:val="20"/>
                <w:color w:val="auto"/>
              </w:rPr>
            </w:pPr>
            <w:r>
              <w:rPr>
                <w:rFonts w:ascii="Courier New" w:cs="Courier New" w:eastAsia="Courier New" w:hAnsi="Courier New"/>
                <w:sz w:val="14"/>
                <w:szCs w:val="14"/>
                <w:color w:val="auto"/>
              </w:rPr>
              <w:t>Occupancy</w:t>
            </w:r>
          </w:p>
        </w:tc>
        <w:tc>
          <w:tcPr>
            <w:tcW w:w="3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Percentage Leased.............................................</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Economic Occupancy............................................</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00" w:type="dxa"/>
            <w:vAlign w:val="bottom"/>
          </w:tcPr>
          <w:p>
            <w:pPr>
              <w:spacing w:after="0"/>
              <w:rPr>
                <w:sz w:val="14"/>
                <w:szCs w:val="14"/>
                <w:color w:val="auto"/>
              </w:rPr>
            </w:pP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Regional Breakdown............................................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Comparable and Non-Comparable.................................</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Press Release......................................................</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Glossary of Terms..................................................</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E-10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8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Maturity</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Rate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Barracks Road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06/01/98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$20,918</w:t>
            </w:r>
          </w:p>
        </w:tc>
        <w:tc>
          <w:tcPr>
            <w:tcW w:w="860" w:type="dxa"/>
            <w:vAlign w:val="bottom"/>
          </w:tcPr>
          <w:p>
            <w:pPr>
              <w:spacing w:after="0"/>
              <w:rPr>
                <w:sz w:val="24"/>
                <w:szCs w:val="2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Falls Plaza</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06/01/98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4,166</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Old Keene Mill</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06/01/98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6,830</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West Falls</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06/01/98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4,781</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Loehmanns Plaza</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07/21/98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6,299</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Federal Plaza</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03/10/01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27,958</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Tysons Station</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09/01/01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4,190</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Bristol</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08/01/98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10,735</w:t>
            </w:r>
          </w:p>
        </w:tc>
        <w:tc>
          <w:tcPr>
            <w:tcW w:w="860" w:type="dxa"/>
            <w:vAlign w:val="bottom"/>
          </w:tcPr>
          <w:p>
            <w:pPr>
              <w:spacing w:after="0"/>
              <w:rPr>
                <w:sz w:val="14"/>
                <w:szCs w:val="14"/>
                <w:color w:val="auto"/>
              </w:rPr>
            </w:pPr>
          </w:p>
        </w:tc>
      </w:tr>
      <w:tr>
        <w:trPr>
          <w:trHeight w:val="166"/>
        </w:trPr>
        <w:tc>
          <w:tcPr>
            <w:tcW w:w="5560" w:type="dxa"/>
            <w:vAlign w:val="bottom"/>
          </w:tcPr>
          <w:p>
            <w:pPr>
              <w:ind w:left="156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10/01/16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Variable ##</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9,400</w:t>
            </w:r>
          </w:p>
        </w:tc>
        <w:tc>
          <w:tcPr>
            <w:tcW w:w="860" w:type="dxa"/>
            <w:vAlign w:val="bottom"/>
          </w:tcPr>
          <w:p>
            <w:pPr>
              <w:spacing w:after="0"/>
              <w:rPr>
                <w:sz w:val="14"/>
                <w:szCs w:val="14"/>
                <w:color w:val="auto"/>
              </w:rPr>
            </w:pPr>
          </w:p>
        </w:tc>
      </w:tr>
      <w:tr>
        <w:trPr>
          <w:trHeight w:val="331"/>
        </w:trPr>
        <w:tc>
          <w:tcPr>
            <w:tcW w:w="5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$95,277</w:t>
            </w:r>
          </w:p>
        </w:tc>
        <w:tc>
          <w:tcPr>
            <w:tcW w:w="860" w:type="dxa"/>
            <w:vAlign w:val="bottom"/>
          </w:tcPr>
          <w:p>
            <w:pPr>
              <w:spacing w:after="0"/>
              <w:rPr>
                <w:sz w:val="24"/>
                <w:szCs w:val="2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Revolving credit facilities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libor + .65%</w:t>
            </w: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$63,000</w:t>
            </w:r>
          </w:p>
        </w:tc>
        <w:tc>
          <w:tcPr>
            <w:tcW w:w="860" w:type="dxa"/>
            <w:vAlign w:val="bottom"/>
          </w:tcPr>
          <w:p>
            <w:pPr>
              <w:spacing w:after="0"/>
              <w:rPr>
                <w:sz w:val="24"/>
                <w:szCs w:val="2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Note issued in connection with</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ind w:left="1740"/>
              <w:spacing w:after="0"/>
              <w:rPr>
                <w:sz w:val="20"/>
                <w:szCs w:val="20"/>
                <w:color w:val="auto"/>
              </w:rPr>
            </w:pPr>
            <w:r>
              <w:rPr>
                <w:rFonts w:ascii="Courier New" w:cs="Courier New" w:eastAsia="Courier New" w:hAnsi="Courier New"/>
                <w:sz w:val="14"/>
                <w:szCs w:val="14"/>
                <w:color w:val="auto"/>
              </w:rPr>
              <w:t>tenant buyout at Queen Anne Plaza</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01/15/06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1,112</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Note issued in connection with</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ind w:left="1740"/>
              <w:spacing w:after="0"/>
              <w:rPr>
                <w:sz w:val="20"/>
                <w:szCs w:val="20"/>
                <w:color w:val="auto"/>
              </w:rPr>
            </w:pPr>
            <w:r>
              <w:rPr>
                <w:rFonts w:ascii="Courier New" w:cs="Courier New" w:eastAsia="Courier New" w:hAnsi="Courier New"/>
                <w:sz w:val="14"/>
                <w:szCs w:val="14"/>
                <w:color w:val="auto"/>
              </w:rPr>
              <w:t>renovation of Perring Plaza</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01/31/13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2,759</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various</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various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w:t>
            </w: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5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$67,112</w:t>
            </w:r>
          </w:p>
        </w:tc>
        <w:tc>
          <w:tcPr>
            <w:tcW w:w="860" w:type="dxa"/>
            <w:vAlign w:val="bottom"/>
          </w:tcPr>
          <w:p>
            <w:pPr>
              <w:spacing w:after="0"/>
              <w:rPr>
                <w:sz w:val="24"/>
                <w:szCs w:val="2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5 1/4% Convertible subordinated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04/30/02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spacing w:after="0"/>
              <w:rPr>
                <w:sz w:val="24"/>
                <w:szCs w:val="24"/>
                <w:color w:val="auto"/>
              </w:rPr>
            </w:pPr>
          </w:p>
        </w:tc>
      </w:tr>
      <w:tr>
        <w:trPr>
          <w:trHeight w:val="166"/>
        </w:trPr>
        <w:tc>
          <w:tcPr>
            <w:tcW w:w="5560" w:type="dxa"/>
            <w:vAlign w:val="bottom"/>
          </w:tcPr>
          <w:p>
            <w:pPr>
              <w:ind w:left="1640"/>
              <w:spacing w:after="0"/>
              <w:rPr>
                <w:sz w:val="20"/>
                <w:szCs w:val="20"/>
                <w:color w:val="auto"/>
              </w:rPr>
            </w:pPr>
            <w:r>
              <w:rPr>
                <w:rFonts w:ascii="Courier New" w:cs="Courier New" w:eastAsia="Courier New" w:hAnsi="Courier New"/>
                <w:sz w:val="14"/>
                <w:szCs w:val="14"/>
                <w:color w:val="auto"/>
              </w:rPr>
              <w:t>debentures</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5 1/4% Convertible subordinated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10/28/03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860" w:type="dxa"/>
            <w:vAlign w:val="bottom"/>
          </w:tcPr>
          <w:p>
            <w:pPr>
              <w:spacing w:after="0"/>
              <w:rPr>
                <w:sz w:val="14"/>
                <w:szCs w:val="14"/>
                <w:color w:val="auto"/>
              </w:rPr>
            </w:pPr>
          </w:p>
        </w:tc>
      </w:tr>
      <w:tr>
        <w:trPr>
          <w:trHeight w:val="166"/>
        </w:trPr>
        <w:tc>
          <w:tcPr>
            <w:tcW w:w="5560" w:type="dxa"/>
            <w:vAlign w:val="bottom"/>
          </w:tcPr>
          <w:p>
            <w:pPr>
              <w:ind w:left="1640"/>
              <w:spacing w:after="0"/>
              <w:rPr>
                <w:sz w:val="20"/>
                <w:szCs w:val="20"/>
                <w:color w:val="auto"/>
              </w:rPr>
            </w:pPr>
            <w:r>
              <w:rPr>
                <w:rFonts w:ascii="Courier New" w:cs="Courier New" w:eastAsia="Courier New" w:hAnsi="Courier New"/>
                <w:sz w:val="14"/>
                <w:szCs w:val="14"/>
                <w:color w:val="auto"/>
              </w:rPr>
              <w:t>debentures</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8 7/8% Notes (fixed)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01/15/00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8 7/8% Notes (fixed) *</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01/15/00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8% Notes (fixed)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04/21/02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6 5/8% Notes (fixed)</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12/01/05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7.48% Debentures</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08/15/26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7.480%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6.82% Medium Term Notes</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08/01/27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6.74% Medium Term Notes *</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03/10/06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39,500</w:t>
            </w:r>
          </w:p>
        </w:tc>
        <w:tc>
          <w:tcPr>
            <w:tcW w:w="860" w:type="dxa"/>
            <w:vAlign w:val="bottom"/>
          </w:tcPr>
          <w:p>
            <w:pPr>
              <w:spacing w:after="0"/>
              <w:rPr>
                <w:sz w:val="14"/>
                <w:szCs w:val="14"/>
                <w:color w:val="auto"/>
              </w:rPr>
            </w:pPr>
          </w:p>
        </w:tc>
      </w:tr>
      <w:tr>
        <w:trPr>
          <w:trHeight w:val="166"/>
        </w:trPr>
        <w:tc>
          <w:tcPr>
            <w:tcW w:w="5560" w:type="dxa"/>
            <w:vAlign w:val="bottom"/>
          </w:tcPr>
          <w:p>
            <w:pPr>
              <w:ind w:left="1480"/>
              <w:spacing w:after="0"/>
              <w:rPr>
                <w:sz w:val="20"/>
                <w:szCs w:val="20"/>
                <w:color w:val="auto"/>
              </w:rPr>
            </w:pPr>
            <w:r>
              <w:rPr>
                <w:rFonts w:ascii="Courier New" w:cs="Courier New" w:eastAsia="Courier New" w:hAnsi="Courier New"/>
                <w:sz w:val="14"/>
                <w:szCs w:val="14"/>
                <w:color w:val="auto"/>
              </w:rPr>
              <w:t>6.99% Medium Term Notes *</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03/10/06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6.894%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40,500</w:t>
            </w: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$410,289</w:t>
            </w: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742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fixed rate debt</w:t>
            </w: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$500,278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87.36%</w:t>
            </w:r>
          </w:p>
        </w:tc>
      </w:tr>
      <w:tr>
        <w:trPr>
          <w:trHeight w:val="331"/>
        </w:trPr>
        <w:tc>
          <w:tcPr>
            <w:tcW w:w="742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variable rate debt</w:t>
            </w: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12.64%</w:t>
            </w: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742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debt</w:t>
            </w:r>
          </w:p>
        </w:tc>
        <w:tc>
          <w:tcPr>
            <w:tcW w:w="124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$572,678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w:t>
            </w:r>
          </w:p>
        </w:tc>
      </w:tr>
      <w:tr>
        <w:trPr>
          <w:trHeight w:val="497"/>
        </w:trPr>
        <w:tc>
          <w:tcPr>
            <w:tcW w:w="8660" w:type="dxa"/>
            <w:vAlign w:val="bottom"/>
            <w:gridSpan w:val="3"/>
          </w:tcPr>
          <w:p>
            <w:pPr>
              <w:ind w:left="4920"/>
              <w:spacing w:after="0"/>
              <w:rPr>
                <w:sz w:val="20"/>
                <w:szCs w:val="20"/>
                <w:color w:val="auto"/>
              </w:rPr>
            </w:pPr>
            <w:r>
              <w:rPr>
                <w:rFonts w:ascii="Courier New" w:cs="Courier New" w:eastAsia="Courier New" w:hAnsi="Courier New"/>
                <w:sz w:val="14"/>
                <w:szCs w:val="14"/>
                <w:color w:val="auto"/>
              </w:rPr>
              <w:t>Weighted average interest rate:</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8660" w:type="dxa"/>
            <w:vAlign w:val="bottom"/>
            <w:gridSpan w:val="3"/>
          </w:tcPr>
          <w:p>
            <w:pPr>
              <w:ind w:left="49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gridSpan w:val="2"/>
          </w:tcPr>
          <w:p>
            <w:pPr>
              <w:ind w:left="5000"/>
              <w:spacing w:after="0"/>
              <w:rPr>
                <w:sz w:val="20"/>
                <w:szCs w:val="20"/>
                <w:color w:val="auto"/>
              </w:rPr>
            </w:pPr>
            <w:r>
              <w:rPr>
                <w:rFonts w:ascii="Courier New" w:cs="Courier New" w:eastAsia="Courier New" w:hAnsi="Courier New"/>
                <w:sz w:val="14"/>
                <w:szCs w:val="14"/>
                <w:color w:val="auto"/>
              </w:rPr>
              <w:t>Fixed rate debt</w:t>
            </w:r>
          </w:p>
        </w:tc>
        <w:tc>
          <w:tcPr>
            <w:tcW w:w="124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w:t>
            </w:r>
          </w:p>
        </w:tc>
        <w:tc>
          <w:tcPr>
            <w:tcW w:w="860" w:type="dxa"/>
            <w:vAlign w:val="bottom"/>
          </w:tcPr>
          <w:p>
            <w:pPr>
              <w:spacing w:after="0"/>
              <w:rPr>
                <w:sz w:val="14"/>
                <w:szCs w:val="14"/>
                <w:color w:val="auto"/>
              </w:rPr>
            </w:pPr>
          </w:p>
        </w:tc>
      </w:tr>
      <w:tr>
        <w:trPr>
          <w:trHeight w:val="166"/>
        </w:trPr>
        <w:tc>
          <w:tcPr>
            <w:tcW w:w="866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Variable on revolving facilities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860" w:type="dxa"/>
            <w:vAlign w:val="bottom"/>
          </w:tcPr>
          <w:p>
            <w:pPr>
              <w:spacing w:after="0"/>
              <w:rPr>
                <w:sz w:val="14"/>
                <w:szCs w:val="14"/>
                <w:color w:val="auto"/>
              </w:rPr>
            </w:pPr>
          </w:p>
        </w:tc>
      </w:tr>
      <w:tr>
        <w:trPr>
          <w:trHeight w:val="166"/>
        </w:trPr>
        <w:tc>
          <w:tcPr>
            <w:tcW w:w="7420" w:type="dxa"/>
            <w:vAlign w:val="bottom"/>
            <w:gridSpan w:val="2"/>
          </w:tcPr>
          <w:p>
            <w:pPr>
              <w:ind w:left="5000"/>
              <w:spacing w:after="0"/>
              <w:rPr>
                <w:sz w:val="20"/>
                <w:szCs w:val="20"/>
                <w:color w:val="auto"/>
              </w:rPr>
            </w:pPr>
            <w:r>
              <w:rPr>
                <w:rFonts w:ascii="Courier New" w:cs="Courier New" w:eastAsia="Courier New" w:hAnsi="Courier New"/>
                <w:sz w:val="14"/>
                <w:szCs w:val="14"/>
                <w:color w:val="auto"/>
              </w:rPr>
              <w:t>Variable on muncipal bonds</w:t>
            </w:r>
          </w:p>
        </w:tc>
        <w:tc>
          <w:tcPr>
            <w:tcW w:w="12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right="5160" w:hanging="85"/>
        <w:spacing w:after="0" w:line="250" w:lineRule="auto"/>
        <w:rPr>
          <w:sz w:val="20"/>
          <w:szCs w:val="20"/>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spacing w:after="0" w:line="1" w:lineRule="exact"/>
        <w:rPr>
          <w:sz w:val="20"/>
          <w:szCs w:val="20"/>
          <w:color w:val="auto"/>
        </w:rPr>
      </w:pPr>
    </w:p>
    <w:p>
      <w:pPr>
        <w:ind w:left="180" w:right="4640" w:hanging="171"/>
        <w:spacing w:after="0" w:line="250" w:lineRule="auto"/>
        <w:rPr>
          <w:sz w:val="20"/>
          <w:szCs w:val="20"/>
          <w:color w:val="auto"/>
        </w:rPr>
      </w:pPr>
      <w:r>
        <w:rPr>
          <w:rFonts w:ascii="Courier New" w:cs="Courier New" w:eastAsia="Courier New" w:hAnsi="Courier New"/>
          <w:sz w:val="14"/>
          <w:szCs w:val="14"/>
          <w:color w:val="auto"/>
        </w:rPr>
        <w:t>**Weighted average interest rate on revolving credit facilities for three months ended March 31,1998.</w:t>
      </w:r>
    </w:p>
    <w:p>
      <w:pPr>
        <w:spacing w:after="0" w:line="1" w:lineRule="exact"/>
        <w:rPr>
          <w:sz w:val="20"/>
          <w:szCs w:val="20"/>
          <w:color w:val="auto"/>
        </w:rPr>
      </w:pPr>
    </w:p>
    <w:p>
      <w:pPr>
        <w:ind w:left="260" w:right="4720" w:hanging="252"/>
        <w:spacing w:after="0" w:line="252"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540"/>
          </w:cols>
          <w:pgMar w:left="220" w:top="616"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(Quarter to Quarter Analysis)</w:t>
            </w:r>
          </w:p>
        </w:tc>
        <w:tc>
          <w:tcPr>
            <w:tcW w:w="2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March 31, 1998</w:t>
            </w:r>
          </w:p>
        </w:tc>
        <w:tc>
          <w:tcPr>
            <w:tcW w:w="1020" w:type="dxa"/>
            <w:vAlign w:val="bottom"/>
          </w:tcPr>
          <w:p>
            <w:pPr>
              <w:spacing w:after="0"/>
              <w:rPr>
                <w:sz w:val="14"/>
                <w:szCs w:val="14"/>
                <w:color w:val="auto"/>
              </w:rPr>
            </w:pP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March 31, 1997</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13,518,261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12,923,203</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13,051,013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12,233,746</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r>
      <w:tr>
        <w:trPr>
          <w:trHeight w:val="828"/>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Overall Occupancy</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(Rolling 12 Months)</w:t>
            </w:r>
          </w:p>
        </w:tc>
        <w:tc>
          <w:tcPr>
            <w:tcW w:w="2300" w:type="dxa"/>
            <w:vAlign w:val="bottom"/>
            <w:gridSpan w:val="2"/>
          </w:tcPr>
          <w:p>
            <w:pPr>
              <w:jc w:val="center"/>
              <w:ind w:left="1008"/>
              <w:spacing w:after="0"/>
              <w:rPr>
                <w:sz w:val="20"/>
                <w:szCs w:val="20"/>
                <w:color w:val="auto"/>
              </w:rPr>
            </w:pPr>
            <w:r>
              <w:rPr>
                <w:rFonts w:ascii="Courier New" w:cs="Courier New" w:eastAsia="Courier New" w:hAnsi="Courier New"/>
                <w:sz w:val="14"/>
                <w:szCs w:val="14"/>
                <w:color w:val="auto"/>
              </w:rPr>
              <w:t>March 31, 1998</w:t>
            </w:r>
          </w:p>
        </w:tc>
        <w:tc>
          <w:tcPr>
            <w:tcW w:w="10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1997</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13,518,261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12,923,203</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13,518,197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12,919,532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Overall Occupancy</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(Rolling 12 Months)</w:t>
            </w:r>
          </w:p>
        </w:tc>
        <w:tc>
          <w:tcPr>
            <w:tcW w:w="33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September 30, 1997</w:t>
            </w: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June 30, 1997</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12,856,798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12,202,952</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95%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12,770,492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11,986,868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(Quarter to Quarter Comparison)</w:t>
            </w: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 1998</w:t>
            </w:r>
          </w:p>
        </w:tc>
        <w:tc>
          <w:tcPr>
            <w:tcW w:w="1020" w:type="dxa"/>
            <w:vAlign w:val="bottom"/>
          </w:tcPr>
          <w:p>
            <w:pPr>
              <w:spacing w:after="0"/>
              <w:rPr>
                <w:sz w:val="14"/>
                <w:szCs w:val="14"/>
                <w:color w:val="auto"/>
              </w:rPr>
            </w:pPr>
          </w:p>
        </w:tc>
        <w:tc>
          <w:tcPr>
            <w:tcW w:w="2200" w:type="dxa"/>
            <w:vAlign w:val="bottom"/>
            <w:gridSpan w:val="2"/>
          </w:tcPr>
          <w:p>
            <w:pPr>
              <w:jc w:val="center"/>
              <w:ind w:left="848"/>
              <w:spacing w:after="0"/>
              <w:rPr>
                <w:sz w:val="20"/>
                <w:szCs w:val="20"/>
                <w:color w:val="auto"/>
              </w:rPr>
            </w:pPr>
            <w:r>
              <w:rPr>
                <w:rFonts w:ascii="Courier New" w:cs="Courier New" w:eastAsia="Courier New" w:hAnsi="Courier New"/>
                <w:sz w:val="14"/>
                <w:szCs w:val="14"/>
                <w:color w:val="auto"/>
              </w:rPr>
              <w:t>March 31, 1997</w:t>
            </w:r>
          </w:p>
        </w:tc>
        <w:tc>
          <w:tcPr>
            <w:tcW w:w="108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11,652,173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11,119,804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11,541,536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10,936,017</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r>
        <w:trPr>
          <w:trHeight w:val="828"/>
        </w:trPr>
        <w:tc>
          <w:tcPr>
            <w:tcW w:w="36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Same Center Occupancy</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6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(Rolling 12 Months)</w:t>
            </w:r>
          </w:p>
        </w:tc>
        <w:tc>
          <w:tcPr>
            <w:tcW w:w="332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At March 31, 1998</w:t>
            </w:r>
          </w:p>
        </w:tc>
        <w:tc>
          <w:tcPr>
            <w:tcW w:w="328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At December 31, 1997</w:t>
            </w: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11,652,173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11,119,804</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12,188,308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11,639,769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6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Same Center Occupancy</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6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(Rolling 12 Months)</w:t>
            </w:r>
          </w:p>
        </w:tc>
        <w:tc>
          <w:tcPr>
            <w:tcW w:w="33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At September 30, 1997</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June 30, 1997</w:t>
            </w:r>
          </w:p>
        </w:tc>
        <w:tc>
          <w:tcPr>
            <w:tcW w:w="108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20" w:type="dxa"/>
            <w:vAlign w:val="bottom"/>
          </w:tcPr>
          <w:p>
            <w:pPr>
              <w:spacing w:after="0"/>
              <w:rPr>
                <w:sz w:val="14"/>
                <w:szCs w:val="14"/>
                <w:color w:val="auto"/>
              </w:rPr>
            </w:pP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11,096,212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10,577,015</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11,150,587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10,531,352</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0260"/>
          </w:cols>
          <w:pgMar w:left="220" w:top="616" w:right="141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2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March 31, 1998</w:t>
            </w:r>
          </w:p>
        </w:tc>
        <w:tc>
          <w:tcPr>
            <w:tcW w:w="1040" w:type="dxa"/>
            <w:vAlign w:val="bottom"/>
          </w:tcPr>
          <w:p>
            <w:pPr>
              <w:spacing w:after="0"/>
              <w:rPr>
                <w:sz w:val="14"/>
                <w:szCs w:val="14"/>
                <w:color w:val="auto"/>
              </w:rPr>
            </w:pPr>
          </w:p>
        </w:tc>
        <w:tc>
          <w:tcPr>
            <w:tcW w:w="2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March 31, 1997</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4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13,518,261</w:t>
            </w: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12,619,318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13,051,013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11,987,214</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r>
        <w:trPr>
          <w:trHeight w:val="828"/>
        </w:trPr>
        <w:tc>
          <w:tcPr>
            <w:tcW w:w="36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2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March 31, 1998</w:t>
            </w:r>
          </w:p>
        </w:tc>
        <w:tc>
          <w:tcPr>
            <w:tcW w:w="10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1997</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4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13,518,261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12,619,318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13,518,197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12,757,485</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6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2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September 30, 1997</w:t>
            </w:r>
          </w:p>
        </w:tc>
        <w:tc>
          <w:tcPr>
            <w:tcW w:w="1040" w:type="dxa"/>
            <w:vAlign w:val="bottom"/>
          </w:tcPr>
          <w:p>
            <w:pPr>
              <w:spacing w:after="0"/>
              <w:rPr>
                <w:sz w:val="14"/>
                <w:szCs w:val="14"/>
                <w:color w:val="auto"/>
              </w:rPr>
            </w:pPr>
          </w:p>
        </w:tc>
        <w:tc>
          <w:tcPr>
            <w:tcW w:w="2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June 30, 1997</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4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12,856,798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12,056,781</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12,770,492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11,724,538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Economic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Comparison)</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March 31, 1998</w:t>
            </w:r>
          </w:p>
        </w:tc>
        <w:tc>
          <w:tcPr>
            <w:tcW w:w="1080" w:type="dxa"/>
            <w:vAlign w:val="bottom"/>
          </w:tcPr>
          <w:p>
            <w:pPr>
              <w:spacing w:after="0"/>
              <w:rPr>
                <w:sz w:val="14"/>
                <w:szCs w:val="14"/>
                <w:color w:val="auto"/>
              </w:rPr>
            </w:pPr>
          </w:p>
        </w:tc>
        <w:tc>
          <w:tcPr>
            <w:tcW w:w="2240" w:type="dxa"/>
            <w:vAlign w:val="bottom"/>
            <w:gridSpan w:val="2"/>
          </w:tcPr>
          <w:p>
            <w:pPr>
              <w:jc w:val="center"/>
              <w:ind w:left="888"/>
              <w:spacing w:after="0"/>
              <w:rPr>
                <w:sz w:val="20"/>
                <w:szCs w:val="20"/>
                <w:color w:val="auto"/>
              </w:rPr>
            </w:pPr>
            <w:r>
              <w:rPr>
                <w:rFonts w:ascii="Courier New" w:cs="Courier New" w:eastAsia="Courier New" w:hAnsi="Courier New"/>
                <w:sz w:val="14"/>
                <w:szCs w:val="14"/>
                <w:color w:val="auto"/>
              </w:rPr>
              <w:t>March 31, 1997</w:t>
            </w: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8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11,652,173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10,819,572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11,541,536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10,750,163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r>
        <w:trPr>
          <w:trHeight w:val="828"/>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Same Center Economic Occupancy</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620" w:type="dxa"/>
            <w:vAlign w:val="bottom"/>
          </w:tcPr>
          <w:p>
            <w:pPr>
              <w:ind w:left="780"/>
              <w:spacing w:after="0"/>
              <w:rPr>
                <w:sz w:val="20"/>
                <w:szCs w:val="20"/>
                <w:color w:val="auto"/>
              </w:rPr>
            </w:pPr>
            <w:r>
              <w:rPr>
                <w:rFonts w:ascii="Courier New" w:cs="Courier New" w:eastAsia="Courier New" w:hAnsi="Courier New"/>
                <w:sz w:val="14"/>
                <w:szCs w:val="14"/>
                <w:color w:val="auto"/>
              </w:rPr>
              <w:t>(Rolling 12 Months)</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At March 31, 1998</w:t>
            </w:r>
          </w:p>
        </w:tc>
        <w:tc>
          <w:tcPr>
            <w:tcW w:w="1080" w:type="dxa"/>
            <w:vAlign w:val="bottom"/>
          </w:tcPr>
          <w:p>
            <w:pPr>
              <w:spacing w:after="0"/>
              <w:rPr>
                <w:sz w:val="14"/>
                <w:szCs w:val="14"/>
                <w:color w:val="auto"/>
              </w:rPr>
            </w:pPr>
          </w:p>
        </w:tc>
        <w:tc>
          <w:tcPr>
            <w:tcW w:w="324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At December 31, 1997</w:t>
            </w:r>
          </w:p>
        </w:tc>
      </w:tr>
      <w:tr>
        <w:trPr>
          <w:trHeight w:val="166"/>
        </w:trPr>
        <w:tc>
          <w:tcPr>
            <w:tcW w:w="36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8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11,652,173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10,819,572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12,188,308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11,486,609</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Same Center Economic Occupancy</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620" w:type="dxa"/>
            <w:vAlign w:val="bottom"/>
          </w:tcPr>
          <w:p>
            <w:pPr>
              <w:ind w:left="780"/>
              <w:spacing w:after="0"/>
              <w:rPr>
                <w:sz w:val="20"/>
                <w:szCs w:val="20"/>
                <w:color w:val="auto"/>
              </w:rPr>
            </w:pPr>
            <w:r>
              <w:rPr>
                <w:rFonts w:ascii="Courier New" w:cs="Courier New" w:eastAsia="Courier New" w:hAnsi="Courier New"/>
                <w:sz w:val="14"/>
                <w:szCs w:val="14"/>
                <w:color w:val="auto"/>
              </w:rPr>
              <w:t>(Rolling 12 Months)</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358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At September 30, 1997</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June 30, 1997</w:t>
            </w: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080" w:type="dxa"/>
            <w:vAlign w:val="bottom"/>
          </w:tcPr>
          <w:p>
            <w:pPr>
              <w:spacing w:after="0"/>
              <w:rPr>
                <w:sz w:val="14"/>
                <w:szCs w:val="14"/>
                <w:color w:val="auto"/>
              </w:rPr>
            </w:pPr>
          </w:p>
        </w:tc>
        <w:tc>
          <w:tcPr>
            <w:tcW w:w="3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11,096,212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10,433,345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11,150,587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10,269,022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1540"/>
          </w:cols>
          <w:pgMar w:left="220" w:top="616"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42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03/31/98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5,948,217</w:t>
            </w:r>
          </w:p>
        </w:tc>
        <w:tc>
          <w:tcPr>
            <w:tcW w:w="12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5,266,137</w:t>
            </w:r>
          </w:p>
        </w:tc>
        <w:tc>
          <w:tcPr>
            <w:tcW w:w="12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900,288</w:t>
            </w:r>
          </w:p>
        </w:tc>
        <w:tc>
          <w:tcPr>
            <w:tcW w:w="12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634,076</w:t>
            </w:r>
          </w:p>
        </w:tc>
        <w:tc>
          <w:tcPr>
            <w:tcW w:w="12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77%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769,543</w:t>
            </w:r>
          </w:p>
        </w:tc>
        <w:tc>
          <w:tcPr>
            <w:tcW w:w="12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42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03/31/98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5,948,217</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3,626,857</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2,321,360</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5,266,137</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2,551,844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2,714,293</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900,288</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517,014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383,274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634,076</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77%</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302,245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331,831</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85%</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769,543</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88,095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681,448</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w:t>
            </w:r>
          </w:p>
        </w:tc>
      </w:tr>
    </w:tbl>
    <w:p>
      <w:pPr>
        <w:sectPr>
          <w:pgSz w:w="11900" w:h="16838" w:orient="portrait"/>
          <w:cols w:equalWidth="0" w:num="1">
            <w:col w:w="10239"/>
          </w:cols>
          <w:pgMar w:left="220" w:top="45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AVERAGE PRIOR</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AVERAGE CURRENT</w:t>
            </w:r>
          </w:p>
        </w:tc>
        <w:tc>
          <w:tcPr>
            <w:tcW w:w="1420" w:type="dxa"/>
            <w:vAlign w:val="bottom"/>
          </w:tcPr>
          <w:p>
            <w:pPr>
              <w:spacing w:after="0"/>
              <w:rPr>
                <w:sz w:val="14"/>
                <w:szCs w:val="14"/>
                <w:color w:val="auto"/>
              </w:rPr>
            </w:pPr>
          </w:p>
        </w:tc>
      </w:tr>
      <w:tr>
        <w:trPr>
          <w:trHeight w:val="166"/>
        </w:trPr>
        <w:tc>
          <w:tcPr>
            <w:tcW w:w="18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SQUARE</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 LEASE</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RENT PER</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RENT PER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ROLLING 12 MONTHS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LEASES SIGN</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FEET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TERM (YEARS)</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SQUARE FOOT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FOOT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INCREASE IN RENT</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1st Quarter 1998</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78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304,204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$15.38</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$17.43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$623,425</w:t>
            </w: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4th Quarter 1997</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72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272,820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$17.07</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$690,291</w:t>
            </w: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3rd Quarter 1997</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270,550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$14.21</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$16.12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$518,342</w:t>
            </w: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2nd Quarter 1997</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357,162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$15.11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$637,973</w:t>
            </w:r>
          </w:p>
        </w:tc>
      </w:tr>
      <w:tr>
        <w:trPr>
          <w:trHeight w:val="166"/>
        </w:trPr>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292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1,204,736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$14.89</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$16.94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$2,470,031</w:t>
            </w:r>
          </w:p>
        </w:tc>
      </w:tr>
      <w:tr>
        <w:trPr>
          <w:trHeight w:val="331"/>
        </w:trPr>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ESTIMATED</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800" w:type="dxa"/>
            <w:vAlign w:val="bottom"/>
          </w:tcPr>
          <w:p>
            <w:pPr>
              <w:spacing w:after="0"/>
              <w:rPr>
                <w:sz w:val="14"/>
                <w:szCs w:val="14"/>
                <w:color w:val="auto"/>
              </w:rPr>
            </w:pPr>
          </w:p>
        </w:tc>
        <w:tc>
          <w:tcPr>
            <w:tcW w:w="216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PERCENTAGE</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TENANT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spacing w:after="0"/>
              <w:rPr>
                <w:sz w:val="14"/>
                <w:szCs w:val="14"/>
                <w:color w:val="auto"/>
              </w:rPr>
            </w:pPr>
          </w:p>
        </w:tc>
        <w:tc>
          <w:tcPr>
            <w:tcW w:w="2160" w:type="dxa"/>
            <w:vAlign w:val="bottom"/>
            <w:gridSpan w:val="2"/>
          </w:tcPr>
          <w:p>
            <w:pPr>
              <w:jc w:val="center"/>
              <w:ind w:left="208"/>
              <w:spacing w:after="0"/>
              <w:rPr>
                <w:sz w:val="20"/>
                <w:szCs w:val="20"/>
                <w:color w:val="auto"/>
              </w:rPr>
            </w:pPr>
            <w:r>
              <w:rPr>
                <w:rFonts w:ascii="Courier New" w:cs="Courier New" w:eastAsia="Courier New" w:hAnsi="Courier New"/>
                <w:sz w:val="14"/>
                <w:szCs w:val="14"/>
                <w:color w:val="auto"/>
              </w:rPr>
              <w:t>INCREASE</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IMPROVEMENT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ROLLING 12 MONTHS</w:t>
            </w: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OVER PRIOR RENT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COSTS</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1st Quarter 1998</w:t>
            </w:r>
          </w:p>
        </w:tc>
        <w:tc>
          <w:tcPr>
            <w:tcW w:w="122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$990,000</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4th Quarter 1997</w:t>
            </w:r>
          </w:p>
        </w:tc>
        <w:tc>
          <w:tcPr>
            <w:tcW w:w="122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$923,000</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3rd Quarter 1997</w:t>
            </w:r>
          </w:p>
        </w:tc>
        <w:tc>
          <w:tcPr>
            <w:tcW w:w="122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$1,269,000</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2nd Quarter 1997</w:t>
            </w:r>
          </w:p>
        </w:tc>
        <w:tc>
          <w:tcPr>
            <w:tcW w:w="122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$2,847,000</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$6,029,000</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NON-COMPARABLE</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ANNUALIZED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4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SQUARE</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AVERAGE LEASE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AVERAGE RENT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IMPROVEMENT</w:t>
            </w:r>
          </w:p>
        </w:tc>
      </w:tr>
      <w:tr>
        <w:trPr>
          <w:trHeight w:val="166"/>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ROLLING 12 MONTHS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LEASES SIGN</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TERM (YEARS)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PER SQUARE FOOT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1st Quarter 1998</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55,877</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12.1</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$22.49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$1,256,594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4th Quarter 1997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40,744</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11.9</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$21.03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$857,046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3rd Quarter 1997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99,537</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$18.60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$1,851,254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$133,000</w:t>
            </w:r>
          </w:p>
        </w:tc>
      </w:tr>
      <w:tr>
        <w:trPr>
          <w:trHeight w:val="166"/>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2nd Quarter 1997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81,229</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11.5</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$11.75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$954,526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$348,000</w:t>
            </w:r>
          </w:p>
        </w:tc>
      </w:tr>
      <w:tr>
        <w:trPr>
          <w:trHeight w:val="166"/>
        </w:trPr>
        <w:tc>
          <w:tcPr>
            <w:tcW w:w="2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277,387</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11.2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$17.73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$4,919,420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$1,156,000</w:t>
            </w:r>
          </w:p>
        </w:tc>
      </w:tr>
    </w:tbl>
    <w:p>
      <w:pPr>
        <w:sectPr>
          <w:pgSz w:w="11900" w:h="16838" w:orient="portrait"/>
          <w:cols w:equalWidth="0" w:num="1">
            <w:col w:w="10239"/>
          </w:cols>
          <w:pgMar w:left="220" w:top="616" w:right="1440" w:bottom="1440" w:gutter="0" w:footer="0" w:header="0"/>
        </w:sectPr>
      </w:pPr>
    </w:p>
    <w:bookmarkStart w:id="9" w:name="page10"/>
    <w:bookmarkEnd w:id="9"/>
    <w:p>
      <w:pPr>
        <w:ind w:left="484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301/998-8211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QUARTER 1998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11, 1998</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first quarter of 1998 increased 12% to $21.2 million from $19.0 million in the first quarter of 1997. On a per share basis, funds from operations rose 6% to $.53 in the first quarter of 1998 from $.50 in the comparable quarter of 1997.</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first quarter of 1998 versus the first quarter of 1997 shows the following:</w:t>
      </w:r>
    </w:p>
    <w:p>
      <w:pPr>
        <w:spacing w:after="0" w:line="160" w:lineRule="exact"/>
        <w:rPr>
          <w:sz w:val="20"/>
          <w:szCs w:val="20"/>
          <w:color w:val="auto"/>
        </w:rPr>
      </w:pPr>
    </w:p>
    <w:p>
      <w:pPr>
        <w:ind w:left="440" w:right="3339" w:hanging="346"/>
        <w:spacing w:after="0" w:line="252" w:lineRule="auto"/>
        <w:tabs>
          <w:tab w:leader="none" w:pos="5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20% to $52.5 million in 1998 from $43.9 million in 1997. When adjusted to exclude properties acquired and sold during 1997 and 1998, rental income increased 6% to $45.0 million in 1998 from $42.6 million in 1997.</w:t>
      </w:r>
    </w:p>
    <w:p>
      <w:pPr>
        <w:spacing w:after="0" w:line="162" w:lineRule="exact"/>
        <w:rPr>
          <w:sz w:val="20"/>
          <w:szCs w:val="20"/>
          <w:color w:val="auto"/>
        </w:rPr>
      </w:pPr>
    </w:p>
    <w:p>
      <w:pPr>
        <w:ind w:left="440" w:right="3419" w:hanging="346"/>
        <w:spacing w:after="0" w:line="251" w:lineRule="auto"/>
        <w:tabs>
          <w:tab w:leader="none" w:pos="52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1998, the Trust signed leases for a total 360,000 square feet of retail space. On a same space basis, the Trust re-leased 304,000 square feet at an average increase in rent per square foot of 13%. The weighted average rent on these leases was $17.43 per square foot compared to the previous average rent of $15.38 per square foot.</w:t>
      </w:r>
    </w:p>
    <w:p>
      <w:pPr>
        <w:spacing w:after="0" w:line="165" w:lineRule="exact"/>
        <w:rPr>
          <w:sz w:val="20"/>
          <w:szCs w:val="20"/>
          <w:color w:val="auto"/>
        </w:rPr>
      </w:pPr>
    </w:p>
    <w:p>
      <w:pPr>
        <w:ind w:left="440" w:right="3259" w:hanging="346"/>
        <w:spacing w:after="0" w:line="252" w:lineRule="auto"/>
        <w:tabs>
          <w:tab w:leader="none" w:pos="52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March 31, 1998, the Trust's overall portfolio was 96% leased compared to 94% a year ago. Same property occupancy stood at 95% at both March 31, 1998 and 1997.</w:t>
      </w:r>
    </w:p>
    <w:p>
      <w:pPr>
        <w:sectPr>
          <w:pgSz w:w="11900" w:h="16838" w:orient="portrait"/>
          <w:cols w:equalWidth="0" w:num="1">
            <w:col w:w="10239"/>
          </w:cols>
          <w:pgMar w:left="220" w:top="616" w:right="1440" w:bottom="1440" w:gutter="0" w:footer="0" w:header="0"/>
        </w:sectPr>
      </w:pPr>
    </w:p>
    <w:bookmarkStart w:id="10" w:name="page11"/>
    <w:bookmarkEnd w:id="10"/>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are pleased that 1998 is off to a good start. Demand for our retail space remains strong as evidenced by our rental income growth and high occupancy levels. In addition, we continue to benefit from our redevelopment efforts and to expand our development pipeline."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Year-to-date, the Trust has acquired 13 retail properties containing 259,000 square feet for an investment of approximately $24 million. The acquisitions include the purchase of nine retail buildings on Houston Street in San Antonio, Texas; one retail building on Third Street Promenade in Santa Monica, California; one building on Bethesda Avenue in Bethesda, Maryland; and two retail buildings on Mill Avenue in Tempe, Arizona.</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113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30 consecutive years. Shares of the Trust are traded on the New York Stock Exchange under the symbol:FRT.</w:t>
      </w:r>
    </w:p>
    <w:p>
      <w:pPr>
        <w:spacing w:after="0" w:line="162"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Trust will hold its First Quarter 1998 Conference Call on Tuesday, May 12th at 11:00 am Eastern Time. To participate on the call, please dial (913) 981-5502.</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1" w:name="page12"/>
    <w:bookmarkEnd w:id="11"/>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ind w:left="1820"/>
              <w:spacing w:after="0"/>
              <w:rPr>
                <w:sz w:val="20"/>
                <w:szCs w:val="20"/>
                <w:color w:val="auto"/>
              </w:rPr>
            </w:pPr>
            <w:r>
              <w:rPr>
                <w:rFonts w:ascii="Courier New" w:cs="Courier New" w:eastAsia="Courier New" w:hAnsi="Courier New"/>
                <w:sz w:val="14"/>
                <w:szCs w:val="14"/>
                <w:color w:val="auto"/>
              </w:rPr>
              <w:t>(in thousands, except per share data)</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6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336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1998</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52,481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43,920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1,594</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2,102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3,227</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56,177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48,647</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11,922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10,216</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5,472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4,574</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12,693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11,989</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1,841</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2,101</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10,769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10,124</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42,697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39,004</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13,480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9,643</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9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(786)</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12,694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9,311</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19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10,706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9,311</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basic</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38,949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37,483</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39,870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38,033</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10,706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9,311</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700"/>
              <w:spacing w:after="0"/>
              <w:rPr>
                <w:sz w:val="20"/>
                <w:szCs w:val="20"/>
                <w:color w:val="auto"/>
              </w:rPr>
            </w:pPr>
            <w:r>
              <w:rPr>
                <w:rFonts w:ascii="Courier New" w:cs="Courier New" w:eastAsia="Courier New" w:hAnsi="Courier New"/>
                <w:sz w:val="14"/>
                <w:szCs w:val="14"/>
                <w:color w:val="auto"/>
              </w:rPr>
              <w:t>of real estate assets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9,738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9,064</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700"/>
              <w:spacing w:after="0"/>
              <w:rPr>
                <w:sz w:val="20"/>
                <w:szCs w:val="20"/>
                <w:color w:val="auto"/>
              </w:rPr>
            </w:pPr>
            <w:r>
              <w:rPr>
                <w:rFonts w:ascii="Courier New" w:cs="Courier New" w:eastAsia="Courier New" w:hAnsi="Courier New"/>
                <w:sz w:val="14"/>
                <w:szCs w:val="14"/>
                <w:color w:val="auto"/>
              </w:rPr>
              <w:t>costs of leases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Add:  income attributable to operating</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700"/>
              <w:spacing w:after="0"/>
              <w:rPr>
                <w:sz w:val="20"/>
                <w:szCs w:val="20"/>
                <w:color w:val="auto"/>
              </w:rPr>
            </w:pPr>
            <w:r>
              <w:rPr>
                <w:rFonts w:ascii="Courier New" w:cs="Courier New" w:eastAsia="Courier New" w:hAnsi="Courier New"/>
                <w:sz w:val="14"/>
                <w:szCs w:val="14"/>
                <w:color w:val="auto"/>
              </w:rPr>
              <w:t>partnership units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diluted</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21,244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18,959</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per share, diluted</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828"/>
        </w:trPr>
        <w:tc>
          <w:tcPr>
            <w:tcW w:w="6900" w:type="dxa"/>
            <w:vAlign w:val="bottom"/>
          </w:tcPr>
          <w:p>
            <w:pPr>
              <w:spacing w:after="0"/>
              <w:rPr>
                <w:sz w:val="24"/>
                <w:szCs w:val="24"/>
                <w:color w:val="auto"/>
              </w:rPr>
            </w:pPr>
          </w:p>
        </w:tc>
        <w:tc>
          <w:tcPr>
            <w:tcW w:w="33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March 31,</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9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$1,481,386</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9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(255,703)</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(247,497)</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1,225,683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1,206,142</w:t>
            </w:r>
          </w:p>
        </w:tc>
      </w:tr>
      <w:tr>
        <w:trPr>
          <w:trHeight w:val="331"/>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980" w:type="dxa"/>
            <w:vAlign w:val="bottom"/>
          </w:tcPr>
          <w:p>
            <w:pPr>
              <w:spacing w:after="0"/>
              <w:rPr>
                <w:sz w:val="24"/>
                <w:szCs w:val="2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40,733</w:t>
            </w: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38,360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15,890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17,564</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18,794</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39,278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36,234</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$1,339,148</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1980" w:type="dxa"/>
            <w:vAlign w:val="bottom"/>
          </w:tcPr>
          <w:p>
            <w:pPr>
              <w:ind w:left="1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220,998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221,573</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67,112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119,028</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335,000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19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90,936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91,873</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980" w:type="dxa"/>
            <w:vAlign w:val="bottom"/>
          </w:tcPr>
          <w:p>
            <w:pPr>
              <w:spacing w:after="0"/>
              <w:rPr>
                <w:sz w:val="24"/>
                <w:szCs w:val="2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549,813</w:t>
            </w: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553,810</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$1,339,148</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900" w:type="dxa"/>
            <w:vAlign w:val="bottom"/>
          </w:tcPr>
          <w:p>
            <w:pPr>
              <w:spacing w:after="0"/>
              <w:rPr>
                <w:sz w:val="14"/>
                <w:szCs w:val="14"/>
                <w:color w:val="auto"/>
              </w:rPr>
            </w:pPr>
          </w:p>
        </w:tc>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616" w:right="219" w:bottom="1440" w:gutter="0" w:footer="0" w:header="0"/>
        </w:sectPr>
      </w:pPr>
    </w:p>
    <w:bookmarkStart w:id="12" w:name="page13"/>
    <w:bookmarkEnd w:id="12"/>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2019-12-13T01:00:44Z</dcterms:created>
  <dcterms:modified xsi:type="dcterms:W3CDTF">2019-12-13T01:00:44Z</dcterms:modified>
</cp:coreProperties>
</file>