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THE SECTION 13 OR 15(D) OF THE SECURITIES EXCHANGE ACT OF 1934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1-07533</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8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46" w:lineRule="exact"/>
        <w:rPr>
          <w:sz w:val="24"/>
          <w:szCs w:val="24"/>
          <w:color w:val="auto"/>
        </w:rPr>
      </w:pPr>
    </w:p>
    <w:tbl>
      <w:tblPr>
        <w:tblLayout w:type="fixed"/>
        <w:tblInd w:w="18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3380" w:type="dxa"/>
            <w:vAlign w:val="bottom"/>
            <w:gridSpan w:val="2"/>
          </w:tcPr>
          <w:p>
            <w:pPr>
              <w:jc w:val="center"/>
              <w:ind w:right="2185"/>
              <w:spacing w:after="0"/>
              <w:rPr>
                <w:sz w:val="20"/>
                <w:szCs w:val="20"/>
                <w:color w:val="auto"/>
              </w:rPr>
            </w:pPr>
            <w:r>
              <w:rPr>
                <w:rFonts w:ascii="Arial" w:cs="Arial" w:eastAsia="Arial" w:hAnsi="Arial"/>
                <w:sz w:val="16"/>
                <w:szCs w:val="16"/>
                <w:b w:val="1"/>
                <w:bCs w:val="1"/>
                <w:color w:val="auto"/>
                <w:w w:val="96"/>
              </w:rPr>
              <w:t>Maryland</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60" w:type="dxa"/>
            <w:vAlign w:val="bottom"/>
            <w:gridSpan w:val="2"/>
          </w:tcPr>
          <w:p>
            <w:pPr>
              <w:ind w:left="800"/>
              <w:spacing w:after="0"/>
              <w:rPr>
                <w:sz w:val="20"/>
                <w:szCs w:val="20"/>
                <w:color w:val="auto"/>
              </w:rPr>
            </w:pPr>
            <w:r>
              <w:rPr>
                <w:rFonts w:ascii="Arial" w:cs="Arial" w:eastAsia="Arial" w:hAnsi="Arial"/>
                <w:sz w:val="16"/>
                <w:szCs w:val="16"/>
                <w:b w:val="1"/>
                <w:bCs w:val="1"/>
                <w:color w:val="auto"/>
              </w:rPr>
              <w:t>52-0782497</w:t>
            </w:r>
          </w:p>
        </w:tc>
      </w:tr>
      <w:tr>
        <w:trPr>
          <w:trHeight w:val="237"/>
        </w:trPr>
        <w:tc>
          <w:tcPr>
            <w:tcW w:w="4880" w:type="dxa"/>
            <w:vAlign w:val="bottom"/>
            <w:gridSpan w:val="3"/>
          </w:tcPr>
          <w:p>
            <w:pPr>
              <w:jc w:val="center"/>
              <w:ind w:right="685"/>
              <w:spacing w:after="0"/>
              <w:rPr>
                <w:sz w:val="20"/>
                <w:szCs w:val="20"/>
                <w:color w:val="auto"/>
              </w:rPr>
            </w:pPr>
            <w:r>
              <w:rPr>
                <w:rFonts w:ascii="Arial" w:cs="Arial" w:eastAsia="Arial" w:hAnsi="Arial"/>
                <w:sz w:val="14"/>
                <w:szCs w:val="14"/>
                <w:b w:val="1"/>
                <w:bCs w:val="1"/>
                <w:color w:val="auto"/>
                <w:w w:val="93"/>
              </w:rPr>
              <w:t>(State of Organization)</w:t>
            </w: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tcPr>
          <w:p>
            <w:pPr>
              <w:ind w:left="100"/>
              <w:spacing w:after="0"/>
              <w:rPr>
                <w:sz w:val="20"/>
                <w:szCs w:val="20"/>
                <w:color w:val="auto"/>
              </w:rPr>
            </w:pPr>
            <w:r>
              <w:rPr>
                <w:rFonts w:ascii="Arial" w:cs="Arial" w:eastAsia="Arial" w:hAnsi="Arial"/>
                <w:sz w:val="14"/>
                <w:szCs w:val="14"/>
                <w:b w:val="1"/>
                <w:bCs w:val="1"/>
                <w:color w:val="auto"/>
              </w:rPr>
              <w:t>(IRS Employer Identification No.)</w:t>
            </w:r>
          </w:p>
        </w:tc>
      </w:tr>
      <w:tr>
        <w:trPr>
          <w:trHeight w:val="35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20" w:type="dxa"/>
            <w:vAlign w:val="bottom"/>
            <w:gridSpan w:val="5"/>
          </w:tcPr>
          <w:p>
            <w:pPr>
              <w:jc w:val="center"/>
              <w:ind w:right="2142"/>
              <w:spacing w:after="0"/>
              <w:rPr>
                <w:sz w:val="20"/>
                <w:szCs w:val="20"/>
                <w:color w:val="auto"/>
              </w:rPr>
            </w:pPr>
            <w:r>
              <w:rPr>
                <w:rFonts w:ascii="Arial" w:cs="Arial" w:eastAsia="Arial" w:hAnsi="Arial"/>
                <w:sz w:val="16"/>
                <w:szCs w:val="16"/>
                <w:b w:val="1"/>
                <w:bCs w:val="1"/>
                <w:color w:val="auto"/>
                <w:w w:val="91"/>
              </w:rPr>
              <w:t>909 Rose Avenue, Suite 200, North Bethesda, Maryland 20852</w:t>
            </w:r>
          </w:p>
        </w:tc>
      </w:tr>
      <w:tr>
        <w:trPr>
          <w:trHeight w:val="186"/>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6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59"/>
        </w:trPr>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(301) 998-8100</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186"/>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520" w:type="dxa"/>
            <w:vAlign w:val="bottom"/>
            <w:gridSpan w:val="5"/>
          </w:tcPr>
          <w:p>
            <w:pPr>
              <w:jc w:val="center"/>
              <w:ind w:right="2162"/>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r>
        <w:trPr>
          <w:trHeight w:val="768"/>
        </w:trPr>
        <w:tc>
          <w:tcPr>
            <w:tcW w:w="1500" w:type="dxa"/>
            <w:vAlign w:val="bottom"/>
          </w:tcPr>
          <w:p>
            <w:pPr>
              <w:spacing w:after="0"/>
              <w:rPr>
                <w:sz w:val="24"/>
                <w:szCs w:val="24"/>
                <w:color w:val="auto"/>
              </w:rPr>
            </w:pPr>
          </w:p>
        </w:tc>
        <w:tc>
          <w:tcPr>
            <w:tcW w:w="3380" w:type="dxa"/>
            <w:vAlign w:val="bottom"/>
            <w:gridSpan w:val="2"/>
          </w:tcPr>
          <w:p>
            <w:pPr>
              <w:jc w:val="center"/>
              <w:ind w:right="2005"/>
              <w:spacing w:after="0"/>
              <w:rPr>
                <w:sz w:val="20"/>
                <w:szCs w:val="20"/>
                <w:color w:val="auto"/>
              </w:rPr>
            </w:pPr>
            <w:r>
              <w:rPr>
                <w:rFonts w:ascii="Arial" w:cs="Arial" w:eastAsia="Arial" w:hAnsi="Arial"/>
                <w:sz w:val="16"/>
                <w:szCs w:val="16"/>
                <w:b w:val="1"/>
                <w:bCs w:val="1"/>
                <w:color w:val="auto"/>
                <w:w w:val="91"/>
              </w:rPr>
              <w:t>Title of Each Class</w:t>
            </w:r>
          </w:p>
        </w:tc>
        <w:tc>
          <w:tcPr>
            <w:tcW w:w="2180" w:type="dxa"/>
            <w:vAlign w:val="bottom"/>
            <w:gridSpan w:val="2"/>
          </w:tcPr>
          <w:p>
            <w:pPr>
              <w:jc w:val="center"/>
              <w:ind w:right="1080"/>
              <w:spacing w:after="0"/>
              <w:rPr>
                <w:sz w:val="20"/>
                <w:szCs w:val="20"/>
                <w:color w:val="auto"/>
              </w:rPr>
            </w:pPr>
            <w:r>
              <w:rPr>
                <w:rFonts w:ascii="Arial" w:cs="Arial" w:eastAsia="Arial" w:hAnsi="Arial"/>
                <w:sz w:val="16"/>
                <w:szCs w:val="16"/>
                <w:b w:val="1"/>
                <w:bCs w:val="1"/>
                <w:color w:val="auto"/>
                <w:w w:val="90"/>
              </w:rPr>
              <w:t>Trading Symbol</w:t>
            </w:r>
          </w:p>
        </w:tc>
        <w:tc>
          <w:tcPr>
            <w:tcW w:w="326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50"/>
        </w:trPr>
        <w:tc>
          <w:tcPr>
            <w:tcW w:w="4880" w:type="dxa"/>
            <w:vAlign w:val="bottom"/>
            <w:gridSpan w:val="3"/>
          </w:tcPr>
          <w:p>
            <w:pPr>
              <w:jc w:val="center"/>
              <w:ind w:right="485"/>
              <w:spacing w:after="0"/>
              <w:rPr>
                <w:sz w:val="20"/>
                <w:szCs w:val="20"/>
                <w:color w:val="auto"/>
              </w:rPr>
            </w:pPr>
            <w:r>
              <w:rPr>
                <w:rFonts w:ascii="Arial" w:cs="Arial" w:eastAsia="Arial" w:hAnsi="Arial"/>
                <w:sz w:val="16"/>
                <w:szCs w:val="16"/>
                <w:color w:val="auto"/>
                <w:w w:val="92"/>
              </w:rPr>
              <w:t>Common Shares of Beneficial Interest</w:t>
            </w:r>
          </w:p>
        </w:tc>
        <w:tc>
          <w:tcPr>
            <w:tcW w:w="2180" w:type="dxa"/>
            <w:vAlign w:val="bottom"/>
            <w:gridSpan w:val="2"/>
          </w:tcPr>
          <w:p>
            <w:pPr>
              <w:jc w:val="center"/>
              <w:ind w:right="1060"/>
              <w:spacing w:after="0"/>
              <w:rPr>
                <w:sz w:val="20"/>
                <w:szCs w:val="20"/>
                <w:color w:val="auto"/>
              </w:rPr>
            </w:pPr>
            <w:r>
              <w:rPr>
                <w:rFonts w:ascii="Arial" w:cs="Arial" w:eastAsia="Arial" w:hAnsi="Arial"/>
                <w:sz w:val="18"/>
                <w:szCs w:val="18"/>
                <w:color w:val="auto"/>
                <w:w w:val="91"/>
              </w:rPr>
              <w:t>FRT</w:t>
            </w:r>
          </w:p>
        </w:tc>
        <w:tc>
          <w:tcPr>
            <w:tcW w:w="40" w:type="dxa"/>
            <w:vAlign w:val="bottom"/>
          </w:tcPr>
          <w:p>
            <w:pPr>
              <w:spacing w:after="0"/>
              <w:rPr>
                <w:sz w:val="21"/>
                <w:szCs w:val="21"/>
                <w:color w:val="auto"/>
              </w:rPr>
            </w:pPr>
          </w:p>
        </w:tc>
        <w:tc>
          <w:tcPr>
            <w:tcW w:w="3220" w:type="dxa"/>
            <w:vAlign w:val="bottom"/>
          </w:tcPr>
          <w:p>
            <w:pPr>
              <w:ind w:left="740"/>
              <w:spacing w:after="0"/>
              <w:rPr>
                <w:sz w:val="20"/>
                <w:szCs w:val="20"/>
                <w:color w:val="auto"/>
              </w:rPr>
            </w:pPr>
            <w:r>
              <w:rPr>
                <w:rFonts w:ascii="Arial" w:cs="Arial" w:eastAsia="Arial" w:hAnsi="Arial"/>
                <w:sz w:val="16"/>
                <w:szCs w:val="16"/>
                <w:color w:val="auto"/>
              </w:rPr>
              <w:t>New York Stock Exchange</w:t>
            </w:r>
          </w:p>
        </w:tc>
      </w:tr>
      <w:tr>
        <w:trPr>
          <w:trHeight w:val="166"/>
        </w:trPr>
        <w:tc>
          <w:tcPr>
            <w:tcW w:w="4880" w:type="dxa"/>
            <w:vAlign w:val="bottom"/>
            <w:gridSpan w:val="3"/>
          </w:tcPr>
          <w:p>
            <w:pPr>
              <w:jc w:val="center"/>
              <w:ind w:right="505"/>
              <w:spacing w:after="0" w:line="166"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500" w:type="dxa"/>
            <w:vAlign w:val="bottom"/>
          </w:tcPr>
          <w:p>
            <w:pPr>
              <w:spacing w:after="0"/>
              <w:rPr>
                <w:sz w:val="17"/>
                <w:szCs w:val="17"/>
                <w:color w:val="auto"/>
              </w:rPr>
            </w:pPr>
          </w:p>
        </w:tc>
        <w:tc>
          <w:tcPr>
            <w:tcW w:w="3380" w:type="dxa"/>
            <w:vAlign w:val="bottom"/>
            <w:gridSpan w:val="2"/>
          </w:tcPr>
          <w:p>
            <w:pPr>
              <w:jc w:val="center"/>
              <w:ind w:right="2005"/>
              <w:spacing w:after="0"/>
              <w:rPr>
                <w:sz w:val="20"/>
                <w:szCs w:val="20"/>
                <w:color w:val="auto"/>
              </w:rPr>
            </w:pPr>
            <w:r>
              <w:rPr>
                <w:rFonts w:ascii="Arial" w:cs="Arial" w:eastAsia="Arial" w:hAnsi="Arial"/>
                <w:sz w:val="16"/>
                <w:szCs w:val="16"/>
                <w:color w:val="auto"/>
                <w:w w:val="92"/>
              </w:rPr>
              <w:t>Rights</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30"/>
        </w:trPr>
        <w:tc>
          <w:tcPr>
            <w:tcW w:w="4880" w:type="dxa"/>
            <w:vAlign w:val="bottom"/>
            <w:gridSpan w:val="3"/>
          </w:tcPr>
          <w:p>
            <w:pPr>
              <w:jc w:val="center"/>
              <w:ind w:right="485"/>
              <w:spacing w:after="0"/>
              <w:rPr>
                <w:sz w:val="20"/>
                <w:szCs w:val="20"/>
                <w:color w:val="auto"/>
              </w:rPr>
            </w:pPr>
            <w:r>
              <w:rPr>
                <w:rFonts w:ascii="Arial" w:cs="Arial" w:eastAsia="Arial" w:hAnsi="Arial"/>
                <w:sz w:val="16"/>
                <w:szCs w:val="16"/>
                <w:color w:val="auto"/>
                <w:w w:val="89"/>
              </w:rPr>
              <w:t>Depositary Shares, each representing 1/1000 of a share</w:t>
            </w:r>
          </w:p>
        </w:tc>
        <w:tc>
          <w:tcPr>
            <w:tcW w:w="2180" w:type="dxa"/>
            <w:vAlign w:val="bottom"/>
            <w:gridSpan w:val="2"/>
          </w:tcPr>
          <w:p>
            <w:pPr>
              <w:jc w:val="center"/>
              <w:ind w:right="1080"/>
              <w:spacing w:after="0"/>
              <w:rPr>
                <w:sz w:val="20"/>
                <w:szCs w:val="20"/>
                <w:color w:val="auto"/>
              </w:rPr>
            </w:pPr>
            <w:r>
              <w:rPr>
                <w:rFonts w:ascii="Arial" w:cs="Arial" w:eastAsia="Arial" w:hAnsi="Arial"/>
                <w:sz w:val="18"/>
                <w:szCs w:val="18"/>
                <w:color w:val="auto"/>
                <w:w w:val="92"/>
              </w:rPr>
              <w:t>FRT-C</w:t>
            </w:r>
          </w:p>
        </w:tc>
        <w:tc>
          <w:tcPr>
            <w:tcW w:w="40" w:type="dxa"/>
            <w:vAlign w:val="bottom"/>
          </w:tcPr>
          <w:p>
            <w:pPr>
              <w:spacing w:after="0"/>
              <w:rPr>
                <w:sz w:val="24"/>
                <w:szCs w:val="24"/>
                <w:color w:val="auto"/>
              </w:rPr>
            </w:pPr>
          </w:p>
        </w:tc>
        <w:tc>
          <w:tcPr>
            <w:tcW w:w="3220" w:type="dxa"/>
            <w:vAlign w:val="bottom"/>
          </w:tcPr>
          <w:p>
            <w:pPr>
              <w:ind w:left="740"/>
              <w:spacing w:after="0"/>
              <w:rPr>
                <w:sz w:val="20"/>
                <w:szCs w:val="20"/>
                <w:color w:val="auto"/>
              </w:rPr>
            </w:pPr>
            <w:r>
              <w:rPr>
                <w:rFonts w:ascii="Arial" w:cs="Arial" w:eastAsia="Arial" w:hAnsi="Arial"/>
                <w:sz w:val="16"/>
                <w:szCs w:val="16"/>
                <w:color w:val="auto"/>
              </w:rPr>
              <w:t>New York Stock Exchange</w:t>
            </w:r>
          </w:p>
        </w:tc>
      </w:tr>
    </w:tbl>
    <w:p>
      <w:pPr>
        <w:spacing w:after="0" w:line="4" w:lineRule="exact"/>
        <w:rPr>
          <w:sz w:val="24"/>
          <w:szCs w:val="24"/>
          <w:color w:val="auto"/>
        </w:rPr>
      </w:pPr>
    </w:p>
    <w:p>
      <w:pPr>
        <w:jc w:val="center"/>
        <w:ind w:right="658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4" w:lineRule="exact"/>
        <w:rPr>
          <w:sz w:val="24"/>
          <w:szCs w:val="24"/>
          <w:color w:val="auto"/>
        </w:rPr>
      </w:pPr>
    </w:p>
    <w:p>
      <w:pPr>
        <w:jc w:val="center"/>
        <w:ind w:right="6580"/>
        <w:spacing w:after="0"/>
        <w:rPr>
          <w:sz w:val="20"/>
          <w:szCs w:val="20"/>
          <w:color w:val="auto"/>
        </w:rPr>
      </w:pPr>
      <w:r>
        <w:rPr>
          <w:rFonts w:ascii="Arial" w:cs="Arial" w:eastAsia="Arial" w:hAnsi="Arial"/>
          <w:sz w:val="16"/>
          <w:szCs w:val="16"/>
          <w:color w:val="auto"/>
        </w:rPr>
        <w:t>value per share</w:t>
      </w:r>
    </w:p>
    <w:p>
      <w:pPr>
        <w:spacing w:after="0" w:line="207"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Arial" w:cs="Arial" w:eastAsia="Arial" w:hAnsi="Arial"/>
          <w:sz w:val="16"/>
          <w:szCs w:val="16"/>
          <w:color w:val="auto"/>
        </w:rPr>
        <w:t>days.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0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73" w:lineRule="exact"/>
        <w:rPr>
          <w:sz w:val="24"/>
          <w:szCs w:val="24"/>
          <w:color w:val="auto"/>
        </w:rPr>
      </w:pPr>
    </w:p>
    <w:p>
      <w:pPr>
        <w:ind w:right="2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3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320" w:type="dxa"/>
            <w:vAlign w:val="bottom"/>
          </w:tcPr>
          <w:p>
            <w:pPr>
              <w:ind w:left="64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419"/>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43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320" w:type="dxa"/>
            <w:vAlign w:val="bottom"/>
          </w:tcPr>
          <w:p>
            <w:pPr>
              <w:ind w:left="64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419"/>
        </w:trPr>
        <w:tc>
          <w:tcPr>
            <w:tcW w:w="19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320" w:type="dxa"/>
            <w:vAlign w:val="bottom"/>
          </w:tcPr>
          <w:p>
            <w:pPr>
              <w:ind w:left="64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08"/>
        </w:trPr>
        <w:tc>
          <w:tcPr>
            <w:tcW w:w="10660" w:type="dxa"/>
            <w:vAlign w:val="bottom"/>
            <w:gridSpan w:val="3"/>
          </w:tcPr>
          <w:p>
            <w:pPr>
              <w:spacing w:after="0"/>
              <w:rPr>
                <w:sz w:val="20"/>
                <w:szCs w:val="20"/>
                <w:color w:val="auto"/>
              </w:rPr>
            </w:pPr>
            <w:r>
              <w:rPr>
                <w:rFonts w:ascii="Arial" w:cs="Arial" w:eastAsia="Arial" w:hAnsi="Arial"/>
                <w:sz w:val="16"/>
                <w:szCs w:val="16"/>
                <w:color w:val="auto"/>
                <w:w w:val="94"/>
              </w:rPr>
              <w:t>If an emerging growth company, indicate by checkmark if the registrant has elected not use the extended transition period for complying with any new or revised</w:t>
            </w:r>
          </w:p>
        </w:tc>
        <w:tc>
          <w:tcPr>
            <w:tcW w:w="340" w:type="dxa"/>
            <w:vAlign w:val="bottom"/>
            <w:vMerge w:val="restart"/>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6340" w:type="dxa"/>
            <w:vAlign w:val="bottom"/>
            <w:gridSpan w:val="2"/>
          </w:tcPr>
          <w:p>
            <w:pPr>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43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right="2580"/>
        <w:spacing w:after="0" w:line="29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21"/>
          <w:szCs w:val="21"/>
          <w:color w:val="auto"/>
        </w:rPr>
        <w:t>☒</w:t>
      </w:r>
      <w:r>
        <w:rPr>
          <w:rFonts w:ascii="Arial" w:cs="Arial" w:eastAsia="Arial" w:hAnsi="Arial"/>
          <w:sz w:val="16"/>
          <w:szCs w:val="16"/>
          <w:color w:val="auto"/>
        </w:rPr>
        <w:t xml:space="preserve"> No The number of registrant’s common shares outstanding on November 1, 2021 was 77,789,491.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SEPTEMBER 30, 2021</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1098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340" w:type="dxa"/>
            <w:vAlign w:val="bottom"/>
          </w:tcPr>
          <w:p>
            <w:pPr>
              <w:ind w:left="560"/>
              <w:spacing w:after="0" w:line="190" w:lineRule="exact"/>
              <w:rPr>
                <w:sz w:val="20"/>
                <w:szCs w:val="20"/>
                <w:color w:val="auto"/>
              </w:rPr>
            </w:pPr>
            <w:r>
              <w:rPr>
                <w:rFonts w:ascii="Arial" w:cs="Arial" w:eastAsia="Arial" w:hAnsi="Arial"/>
                <w:sz w:val="18"/>
                <w:szCs w:val="18"/>
                <w:color w:val="auto"/>
              </w:rPr>
              <w:t>Item 1.</w:t>
            </w:r>
          </w:p>
        </w:tc>
        <w:tc>
          <w:tcPr>
            <w:tcW w:w="9640" w:type="dxa"/>
            <w:vAlign w:val="bottom"/>
          </w:tcPr>
          <w:p>
            <w:pPr>
              <w:ind w:left="140"/>
              <w:spacing w:after="0" w:line="190" w:lineRule="exact"/>
              <w:rPr>
                <w:sz w:val="20"/>
                <w:szCs w:val="20"/>
                <w:color w:val="auto"/>
              </w:rPr>
            </w:pPr>
            <w:r>
              <w:rPr>
                <w:rFonts w:ascii="Arial" w:cs="Arial" w:eastAsia="Arial" w:hAnsi="Arial"/>
                <w:sz w:val="18"/>
                <w:szCs w:val="18"/>
                <w:color w:val="auto"/>
              </w:rPr>
              <w:t>Financial Statements</w:t>
            </w:r>
          </w:p>
        </w:tc>
        <w:tc>
          <w:tcPr>
            <w:tcW w:w="180" w:type="dxa"/>
            <w:vAlign w:val="bottom"/>
            <w:gridSpan w:val="2"/>
          </w:tcPr>
          <w:p>
            <w:pPr>
              <w:jc w:val="right"/>
              <w:spacing w:after="0" w:line="190"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rPr>
              <w:t>Consolidated Balance Sheets as of September 30, 2021 (unaudited) and December 31, 2020</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9640" w:type="dxa"/>
            <w:vAlign w:val="bottom"/>
            <w:vMerge w:val="restart"/>
          </w:tcPr>
          <w:p>
            <w:pPr>
              <w:ind w:left="140"/>
              <w:spacing w:after="0"/>
              <w:rPr>
                <w:sz w:val="20"/>
                <w:szCs w:val="20"/>
                <w:color w:val="auto"/>
              </w:rPr>
            </w:pPr>
            <w:r>
              <w:rPr>
                <w:rFonts w:ascii="Arial" w:cs="Arial" w:eastAsia="Arial" w:hAnsi="Arial"/>
                <w:sz w:val="18"/>
                <w:szCs w:val="18"/>
                <w:color w:val="auto"/>
                <w:w w:val="93"/>
              </w:rPr>
              <w:t>Consolidated Statements of Comprehensive Income (unaudited) for the three and nine months ended September 30, 2021 and</w:t>
            </w: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640" w:type="dxa"/>
            <w:vAlign w:val="bottom"/>
            <w:vMerge w:val="continue"/>
          </w:tcPr>
          <w:p>
            <w:pPr>
              <w:spacing w:after="0"/>
              <w:rPr>
                <w:sz w:val="17"/>
                <w:szCs w:val="17"/>
                <w:color w:val="auto"/>
              </w:rPr>
            </w:pPr>
          </w:p>
        </w:tc>
        <w:tc>
          <w:tcPr>
            <w:tcW w:w="180" w:type="dxa"/>
            <w:vAlign w:val="bottom"/>
            <w:gridSpan w:val="2"/>
            <w:vMerge w:val="restart"/>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9640" w:type="dxa"/>
            <w:vAlign w:val="bottom"/>
          </w:tcPr>
          <w:p>
            <w:pPr>
              <w:ind w:left="140"/>
              <w:spacing w:after="0" w:line="189" w:lineRule="exact"/>
              <w:rPr>
                <w:sz w:val="20"/>
                <w:szCs w:val="20"/>
                <w:color w:val="auto"/>
              </w:rPr>
            </w:pPr>
            <w:r>
              <w:rPr>
                <w:rFonts w:ascii="Arial" w:cs="Arial" w:eastAsia="Arial" w:hAnsi="Arial"/>
                <w:sz w:val="18"/>
                <w:szCs w:val="18"/>
                <w:color w:val="auto"/>
              </w:rPr>
              <w:t>2020</w:t>
            </w:r>
          </w:p>
        </w:tc>
        <w:tc>
          <w:tcPr>
            <w:tcW w:w="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w w:val="91"/>
              </w:rPr>
              <w:t>Consolidated Statements of Shareholders' Equity (unaudited) for the three and nine months ended September 30, 2021 and 2020</w:t>
            </w:r>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rPr>
              <w:t>Consolidated Statements of Cash Flows (unaudited) for the nine months ended September 30, 2021 and 2020</w:t>
            </w:r>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ind w:left="560"/>
              <w:spacing w:after="0"/>
              <w:rPr>
                <w:sz w:val="20"/>
                <w:szCs w:val="20"/>
                <w:color w:val="auto"/>
              </w:rPr>
            </w:pPr>
            <w:r>
              <w:rPr>
                <w:rFonts w:ascii="Arial" w:cs="Arial" w:eastAsia="Arial" w:hAnsi="Arial"/>
                <w:sz w:val="18"/>
                <w:szCs w:val="18"/>
                <w:color w:val="auto"/>
              </w:rPr>
              <w:t>Item 2.</w:t>
            </w:r>
          </w:p>
        </w:tc>
        <w:tc>
          <w:tcPr>
            <w:tcW w:w="964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14</w:t>
              </w:r>
            </w:hyperlink>
          </w:p>
        </w:tc>
        <w:tc>
          <w:tcPr>
            <w:tcW w:w="0" w:type="dxa"/>
            <w:vAlign w:val="bottom"/>
          </w:tcPr>
          <w:p>
            <w:pPr>
              <w:spacing w:after="0"/>
              <w:rPr>
                <w:sz w:val="1"/>
                <w:szCs w:val="1"/>
                <w:color w:val="auto"/>
              </w:rPr>
            </w:pPr>
          </w:p>
        </w:tc>
      </w:tr>
      <w:tr>
        <w:trPr>
          <w:trHeight w:val="209"/>
        </w:trPr>
        <w:tc>
          <w:tcPr>
            <w:tcW w:w="1340" w:type="dxa"/>
            <w:vAlign w:val="bottom"/>
          </w:tcPr>
          <w:p>
            <w:pPr>
              <w:ind w:left="560"/>
              <w:spacing w:after="0"/>
              <w:rPr>
                <w:sz w:val="20"/>
                <w:szCs w:val="20"/>
                <w:color w:val="auto"/>
              </w:rPr>
            </w:pPr>
            <w:r>
              <w:rPr>
                <w:rFonts w:ascii="Arial" w:cs="Arial" w:eastAsia="Arial" w:hAnsi="Arial"/>
                <w:sz w:val="18"/>
                <w:szCs w:val="18"/>
                <w:color w:val="auto"/>
              </w:rPr>
              <w:t>Item 3.</w:t>
            </w:r>
          </w:p>
        </w:tc>
        <w:tc>
          <w:tcPr>
            <w:tcW w:w="964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c>
          <w:tcPr>
            <w:tcW w:w="0" w:type="dxa"/>
            <w:vAlign w:val="bottom"/>
          </w:tcPr>
          <w:p>
            <w:pPr>
              <w:spacing w:after="0"/>
              <w:rPr>
                <w:sz w:val="1"/>
                <w:szCs w:val="1"/>
                <w:color w:val="auto"/>
              </w:rPr>
            </w:pPr>
          </w:p>
        </w:tc>
      </w:tr>
      <w:tr>
        <w:trPr>
          <w:trHeight w:val="209"/>
        </w:trPr>
        <w:tc>
          <w:tcPr>
            <w:tcW w:w="1340" w:type="dxa"/>
            <w:vAlign w:val="bottom"/>
          </w:tcPr>
          <w:p>
            <w:pPr>
              <w:ind w:left="560"/>
              <w:spacing w:after="0"/>
              <w:rPr>
                <w:sz w:val="20"/>
                <w:szCs w:val="20"/>
                <w:color w:val="auto"/>
              </w:rPr>
            </w:pPr>
            <w:r>
              <w:rPr>
                <w:rFonts w:ascii="Arial" w:cs="Arial" w:eastAsia="Arial" w:hAnsi="Arial"/>
                <w:sz w:val="18"/>
                <w:szCs w:val="18"/>
                <w:color w:val="auto"/>
              </w:rPr>
              <w:t>Item 4.</w:t>
            </w:r>
          </w:p>
        </w:tc>
        <w:tc>
          <w:tcPr>
            <w:tcW w:w="964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c>
          <w:tcPr>
            <w:tcW w:w="0" w:type="dxa"/>
            <w:vAlign w:val="bottom"/>
          </w:tcPr>
          <w:p>
            <w:pPr>
              <w:spacing w:after="0"/>
              <w:rPr>
                <w:sz w:val="1"/>
                <w:szCs w:val="1"/>
                <w:color w:val="auto"/>
              </w:rPr>
            </w:pPr>
          </w:p>
        </w:tc>
      </w:tr>
      <w:tr>
        <w:trPr>
          <w:trHeight w:val="480"/>
        </w:trPr>
        <w:tc>
          <w:tcPr>
            <w:tcW w:w="1098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34</w:t>
              </w:r>
            </w:hyperlink>
          </w:p>
        </w:tc>
        <w:tc>
          <w:tcPr>
            <w:tcW w:w="0" w:type="dxa"/>
            <w:vAlign w:val="bottom"/>
          </w:tcPr>
          <w:p>
            <w:pPr>
              <w:spacing w:after="0"/>
              <w:rPr>
                <w:sz w:val="1"/>
                <w:szCs w:val="1"/>
                <w:color w:val="auto"/>
              </w:rPr>
            </w:pPr>
          </w:p>
        </w:tc>
      </w:tr>
      <w:tr>
        <w:trPr>
          <w:trHeight w:val="209"/>
        </w:trPr>
        <w:tc>
          <w:tcPr>
            <w:tcW w:w="1340" w:type="dxa"/>
            <w:vAlign w:val="bottom"/>
          </w:tcPr>
          <w:p>
            <w:pPr>
              <w:ind w:left="560"/>
              <w:spacing w:after="0"/>
              <w:rPr>
                <w:sz w:val="20"/>
                <w:szCs w:val="20"/>
                <w:color w:val="auto"/>
              </w:rPr>
            </w:pPr>
            <w:r>
              <w:rPr>
                <w:rFonts w:ascii="Arial" w:cs="Arial" w:eastAsia="Arial" w:hAnsi="Arial"/>
                <w:sz w:val="18"/>
                <w:szCs w:val="18"/>
                <w:color w:val="auto"/>
              </w:rPr>
              <w:t>Item 1.</w:t>
            </w:r>
          </w:p>
        </w:tc>
        <w:tc>
          <w:tcPr>
            <w:tcW w:w="964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c>
          <w:tcPr>
            <w:tcW w:w="0" w:type="dxa"/>
            <w:vAlign w:val="bottom"/>
          </w:tcPr>
          <w:p>
            <w:pPr>
              <w:spacing w:after="0"/>
              <w:rPr>
                <w:sz w:val="1"/>
                <w:szCs w:val="1"/>
                <w:color w:val="auto"/>
              </w:rPr>
            </w:pPr>
          </w:p>
        </w:tc>
      </w:tr>
      <w:tr>
        <w:trPr>
          <w:trHeight w:val="209"/>
        </w:trPr>
        <w:tc>
          <w:tcPr>
            <w:tcW w:w="1340" w:type="dxa"/>
            <w:vAlign w:val="bottom"/>
          </w:tcPr>
          <w:p>
            <w:pPr>
              <w:ind w:left="560"/>
              <w:spacing w:after="0"/>
              <w:rPr>
                <w:sz w:val="20"/>
                <w:szCs w:val="20"/>
                <w:color w:val="auto"/>
              </w:rPr>
            </w:pPr>
            <w:r>
              <w:rPr>
                <w:rFonts w:ascii="Arial" w:cs="Arial" w:eastAsia="Arial" w:hAnsi="Arial"/>
                <w:sz w:val="18"/>
                <w:szCs w:val="18"/>
                <w:color w:val="auto"/>
              </w:rPr>
              <w:t>Item 1A.</w:t>
            </w:r>
          </w:p>
        </w:tc>
        <w:tc>
          <w:tcPr>
            <w:tcW w:w="964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c>
          <w:tcPr>
            <w:tcW w:w="0" w:type="dxa"/>
            <w:vAlign w:val="bottom"/>
          </w:tcPr>
          <w:p>
            <w:pPr>
              <w:spacing w:after="0"/>
              <w:rPr>
                <w:sz w:val="1"/>
                <w:szCs w:val="1"/>
                <w:color w:val="auto"/>
              </w:rPr>
            </w:pPr>
          </w:p>
        </w:tc>
      </w:tr>
      <w:tr>
        <w:trPr>
          <w:trHeight w:val="210"/>
        </w:trPr>
        <w:tc>
          <w:tcPr>
            <w:tcW w:w="1340" w:type="dxa"/>
            <w:vAlign w:val="bottom"/>
          </w:tcPr>
          <w:p>
            <w:pPr>
              <w:ind w:left="560"/>
              <w:spacing w:after="0"/>
              <w:rPr>
                <w:sz w:val="20"/>
                <w:szCs w:val="20"/>
                <w:color w:val="auto"/>
              </w:rPr>
            </w:pPr>
            <w:r>
              <w:rPr>
                <w:rFonts w:ascii="Arial" w:cs="Arial" w:eastAsia="Arial" w:hAnsi="Arial"/>
                <w:sz w:val="18"/>
                <w:szCs w:val="18"/>
                <w:color w:val="auto"/>
              </w:rPr>
              <w:t>Item 2.</w:t>
            </w:r>
          </w:p>
        </w:tc>
        <w:tc>
          <w:tcPr>
            <w:tcW w:w="964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c>
          <w:tcPr>
            <w:tcW w:w="0" w:type="dxa"/>
            <w:vAlign w:val="bottom"/>
          </w:tcPr>
          <w:p>
            <w:pPr>
              <w:spacing w:after="0"/>
              <w:rPr>
                <w:sz w:val="1"/>
                <w:szCs w:val="1"/>
                <w:color w:val="auto"/>
              </w:rPr>
            </w:pPr>
          </w:p>
        </w:tc>
      </w:tr>
      <w:tr>
        <w:trPr>
          <w:trHeight w:val="209"/>
        </w:trPr>
        <w:tc>
          <w:tcPr>
            <w:tcW w:w="1340" w:type="dxa"/>
            <w:vAlign w:val="bottom"/>
          </w:tcPr>
          <w:p>
            <w:pPr>
              <w:ind w:left="560"/>
              <w:spacing w:after="0"/>
              <w:rPr>
                <w:sz w:val="20"/>
                <w:szCs w:val="20"/>
                <w:color w:val="auto"/>
              </w:rPr>
            </w:pPr>
            <w:r>
              <w:rPr>
                <w:rFonts w:ascii="Arial" w:cs="Arial" w:eastAsia="Arial" w:hAnsi="Arial"/>
                <w:sz w:val="18"/>
                <w:szCs w:val="18"/>
                <w:color w:val="auto"/>
              </w:rPr>
              <w:t>Item 3.</w:t>
            </w:r>
          </w:p>
        </w:tc>
        <w:tc>
          <w:tcPr>
            <w:tcW w:w="964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c>
          <w:tcPr>
            <w:tcW w:w="0" w:type="dxa"/>
            <w:vAlign w:val="bottom"/>
          </w:tcPr>
          <w:p>
            <w:pPr>
              <w:spacing w:after="0"/>
              <w:rPr>
                <w:sz w:val="1"/>
                <w:szCs w:val="1"/>
                <w:color w:val="auto"/>
              </w:rPr>
            </w:pPr>
          </w:p>
        </w:tc>
      </w:tr>
      <w:tr>
        <w:trPr>
          <w:trHeight w:val="210"/>
        </w:trPr>
        <w:tc>
          <w:tcPr>
            <w:tcW w:w="1340" w:type="dxa"/>
            <w:vAlign w:val="bottom"/>
          </w:tcPr>
          <w:p>
            <w:pPr>
              <w:ind w:left="560"/>
              <w:spacing w:after="0"/>
              <w:rPr>
                <w:sz w:val="20"/>
                <w:szCs w:val="20"/>
                <w:color w:val="auto"/>
              </w:rPr>
            </w:pPr>
            <w:r>
              <w:rPr>
                <w:rFonts w:ascii="Arial" w:cs="Arial" w:eastAsia="Arial" w:hAnsi="Arial"/>
                <w:sz w:val="18"/>
                <w:szCs w:val="18"/>
                <w:color w:val="auto"/>
              </w:rPr>
              <w:t>Item 4.</w:t>
            </w:r>
          </w:p>
        </w:tc>
        <w:tc>
          <w:tcPr>
            <w:tcW w:w="964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0" w:type="dxa"/>
            <w:vAlign w:val="bottom"/>
          </w:tcPr>
          <w:p>
            <w:pPr>
              <w:spacing w:after="0"/>
              <w:rPr>
                <w:sz w:val="1"/>
                <w:szCs w:val="1"/>
                <w:color w:val="auto"/>
              </w:rPr>
            </w:pPr>
          </w:p>
        </w:tc>
      </w:tr>
      <w:tr>
        <w:trPr>
          <w:trHeight w:val="210"/>
        </w:trPr>
        <w:tc>
          <w:tcPr>
            <w:tcW w:w="1340" w:type="dxa"/>
            <w:vAlign w:val="bottom"/>
          </w:tcPr>
          <w:p>
            <w:pPr>
              <w:ind w:left="560"/>
              <w:spacing w:after="0"/>
              <w:rPr>
                <w:sz w:val="20"/>
                <w:szCs w:val="20"/>
                <w:color w:val="auto"/>
              </w:rPr>
            </w:pPr>
            <w:r>
              <w:rPr>
                <w:rFonts w:ascii="Arial" w:cs="Arial" w:eastAsia="Arial" w:hAnsi="Arial"/>
                <w:sz w:val="18"/>
                <w:szCs w:val="18"/>
                <w:color w:val="auto"/>
              </w:rPr>
              <w:t>Item 5.</w:t>
            </w:r>
          </w:p>
        </w:tc>
        <w:tc>
          <w:tcPr>
            <w:tcW w:w="964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0" w:type="dxa"/>
            <w:vAlign w:val="bottom"/>
          </w:tcPr>
          <w:p>
            <w:pPr>
              <w:spacing w:after="0"/>
              <w:rPr>
                <w:sz w:val="1"/>
                <w:szCs w:val="1"/>
                <w:color w:val="auto"/>
              </w:rPr>
            </w:pPr>
          </w:p>
        </w:tc>
      </w:tr>
      <w:tr>
        <w:trPr>
          <w:trHeight w:val="210"/>
        </w:trPr>
        <w:tc>
          <w:tcPr>
            <w:tcW w:w="1340" w:type="dxa"/>
            <w:vAlign w:val="bottom"/>
          </w:tcPr>
          <w:p>
            <w:pPr>
              <w:ind w:left="560"/>
              <w:spacing w:after="0"/>
              <w:rPr>
                <w:sz w:val="20"/>
                <w:szCs w:val="20"/>
                <w:color w:val="auto"/>
              </w:rPr>
            </w:pPr>
            <w:r>
              <w:rPr>
                <w:rFonts w:ascii="Arial" w:cs="Arial" w:eastAsia="Arial" w:hAnsi="Arial"/>
                <w:sz w:val="18"/>
                <w:szCs w:val="18"/>
                <w:color w:val="auto"/>
              </w:rPr>
              <w:t>Item 6.</w:t>
            </w:r>
          </w:p>
        </w:tc>
        <w:tc>
          <w:tcPr>
            <w:tcW w:w="9640" w:type="dxa"/>
            <w:vAlign w:val="bottom"/>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0" w:type="dxa"/>
            <w:vAlign w:val="bottom"/>
          </w:tcPr>
          <w:p>
            <w:pPr>
              <w:spacing w:after="0"/>
              <w:rPr>
                <w:sz w:val="1"/>
                <w:szCs w:val="1"/>
                <w:color w:val="auto"/>
              </w:rPr>
            </w:pPr>
          </w:p>
        </w:tc>
      </w:tr>
      <w:tr>
        <w:trPr>
          <w:trHeight w:val="479"/>
        </w:trPr>
        <w:tc>
          <w:tcPr>
            <w:tcW w:w="134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964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5"/>
        </w:trPr>
        <w:tc>
          <w:tcPr>
            <w:tcW w:w="8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4"/>
        </w:trPr>
        <w:tc>
          <w:tcPr>
            <w:tcW w:w="8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gridSpan w:val="4"/>
          </w:tcPr>
          <w:p>
            <w:pPr>
              <w:jc w:val="right"/>
              <w:ind w:right="131"/>
              <w:spacing w:after="0" w:line="135" w:lineRule="exact"/>
              <w:rPr>
                <w:sz w:val="20"/>
                <w:szCs w:val="20"/>
                <w:color w:val="auto"/>
              </w:rPr>
            </w:pPr>
            <w:r>
              <w:rPr>
                <w:rFonts w:ascii="Arial" w:cs="Arial" w:eastAsia="Arial" w:hAnsi="Arial"/>
                <w:sz w:val="14"/>
                <w:szCs w:val="14"/>
                <w:b w:val="1"/>
                <w:bCs w:val="1"/>
                <w:color w:val="auto"/>
                <w:w w:val="94"/>
              </w:rPr>
              <w:t>(In thousands, except share and per</w:t>
            </w:r>
          </w:p>
        </w:tc>
        <w:tc>
          <w:tcPr>
            <w:tcW w:w="0" w:type="dxa"/>
            <w:vAlign w:val="bottom"/>
          </w:tcPr>
          <w:p>
            <w:pPr>
              <w:spacing w:after="0"/>
              <w:rPr>
                <w:sz w:val="1"/>
                <w:szCs w:val="1"/>
                <w:color w:val="auto"/>
              </w:rPr>
            </w:pPr>
          </w:p>
        </w:tc>
      </w:tr>
      <w:tr>
        <w:trPr>
          <w:trHeight w:val="180"/>
        </w:trPr>
        <w:tc>
          <w:tcPr>
            <w:tcW w:w="8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192"/>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Real estate, at cost</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6"/>
              </w:rPr>
              <w:t>Operating (including $2,188,736 and $1,703,202 of consolidated variable interest entities,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8,730,079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7,771,981</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rPr>
              <w:t>Construction-in-progress (including $28,277 and $44,896 of consolidated variable interest entities,</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662,643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810,889</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9,392,722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8,582,870</w:t>
            </w:r>
          </w:p>
        </w:tc>
        <w:tc>
          <w:tcPr>
            <w:tcW w:w="0" w:type="dxa"/>
            <w:vAlign w:val="bottom"/>
          </w:tcPr>
          <w:p>
            <w:pPr>
              <w:spacing w:after="0"/>
              <w:rPr>
                <w:sz w:val="1"/>
                <w:szCs w:val="1"/>
                <w:color w:val="auto"/>
              </w:rPr>
            </w:pPr>
          </w:p>
        </w:tc>
      </w:tr>
      <w:tr>
        <w:trPr>
          <w:trHeight w:val="176"/>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w w:val="92"/>
              </w:rPr>
              <w:t>Less accumulated depreciation and amortization (including $374,970 and $335,735 of consolidated variable</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(2,501,622)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(2,357,692)</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interest entities, respectively)</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 estate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6,225,178</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177,591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798,329</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and notes receivable,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159,780</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Mortgage notes receivable,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39,892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partnerships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22,128</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Operating lease right of use assets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91,836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92,248</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right of use assets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51,116</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218,953</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7,634,442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7,607,624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w w:val="99"/>
              </w:rPr>
              <w:t>Mortgages payable, net (including $388,489 and $413,681 of consolidated variable interest entities,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457,203</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484,111</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Arial" w:cs="Arial" w:eastAsia="Arial" w:hAnsi="Arial"/>
                <w:sz w:val="18"/>
                <w:szCs w:val="18"/>
                <w:color w:val="auto"/>
              </w:rPr>
              <w:t>respectively)</w:t>
            </w:r>
          </w:p>
        </w:tc>
        <w:tc>
          <w:tcPr>
            <w:tcW w:w="1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Notes payable,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402,776</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Senior notes and debentures,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3,405,685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3,404,488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228,641</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85,680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83,839</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Security deposits payable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20,388</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73,609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72,441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Finance lease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72,049</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liabilities and deferred credits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152,424</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4,875,310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4,921,157</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137,720</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Preferred shares, authorized 15,000,000 shares, $.01 par:</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800"/>
              <w:spacing w:after="0" w:line="176" w:lineRule="exact"/>
              <w:rPr>
                <w:sz w:val="20"/>
                <w:szCs w:val="20"/>
                <w:color w:val="auto"/>
              </w:rPr>
            </w:pPr>
            <w:r>
              <w:rPr>
                <w:rFonts w:ascii="Arial" w:cs="Arial" w:eastAsia="Arial" w:hAnsi="Arial"/>
                <w:sz w:val="18"/>
                <w:szCs w:val="18"/>
                <w:color w:val="auto"/>
                <w:w w:val="94"/>
              </w:rPr>
              <w:t>5.0% Series C Cumulative Redeemable Preferred Shares, (stated at liquidation preference $25,000 per</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30"/>
        </w:trPr>
        <w:tc>
          <w:tcPr>
            <w:tcW w:w="8600" w:type="dxa"/>
            <w:vAlign w:val="bottom"/>
          </w:tcPr>
          <w:p>
            <w:pPr>
              <w:ind w:left="800"/>
              <w:spacing w:after="0"/>
              <w:rPr>
                <w:sz w:val="20"/>
                <w:szCs w:val="20"/>
                <w:color w:val="auto"/>
              </w:rPr>
            </w:pPr>
            <w:r>
              <w:rPr>
                <w:rFonts w:ascii="Arial" w:cs="Arial" w:eastAsia="Arial" w:hAnsi="Arial"/>
                <w:sz w:val="18"/>
                <w:szCs w:val="18"/>
                <w:color w:val="auto"/>
              </w:rPr>
              <w:t>share), 6,000 shares issued and outstanding</w:t>
            </w: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shd w:val="clear" w:color="auto" w:fill="CCEEFF"/>
          </w:tcPr>
          <w:p>
            <w:pPr>
              <w:ind w:left="800"/>
              <w:spacing w:after="0" w:line="176" w:lineRule="exact"/>
              <w:rPr>
                <w:sz w:val="20"/>
                <w:szCs w:val="20"/>
                <w:color w:val="auto"/>
              </w:rPr>
            </w:pPr>
            <w:r>
              <w:rPr>
                <w:rFonts w:ascii="Arial" w:cs="Arial" w:eastAsia="Arial" w:hAnsi="Arial"/>
                <w:sz w:val="18"/>
                <w:szCs w:val="18"/>
                <w:color w:val="auto"/>
                <w:w w:val="91"/>
              </w:rPr>
              <w:t>5.417% Series 1 Cumulative Convertible Preferred Shares, (stated at liquidation preference $25 per share),</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399,896 shares issued and outstanding</w:t>
            </w: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w w:val="91"/>
              </w:rPr>
              <w:t>Common shares of beneficial interest, $.01 par, 100,000,000 shares authorized, 77,774,645 and 76,727,394</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Arial" w:cs="Arial" w:eastAsia="Arial" w:hAnsi="Arial"/>
                <w:sz w:val="18"/>
                <w:szCs w:val="18"/>
                <w:color w:val="auto"/>
              </w:rPr>
              <w:t>shares issued and outstanding, respectively</w:t>
            </w: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3,398,851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3,297,305</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Accumulated dividends in excess of net income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(1,095,741)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(988,272)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rPr>
              <w:t>Total shareholders’ equity of the Trust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2,461,163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2,464,157</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84,590</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2,546,182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2,548,747</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7,634,442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7,607,624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340" w:type="dxa"/>
            <w:vAlign w:val="bottom"/>
            <w:gridSpan w:val="5"/>
          </w:tcPr>
          <w:p>
            <w:pPr>
              <w:jc w:val="right"/>
              <w:ind w:right="11"/>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87"/>
        </w:trPr>
        <w:tc>
          <w:tcPr>
            <w:tcW w:w="63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6"/>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36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247,024</w:t>
            </w:r>
          </w:p>
        </w:tc>
        <w:tc>
          <w:tcPr>
            <w:tcW w:w="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207,410</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694,954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613,687</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 interest income</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247,284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208,197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697,070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615,981</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360"/>
              <w:spacing w:after="0"/>
              <w:rPr>
                <w:sz w:val="20"/>
                <w:szCs w:val="20"/>
                <w:color w:val="auto"/>
              </w:rPr>
            </w:pPr>
            <w:r>
              <w:rPr>
                <w:rFonts w:ascii="Arial" w:cs="Arial" w:eastAsia="Arial" w:hAnsi="Arial"/>
                <w:sz w:val="18"/>
                <w:szCs w:val="18"/>
                <w:color w:val="auto"/>
              </w:rPr>
              <w:t>Rental expenses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141,474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122,561</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taxes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90,183</w:t>
            </w:r>
          </w:p>
        </w:tc>
        <w:tc>
          <w:tcPr>
            <w:tcW w:w="0" w:type="dxa"/>
            <w:vAlign w:val="bottom"/>
          </w:tcPr>
          <w:p>
            <w:pPr>
              <w:spacing w:after="0"/>
              <w:rPr>
                <w:sz w:val="1"/>
                <w:szCs w:val="1"/>
                <w:color w:val="auto"/>
              </w:rPr>
            </w:pPr>
          </w:p>
        </w:tc>
      </w:tr>
      <w:tr>
        <w:trPr>
          <w:trHeight w:val="229"/>
        </w:trPr>
        <w:tc>
          <w:tcPr>
            <w:tcW w:w="63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29,373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70,611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190,603</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161,711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432,720</w:t>
            </w:r>
          </w:p>
        </w:tc>
        <w:tc>
          <w:tcPr>
            <w:tcW w:w="0" w:type="dxa"/>
            <w:vAlign w:val="bottom"/>
          </w:tcPr>
          <w:p>
            <w:pPr>
              <w:spacing w:after="0"/>
              <w:rPr>
                <w:sz w:val="1"/>
                <w:szCs w:val="1"/>
                <w:color w:val="auto"/>
              </w:rPr>
            </w:pPr>
          </w:p>
        </w:tc>
      </w:tr>
      <w:tr>
        <w:trPr>
          <w:trHeight w:val="183"/>
        </w:trPr>
        <w:tc>
          <w:tcPr>
            <w:tcW w:w="6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360"/>
              <w:spacing w:after="0"/>
              <w:rPr>
                <w:sz w:val="20"/>
                <w:szCs w:val="20"/>
                <w:color w:val="auto"/>
              </w:rPr>
            </w:pPr>
            <w:r>
              <w:rPr>
                <w:rFonts w:ascii="Arial" w:cs="Arial" w:eastAsia="Arial" w:hAnsi="Arial"/>
                <w:sz w:val="18"/>
                <w:szCs w:val="18"/>
                <w:color w:val="auto"/>
              </w:rPr>
              <w:t>Impairment charge</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(57,218)</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real estate and change in control of interest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137,725</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360"/>
              <w:spacing w:after="0"/>
              <w:rPr>
                <w:sz w:val="20"/>
                <w:szCs w:val="20"/>
                <w:color w:val="auto"/>
              </w:rPr>
            </w:pPr>
            <w:r>
              <w:rPr>
                <w:rFonts w:ascii="Arial" w:cs="Arial" w:eastAsia="Arial" w:hAnsi="Arial"/>
                <w:sz w:val="18"/>
                <w:szCs w:val="18"/>
                <w:color w:val="auto"/>
              </w:rPr>
              <w:t>Other interest income</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(98,746)</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(loss) from partnerships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33,677</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TRUST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36,981</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Dividends on preferred shares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AVAILABLE FOR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 BASIC:</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340"/>
              <w:spacing w:after="0"/>
              <w:rPr>
                <w:sz w:val="20"/>
                <w:szCs w:val="20"/>
                <w:color w:val="auto"/>
              </w:rPr>
            </w:pPr>
            <w:r>
              <w:rPr>
                <w:rFonts w:ascii="Arial" w:cs="Arial" w:eastAsia="Arial" w:hAnsi="Arial"/>
                <w:sz w:val="18"/>
                <w:szCs w:val="18"/>
                <w:color w:val="auto"/>
              </w:rPr>
              <w:t>Net income (loss) available for common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w:t>
            </w: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77,485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75,386</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DILUTED:</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(loss) available for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Weighted average number of common shares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77,575</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75,404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77,287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75,386</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55,095</w:t>
            </w: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155,530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27,190</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THE TRUST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52,634</w:t>
            </w: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149,480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5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14"/>
          </w:tcPr>
          <w:p>
            <w:pPr>
              <w:jc w:val="right"/>
              <w:ind w:right="80"/>
              <w:spacing w:after="0"/>
              <w:rPr>
                <w:sz w:val="20"/>
                <w:szCs w:val="20"/>
                <w:color w:val="auto"/>
              </w:rPr>
            </w:pPr>
            <w:r>
              <w:rPr>
                <w:rFonts w:ascii="Arial" w:cs="Arial" w:eastAsia="Arial" w:hAnsi="Arial"/>
                <w:sz w:val="14"/>
                <w:szCs w:val="14"/>
                <w:b w:val="1"/>
                <w:bCs w:val="1"/>
                <w:color w:val="auto"/>
              </w:rPr>
              <w:t>Shareholders’ Equity of the Trust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vMerge w:val="restart"/>
          </w:tcPr>
          <w:p>
            <w:pPr>
              <w:jc w:val="right"/>
              <w:ind w:right="168"/>
              <w:spacing w:after="0"/>
              <w:rPr>
                <w:sz w:val="20"/>
                <w:szCs w:val="20"/>
                <w:color w:val="auto"/>
              </w:rPr>
            </w:pPr>
            <w:r>
              <w:rPr>
                <w:rFonts w:ascii="Arial" w:cs="Arial" w:eastAsia="Arial" w:hAnsi="Arial"/>
                <w:sz w:val="14"/>
                <w:szCs w:val="14"/>
                <w:b w:val="1"/>
                <w:bCs w:val="1"/>
                <w:color w:val="auto"/>
              </w:rPr>
              <w:t>Preferred Shares</w:t>
            </w:r>
          </w:p>
        </w:tc>
        <w:tc>
          <w:tcPr>
            <w:tcW w:w="8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7"/>
            <w:vMerge w:val="restart"/>
          </w:tcPr>
          <w:p>
            <w:pPr>
              <w:jc w:val="right"/>
              <w:ind w:right="188"/>
              <w:spacing w:after="0"/>
              <w:rPr>
                <w:sz w:val="20"/>
                <w:szCs w:val="20"/>
                <w:color w:val="auto"/>
              </w:rPr>
            </w:pPr>
            <w:r>
              <w:rPr>
                <w:rFonts w:ascii="Arial" w:cs="Arial" w:eastAsia="Arial" w:hAnsi="Arial"/>
                <w:sz w:val="14"/>
                <w:szCs w:val="14"/>
                <w:b w:val="1"/>
                <w:bCs w:val="1"/>
                <w:color w:val="auto"/>
              </w:rPr>
              <w:t>Common Shares</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5"/>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7"/>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Dividends in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9"/>
                <w:szCs w:val="9"/>
                <w:color w:val="auto"/>
              </w:rPr>
            </w:pPr>
          </w:p>
        </w:tc>
        <w:tc>
          <w:tcPr>
            <w:tcW w:w="6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9"/>
                <w:szCs w:val="9"/>
                <w:color w:val="auto"/>
              </w:rPr>
            </w:pPr>
          </w:p>
        </w:tc>
        <w:tc>
          <w:tcPr>
            <w:tcW w:w="6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4"/>
          </w:tcPr>
          <w:p>
            <w:pPr>
              <w:jc w:val="right"/>
              <w:ind w:right="280"/>
              <w:spacing w:after="0" w:line="108" w:lineRule="exact"/>
              <w:rPr>
                <w:sz w:val="20"/>
                <w:szCs w:val="20"/>
                <w:color w:val="auto"/>
              </w:rPr>
            </w:pPr>
            <w:r>
              <w:rPr>
                <w:rFonts w:ascii="Arial" w:cs="Arial" w:eastAsia="Arial" w:hAnsi="Arial"/>
                <w:sz w:val="12"/>
                <w:szCs w:val="12"/>
                <w:b w:val="1"/>
                <w:bCs w:val="1"/>
                <w:color w:val="auto"/>
              </w:rPr>
              <w:t>Paid-in</w:t>
            </w:r>
          </w:p>
        </w:tc>
        <w:tc>
          <w:tcPr>
            <w:tcW w:w="920" w:type="dxa"/>
            <w:vAlign w:val="bottom"/>
            <w:gridSpan w:val="4"/>
          </w:tcPr>
          <w:p>
            <w:pPr>
              <w:jc w:val="center"/>
              <w:ind w:right="100"/>
              <w:spacing w:after="0" w:line="108" w:lineRule="exact"/>
              <w:rPr>
                <w:sz w:val="20"/>
                <w:szCs w:val="20"/>
                <w:color w:val="auto"/>
              </w:rPr>
            </w:pPr>
            <w:r>
              <w:rPr>
                <w:rFonts w:ascii="Arial" w:cs="Arial" w:eastAsia="Arial" w:hAnsi="Arial"/>
                <w:sz w:val="12"/>
                <w:szCs w:val="12"/>
                <w:b w:val="1"/>
                <w:bCs w:val="1"/>
                <w:color w:val="auto"/>
              </w:rPr>
              <w:t>Excess of Net</w:t>
            </w:r>
          </w:p>
        </w:tc>
        <w:tc>
          <w:tcPr>
            <w:tcW w:w="1080" w:type="dxa"/>
            <w:vAlign w:val="bottom"/>
            <w:gridSpan w:val="5"/>
          </w:tcPr>
          <w:p>
            <w:pPr>
              <w:jc w:val="center"/>
              <w:ind w:right="80"/>
              <w:spacing w:after="0" w:line="108" w:lineRule="exact"/>
              <w:rPr>
                <w:sz w:val="20"/>
                <w:szCs w:val="20"/>
                <w:color w:val="auto"/>
              </w:rPr>
            </w:pPr>
            <w:r>
              <w:rPr>
                <w:rFonts w:ascii="Arial" w:cs="Arial" w:eastAsia="Arial" w:hAnsi="Arial"/>
                <w:sz w:val="12"/>
                <w:szCs w:val="12"/>
                <w:b w:val="1"/>
                <w:bCs w:val="1"/>
                <w:color w:val="auto"/>
              </w:rPr>
              <w:t>Comprehensive</w:t>
            </w:r>
          </w:p>
        </w:tc>
        <w:tc>
          <w:tcPr>
            <w:tcW w:w="1060" w:type="dxa"/>
            <w:vAlign w:val="bottom"/>
            <w:gridSpan w:val="4"/>
          </w:tcPr>
          <w:p>
            <w:pPr>
              <w:jc w:val="right"/>
              <w:ind w:right="100"/>
              <w:spacing w:after="0" w:line="108" w:lineRule="exact"/>
              <w:rPr>
                <w:sz w:val="20"/>
                <w:szCs w:val="20"/>
                <w:color w:val="auto"/>
              </w:rPr>
            </w:pPr>
            <w:r>
              <w:rPr>
                <w:rFonts w:ascii="Arial" w:cs="Arial" w:eastAsia="Arial" w:hAnsi="Arial"/>
                <w:sz w:val="12"/>
                <w:szCs w:val="12"/>
                <w:b w:val="1"/>
                <w:bCs w:val="1"/>
                <w:color w:val="auto"/>
              </w:rPr>
              <w:t>Noncontrolling</w:t>
            </w:r>
          </w:p>
        </w:tc>
        <w:tc>
          <w:tcPr>
            <w:tcW w:w="900" w:type="dxa"/>
            <w:vAlign w:val="bottom"/>
            <w:gridSpan w:val="2"/>
          </w:tcPr>
          <w:p>
            <w:pPr>
              <w:ind w:left="20"/>
              <w:spacing w:after="0" w:line="108"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188"/>
        </w:trPr>
        <w:tc>
          <w:tcPr>
            <w:tcW w:w="3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12"/>
          </w:tcPr>
          <w:p>
            <w:pPr>
              <w:jc w:val="right"/>
              <w:spacing w:after="0"/>
              <w:rPr>
                <w:sz w:val="20"/>
                <w:szCs w:val="20"/>
                <w:color w:val="auto"/>
              </w:rPr>
            </w:pPr>
            <w:r>
              <w:rPr>
                <w:rFonts w:ascii="Arial" w:cs="Arial" w:eastAsia="Arial" w:hAnsi="Arial"/>
                <w:sz w:val="14"/>
                <w:szCs w:val="14"/>
                <w:b w:val="1"/>
                <w:bCs w:val="1"/>
                <w:color w:val="auto"/>
              </w:rPr>
              <w:t>(In thousands, except share data)</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405,896</w:t>
            </w: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9"/>
              </w:rPr>
              <w:t>$ 159,997</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76,727,394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3,297,305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(988,272)</w:t>
            </w:r>
          </w:p>
        </w:tc>
        <w:tc>
          <w:tcPr>
            <w:tcW w:w="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84,590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2,548,747</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Net income, excluding $3,472 attributable to</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color w:val="auto"/>
              </w:rPr>
              <w:t>146,562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2,305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148,867</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redeemable noncontrolling interests</w:t>
            </w: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Other comprehensive income - change in fair value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of interest rate swaps, excluding $273 attributable</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2,918</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 redeemable noncontrolling interest</w:t>
            </w: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7"/>
              </w:rPr>
              <w:t>Dividends declared to common shareholders ($3.19</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color w:val="auto"/>
              </w:rPr>
              <w:t>(248,000)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(248,000)</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per share)</w:t>
            </w: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(6,031)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(6,031)</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Distributions declared to noncontrolling interests,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excluding $3,045 attributable to redeemable</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(3,282)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(3,282)</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shares issued, net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847,528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87,057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87,066</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15,710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Share-based compensation expense, net of</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163,092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10,872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10,874</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forfeitures</w:t>
            </w: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Shares withheld for employee taxes</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(28,563)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(2,939)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(2,939)</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Conversion and redemption of OP units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49,484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Contributions from noncontrolling interests,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excluding $74,530 attributable to redeemable</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6,554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6,554</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405,896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89"/>
              </w:rPr>
              <w:t>$ 159,997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77,774,645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3,398,851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96"/>
              </w:rPr>
              <w:t>$ (1,095,741)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2,546,182</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60" w:type="dxa"/>
            <w:vAlign w:val="bottom"/>
            <w:gridSpan w:val="2"/>
          </w:tcPr>
          <w:p>
            <w:pPr>
              <w:spacing w:after="0"/>
              <w:rPr>
                <w:sz w:val="15"/>
                <w:szCs w:val="15"/>
                <w:color w:val="auto"/>
              </w:rPr>
            </w:pPr>
          </w:p>
        </w:tc>
        <w:tc>
          <w:tcPr>
            <w:tcW w:w="7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405,896</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$ 159,997</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77,760,588</w:t>
            </w:r>
          </w:p>
        </w:tc>
        <w:tc>
          <w:tcPr>
            <w:tcW w:w="2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6"/>
              </w:rPr>
              <w:t>3,395,189</w:t>
            </w:r>
          </w:p>
        </w:tc>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 (1,062,641)</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(3,238)</w:t>
            </w: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2,575,839</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Net income, excluding $1,595 attributable to</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gridSpan w:val="4"/>
            <w:vMerge w:val="restart"/>
          </w:tcPr>
          <w:p>
            <w:pPr>
              <w:jc w:val="right"/>
              <w:ind w:right="60"/>
              <w:spacing w:after="0"/>
              <w:rPr>
                <w:sz w:val="20"/>
                <w:szCs w:val="20"/>
                <w:color w:val="auto"/>
              </w:rPr>
            </w:pPr>
            <w:r>
              <w:rPr>
                <w:rFonts w:ascii="Arial" w:cs="Arial" w:eastAsia="Arial" w:hAnsi="Arial"/>
                <w:sz w:val="14"/>
                <w:szCs w:val="14"/>
                <w:color w:val="auto"/>
              </w:rPr>
              <w:t>52,122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52,946</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redeemable noncontrolling interests</w:t>
            </w: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3"/>
              </w:rPr>
              <w:t>Other comprehensive income - change in fair value of</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interest rate swaps, excluding $42 attributable to</w:t>
            </w: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w:t>
            </w: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7"/>
              </w:rPr>
              <w:t>Dividends declared to common shareholders ($1.07</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gridSpan w:val="4"/>
            <w:vMerge w:val="restart"/>
          </w:tcPr>
          <w:p>
            <w:pPr>
              <w:jc w:val="right"/>
              <w:ind w:right="20"/>
              <w:spacing w:after="0"/>
              <w:rPr>
                <w:sz w:val="20"/>
                <w:szCs w:val="20"/>
                <w:color w:val="auto"/>
              </w:rPr>
            </w:pPr>
            <w:r>
              <w:rPr>
                <w:rFonts w:ascii="Arial" w:cs="Arial" w:eastAsia="Arial" w:hAnsi="Arial"/>
                <w:sz w:val="14"/>
                <w:szCs w:val="14"/>
                <w:color w:val="auto"/>
              </w:rPr>
              <w:t>(83,212)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(83,212)</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per share)</w:t>
            </w: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Distributions declared to noncontrolling interests,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excluding $1,310 attributable to redeemable</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(1,555)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(1,555)</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shares issued, net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4"/>
                <w:szCs w:val="14"/>
                <w:color w:val="auto"/>
              </w:rPr>
              <w:t>4,194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488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2"/>
              </w:rPr>
              <w:t>Share-based compensation expense, net of forfeitures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10,907</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3,367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Shares withheld for employee taxes</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5"/>
          </w:tcPr>
          <w:p>
            <w:pPr>
              <w:jc w:val="right"/>
              <w:spacing w:after="0"/>
              <w:rPr>
                <w:sz w:val="20"/>
                <w:szCs w:val="20"/>
                <w:color w:val="auto"/>
              </w:rPr>
            </w:pPr>
            <w:r>
              <w:rPr>
                <w:rFonts w:ascii="Arial" w:cs="Arial" w:eastAsia="Arial" w:hAnsi="Arial"/>
                <w:sz w:val="14"/>
                <w:szCs w:val="14"/>
                <w:color w:val="auto"/>
              </w:rPr>
              <w:t>(1,063)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rPr>
              <w:t>(126)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8"/>
        </w:trPr>
        <w:tc>
          <w:tcPr>
            <w:tcW w:w="3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405,896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9"/>
              </w:rPr>
              <w:t>$ 159,997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77,774,645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6"/>
              </w:rPr>
              <w:t>3,398,851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 (1,095,741)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(2,726)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2,546,182</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5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For the Three and Nine Months Ended September 30, 2020</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14"/>
          </w:tcPr>
          <w:p>
            <w:pPr>
              <w:ind w:left="280"/>
              <w:spacing w:after="0"/>
              <w:rPr>
                <w:sz w:val="20"/>
                <w:szCs w:val="20"/>
                <w:color w:val="auto"/>
              </w:rPr>
            </w:pPr>
            <w:r>
              <w:rPr>
                <w:rFonts w:ascii="Arial" w:cs="Arial" w:eastAsia="Arial" w:hAnsi="Arial"/>
                <w:sz w:val="14"/>
                <w:szCs w:val="14"/>
                <w:b w:val="1"/>
                <w:bCs w:val="1"/>
                <w:color w:val="auto"/>
                <w:w w:val="96"/>
              </w:rPr>
              <w:t>Shareholders’ Equity of the Trust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5"/>
            <w:vMerge w:val="restart"/>
          </w:tcPr>
          <w:p>
            <w:pPr>
              <w:jc w:val="right"/>
              <w:ind w:right="188"/>
              <w:spacing w:after="0"/>
              <w:rPr>
                <w:sz w:val="20"/>
                <w:szCs w:val="20"/>
                <w:color w:val="auto"/>
              </w:rPr>
            </w:pPr>
            <w:r>
              <w:rPr>
                <w:rFonts w:ascii="Arial" w:cs="Arial" w:eastAsia="Arial" w:hAnsi="Arial"/>
                <w:sz w:val="14"/>
                <w:szCs w:val="14"/>
                <w:b w:val="1"/>
                <w:bCs w:val="1"/>
                <w:color w:val="auto"/>
              </w:rPr>
              <w:t>Preferred Shares</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6"/>
            <w:vMerge w:val="restart"/>
          </w:tcPr>
          <w:p>
            <w:pPr>
              <w:jc w:val="center"/>
              <w:ind w:right="48"/>
              <w:spacing w:after="0"/>
              <w:rPr>
                <w:sz w:val="20"/>
                <w:szCs w:val="20"/>
                <w:color w:val="auto"/>
              </w:rPr>
            </w:pPr>
            <w:r>
              <w:rPr>
                <w:rFonts w:ascii="Arial" w:cs="Arial" w:eastAsia="Arial" w:hAnsi="Arial"/>
                <w:sz w:val="14"/>
                <w:szCs w:val="14"/>
                <w:b w:val="1"/>
                <w:bCs w:val="1"/>
                <w:color w:val="auto"/>
                <w:w w:val="91"/>
              </w:rPr>
              <w:t>Common Shares</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920" w:type="dxa"/>
            <w:vAlign w:val="bottom"/>
            <w:gridSpan w:val="5"/>
          </w:tcPr>
          <w:p>
            <w:pPr>
              <w:spacing w:after="0" w:line="148"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060" w:type="dxa"/>
            <w:vAlign w:val="bottom"/>
            <w:gridSpan w:val="5"/>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5"/>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6"/>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920" w:type="dxa"/>
            <w:vAlign w:val="bottom"/>
            <w:gridSpan w:val="5"/>
          </w:tcPr>
          <w:p>
            <w:pPr>
              <w:ind w:left="20"/>
              <w:spacing w:after="0" w:line="135" w:lineRule="exact"/>
              <w:rPr>
                <w:sz w:val="20"/>
                <w:szCs w:val="20"/>
                <w:color w:val="auto"/>
              </w:rPr>
            </w:pPr>
            <w:r>
              <w:rPr>
                <w:rFonts w:ascii="Arial" w:cs="Arial" w:eastAsia="Arial" w:hAnsi="Arial"/>
                <w:sz w:val="14"/>
                <w:szCs w:val="14"/>
                <w:b w:val="1"/>
                <w:bCs w:val="1"/>
                <w:color w:val="auto"/>
              </w:rPr>
              <w:t>Dividends 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9"/>
                <w:szCs w:val="9"/>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9"/>
                <w:szCs w:val="9"/>
                <w:color w:val="auto"/>
              </w:rPr>
            </w:pPr>
          </w:p>
        </w:tc>
        <w:tc>
          <w:tcPr>
            <w:tcW w:w="66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4"/>
          </w:tcPr>
          <w:p>
            <w:pPr>
              <w:jc w:val="center"/>
              <w:ind w:right="220"/>
              <w:spacing w:after="0" w:line="108" w:lineRule="exact"/>
              <w:rPr>
                <w:sz w:val="20"/>
                <w:szCs w:val="20"/>
                <w:color w:val="auto"/>
              </w:rPr>
            </w:pPr>
            <w:r>
              <w:rPr>
                <w:rFonts w:ascii="Arial" w:cs="Arial" w:eastAsia="Arial" w:hAnsi="Arial"/>
                <w:sz w:val="12"/>
                <w:szCs w:val="12"/>
                <w:b w:val="1"/>
                <w:bCs w:val="1"/>
                <w:color w:val="auto"/>
              </w:rPr>
              <w:t>Paid-in</w:t>
            </w:r>
          </w:p>
        </w:tc>
        <w:tc>
          <w:tcPr>
            <w:tcW w:w="920" w:type="dxa"/>
            <w:vAlign w:val="bottom"/>
            <w:gridSpan w:val="5"/>
          </w:tcPr>
          <w:p>
            <w:pPr>
              <w:spacing w:after="0" w:line="108" w:lineRule="exact"/>
              <w:rPr>
                <w:sz w:val="20"/>
                <w:szCs w:val="20"/>
                <w:color w:val="auto"/>
              </w:rPr>
            </w:pPr>
            <w:r>
              <w:rPr>
                <w:rFonts w:ascii="Arial" w:cs="Arial" w:eastAsia="Arial" w:hAnsi="Arial"/>
                <w:sz w:val="12"/>
                <w:szCs w:val="12"/>
                <w:b w:val="1"/>
                <w:bCs w:val="1"/>
                <w:color w:val="auto"/>
              </w:rPr>
              <w:t>Excess of Net</w:t>
            </w:r>
          </w:p>
        </w:tc>
        <w:tc>
          <w:tcPr>
            <w:tcW w:w="20" w:type="dxa"/>
            <w:vAlign w:val="bottom"/>
          </w:tcPr>
          <w:p>
            <w:pPr>
              <w:spacing w:after="0"/>
              <w:rPr>
                <w:sz w:val="9"/>
                <w:szCs w:val="9"/>
                <w:color w:val="auto"/>
              </w:rPr>
            </w:pPr>
          </w:p>
        </w:tc>
        <w:tc>
          <w:tcPr>
            <w:tcW w:w="1060" w:type="dxa"/>
            <w:vAlign w:val="bottom"/>
            <w:gridSpan w:val="5"/>
          </w:tcPr>
          <w:p>
            <w:pPr>
              <w:jc w:val="center"/>
              <w:ind w:right="100"/>
              <w:spacing w:after="0" w:line="108" w:lineRule="exact"/>
              <w:rPr>
                <w:sz w:val="20"/>
                <w:szCs w:val="20"/>
                <w:color w:val="auto"/>
              </w:rPr>
            </w:pPr>
            <w:r>
              <w:rPr>
                <w:rFonts w:ascii="Arial" w:cs="Arial" w:eastAsia="Arial" w:hAnsi="Arial"/>
                <w:sz w:val="12"/>
                <w:szCs w:val="12"/>
                <w:b w:val="1"/>
                <w:bCs w:val="1"/>
                <w:color w:val="auto"/>
              </w:rPr>
              <w:t>Comprehensive</w:t>
            </w:r>
          </w:p>
        </w:tc>
        <w:tc>
          <w:tcPr>
            <w:tcW w:w="1060" w:type="dxa"/>
            <w:vAlign w:val="bottom"/>
            <w:gridSpan w:val="5"/>
          </w:tcPr>
          <w:p>
            <w:pPr>
              <w:jc w:val="right"/>
              <w:ind w:right="100"/>
              <w:spacing w:after="0" w:line="108" w:lineRule="exact"/>
              <w:rPr>
                <w:sz w:val="20"/>
                <w:szCs w:val="20"/>
                <w:color w:val="auto"/>
              </w:rPr>
            </w:pPr>
            <w:r>
              <w:rPr>
                <w:rFonts w:ascii="Arial" w:cs="Arial" w:eastAsia="Arial" w:hAnsi="Arial"/>
                <w:sz w:val="12"/>
                <w:szCs w:val="12"/>
                <w:b w:val="1"/>
                <w:bCs w:val="1"/>
                <w:color w:val="auto"/>
              </w:rPr>
              <w:t>Noncontrolling</w:t>
            </w:r>
          </w:p>
        </w:tc>
        <w:tc>
          <w:tcPr>
            <w:tcW w:w="900" w:type="dxa"/>
            <w:vAlign w:val="bottom"/>
            <w:gridSpan w:val="3"/>
          </w:tcPr>
          <w:p>
            <w:pPr>
              <w:ind w:left="20"/>
              <w:spacing w:after="0" w:line="108"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Interests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14"/>
          </w:tcPr>
          <w:p>
            <w:pPr>
              <w:jc w:val="center"/>
              <w:ind w:left="148"/>
              <w:spacing w:after="0"/>
              <w:rPr>
                <w:sz w:val="20"/>
                <w:szCs w:val="20"/>
                <w:color w:val="auto"/>
              </w:rPr>
            </w:pPr>
            <w:r>
              <w:rPr>
                <w:rFonts w:ascii="Arial" w:cs="Arial" w:eastAsia="Arial" w:hAnsi="Arial"/>
                <w:sz w:val="14"/>
                <w:szCs w:val="14"/>
                <w:b w:val="1"/>
                <w:bCs w:val="1"/>
                <w:color w:val="auto"/>
                <w:w w:val="91"/>
              </w:rPr>
              <w:t>(In thousands, except share data)</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405,896</w:t>
            </w:r>
          </w:p>
        </w:tc>
        <w:tc>
          <w:tcPr>
            <w:tcW w:w="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w w:val="89"/>
              </w:rPr>
              <w:t>$ 159,997</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75,540,804</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8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3,166,522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(791,124)</w:t>
            </w: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100,791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2,636,132</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January 1, 2020 adoption of new accounting</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(510)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vMerge w:val="restart"/>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standard</w:t>
            </w: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Net income, excluding $1,627 attributable to</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36,981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(4,931)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32,050</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7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9"/>
              </w:rPr>
              <w:t>Other comprehensive loss - change in fair value of</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(6,487)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(6,487)</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Dividends declared to common shareholders ($3.16</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(238,980)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(238,980)</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per share)</w:t>
            </w:r>
          </w:p>
        </w:tc>
        <w:tc>
          <w:tcPr>
            <w:tcW w:w="7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(6,031)</w:t>
            </w: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Distributions declared to noncontrolling interests,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excluding $999 attributable to redeemable</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(2,465)</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Common shares issued, net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17,669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Share-based compensation expense, net of</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115,368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10,143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vMerge w:val="restart"/>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10,144</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forfeitures</w:t>
            </w: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withheld for employee taxes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(32,824)</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(4,035)</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Redemption of OP units</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(3,320)</w:t>
            </w: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Contributions from noncontrolling interests,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excluding $19,335 attributable to redeemable</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40" w:type="dxa"/>
            <w:vAlign w:val="bottom"/>
          </w:tcPr>
          <w:p>
            <w:pPr>
              <w:ind w:left="20"/>
              <w:spacing w:after="0"/>
              <w:rPr>
                <w:sz w:val="20"/>
                <w:szCs w:val="20"/>
                <w:color w:val="auto"/>
              </w:rPr>
            </w:pPr>
            <w:r>
              <w:rPr>
                <w:rFonts w:ascii="Arial" w:cs="Arial" w:eastAsia="Arial" w:hAnsi="Arial"/>
                <w:sz w:val="14"/>
                <w:szCs w:val="14"/>
                <w:color w:val="auto"/>
              </w:rPr>
              <w:t>BALANCE AT SEPTEMBER 30, 2020</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405,896</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w w:val="89"/>
              </w:rPr>
              <w:t>$ 159,997</w:t>
            </w: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75,641,074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760</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3,174,066</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(999,664)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90,225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2,418,084</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60" w:type="dxa"/>
            <w:vAlign w:val="bottom"/>
            <w:gridSpan w:val="2"/>
          </w:tcPr>
          <w:p>
            <w:pPr>
              <w:spacing w:after="0"/>
              <w:rPr>
                <w:sz w:val="17"/>
                <w:szCs w:val="17"/>
                <w:color w:val="auto"/>
              </w:rPr>
            </w:pPr>
          </w:p>
        </w:tc>
        <w:tc>
          <w:tcPr>
            <w:tcW w:w="7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JUNE 30, 2020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405,896</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$ 159,997</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75,633,140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760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9"/>
              </w:rPr>
              <w:t>3,170,480</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(889,195)</w:t>
            </w:r>
          </w:p>
        </w:tc>
        <w:tc>
          <w:tcPr>
            <w:tcW w:w="2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(7,758)</w:t>
            </w: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96,817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2,531,101</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Net income (loss), excluding $470 attributable to</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(28,289)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(5,804)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(34,093)</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redeemable noncontrolling interests</w:t>
            </w: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3"/>
              </w:rPr>
              <w:t>Other comprehensive income - change in fair value of</w:t>
            </w:r>
          </w:p>
        </w:tc>
        <w:tc>
          <w:tcPr>
            <w:tcW w:w="7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7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7"/>
              </w:rPr>
              <w:t>Dividends declared to common shareholders ($1.06</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(80,170)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(80,170)</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per share)</w:t>
            </w: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(2,010)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Distributions declared to noncontrolling interests,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excluding $152 attributable to redeemable</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(788)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shares issued, net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28</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4"/>
                <w:szCs w:val="14"/>
                <w:color w:val="auto"/>
              </w:rPr>
              <w:t>7,064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506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2"/>
              </w:rPr>
              <w:t>Share-based compensation expense, net of forfeitures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1,276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3,115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3,115</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Shares withheld for employee taxes</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5"/>
          </w:tcPr>
          <w:p>
            <w:pPr>
              <w:jc w:val="right"/>
              <w:spacing w:after="0"/>
              <w:rPr>
                <w:sz w:val="20"/>
                <w:szCs w:val="20"/>
                <w:color w:val="auto"/>
              </w:rPr>
            </w:pPr>
            <w:r>
              <w:rPr>
                <w:rFonts w:ascii="Arial" w:cs="Arial" w:eastAsia="Arial" w:hAnsi="Arial"/>
                <w:sz w:val="14"/>
                <w:szCs w:val="14"/>
                <w:color w:val="auto"/>
              </w:rPr>
              <w:t>(434)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8"/>
        </w:trPr>
        <w:tc>
          <w:tcPr>
            <w:tcW w:w="3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7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405,896</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9"/>
              </w:rPr>
              <w:t>$ 159,997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75,641,074</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760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9"/>
              </w:rPr>
              <w:t>3,174,066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(999,664)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90,225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2,418,084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8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181"/>
        </w:trPr>
        <w:tc>
          <w:tcPr>
            <w:tcW w:w="8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r>
      <w:tr>
        <w:trPr>
          <w:trHeight w:val="232"/>
        </w:trPr>
        <w:tc>
          <w:tcPr>
            <w:tcW w:w="83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33,677</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190,603</w:t>
            </w:r>
          </w:p>
        </w:tc>
      </w:tr>
      <w:tr>
        <w:trPr>
          <w:trHeight w:val="229"/>
        </w:trPr>
        <w:tc>
          <w:tcPr>
            <w:tcW w:w="8380" w:type="dxa"/>
            <w:vAlign w:val="bottom"/>
          </w:tcPr>
          <w:p>
            <w:pPr>
              <w:ind w:left="680"/>
              <w:spacing w:after="0"/>
              <w:rPr>
                <w:sz w:val="20"/>
                <w:szCs w:val="20"/>
                <w:color w:val="auto"/>
              </w:rPr>
            </w:pPr>
            <w:r>
              <w:rPr>
                <w:rFonts w:ascii="Arial" w:cs="Arial" w:eastAsia="Arial" w:hAnsi="Arial"/>
                <w:sz w:val="18"/>
                <w:szCs w:val="18"/>
                <w:color w:val="auto"/>
              </w:rPr>
              <w:t>Impairment charge</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57,218</w:t>
            </w:r>
          </w:p>
        </w:tc>
      </w:tr>
      <w:tr>
        <w:trPr>
          <w:trHeight w:val="229"/>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sale of real estate and change in control of interest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r>
      <w:tr>
        <w:trPr>
          <w:trHeight w:val="230"/>
        </w:trPr>
        <w:tc>
          <w:tcPr>
            <w:tcW w:w="8380" w:type="dxa"/>
            <w:vAlign w:val="bottom"/>
          </w:tcPr>
          <w:p>
            <w:pPr>
              <w:ind w:left="680"/>
              <w:spacing w:after="0"/>
              <w:rPr>
                <w:sz w:val="20"/>
                <w:szCs w:val="20"/>
                <w:color w:val="auto"/>
              </w:rPr>
            </w:pPr>
            <w:r>
              <w:rPr>
                <w:rFonts w:ascii="Arial" w:cs="Arial" w:eastAsia="Arial" w:hAnsi="Arial"/>
                <w:sz w:val="18"/>
                <w:szCs w:val="18"/>
                <w:color w:val="auto"/>
              </w:rPr>
              <w:t>Loss from partnerships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6,657</w:t>
            </w:r>
          </w:p>
        </w:tc>
      </w:tr>
      <w:tr>
        <w:trPr>
          <w:trHeight w:val="229"/>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Decrease (increase) in accounts receivable,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(11,537)</w:t>
            </w:r>
          </w:p>
        </w:tc>
      </w:tr>
      <w:tr>
        <w:trPr>
          <w:trHeight w:val="229"/>
        </w:trPr>
        <w:tc>
          <w:tcPr>
            <w:tcW w:w="8380" w:type="dxa"/>
            <w:vAlign w:val="bottom"/>
          </w:tcPr>
          <w:p>
            <w:pPr>
              <w:ind w:left="680"/>
              <w:spacing w:after="0"/>
              <w:rPr>
                <w:sz w:val="20"/>
                <w:szCs w:val="20"/>
                <w:color w:val="auto"/>
              </w:rPr>
            </w:pPr>
            <w:r>
              <w:rPr>
                <w:rFonts w:ascii="Arial" w:cs="Arial" w:eastAsia="Arial" w:hAnsi="Arial"/>
                <w:sz w:val="18"/>
                <w:szCs w:val="18"/>
                <w:color w:val="auto"/>
              </w:rPr>
              <w:t>Increase in prepaid expenses and other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(7,672)</w:t>
            </w:r>
          </w:p>
        </w:tc>
      </w:tr>
      <w:tr>
        <w:trPr>
          <w:trHeight w:val="230"/>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in accounts payable and accrued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14,708</w:t>
            </w:r>
          </w:p>
        </w:tc>
      </w:tr>
      <w:tr>
        <w:trPr>
          <w:trHeight w:val="229"/>
        </w:trPr>
        <w:tc>
          <w:tcPr>
            <w:tcW w:w="83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Increase (decrease) in security deposits and other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(8,708)</w:t>
            </w:r>
          </w:p>
        </w:tc>
      </w:tr>
      <w:tr>
        <w:trPr>
          <w:trHeight w:val="223"/>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268,422</w:t>
            </w: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real estate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Capital expenditures - development and redevelopment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(282,833)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(302,666)</w:t>
            </w: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 other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(46,530)</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Costs associated with property sold under threat of condemnation, net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(12,924)</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real estate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18,096</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Investment in partnerships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(1,607)</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from partnerships in excess of earnings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Leasing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(8,668)</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(issuance) of mortgage and other notes receivable, net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(10,533)</w:t>
            </w:r>
          </w:p>
        </w:tc>
      </w:tr>
      <w:tr>
        <w:trPr>
          <w:trHeight w:val="223"/>
        </w:trPr>
        <w:tc>
          <w:tcPr>
            <w:tcW w:w="838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(661,842)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(373,572)</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Costs to amend revolving credit facility</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senior notes, net of costs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700,069</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Issuance of notes payable, net of costs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398,742</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mortgages, finance leases and notes payable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Issuance of common shares, net of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87,279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 to common and preferred shareholders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(242,853)</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Shares withheld for employee taxes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(4,035)</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Distributions to and redemptions of noncontrolling interests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(6,634)</w:t>
            </w:r>
          </w:p>
        </w:tc>
      </w:tr>
      <w:tr>
        <w:trPr>
          <w:trHeight w:val="223"/>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(333,185)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839,975</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(Decrease) increase in cash, cash equivalents and restricted cash</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(628,991)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734,825</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816,896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153,614</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187,905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888,439</w:t>
            </w:r>
          </w:p>
        </w:tc>
      </w:tr>
      <w:tr>
        <w:trPr>
          <w:trHeight w:val="20"/>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September 30, 2021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1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communities where we believe retail demand exceeds supply, in strategically selected metropolitan markets in the Mid-Atlantic and Northeast regions of the United States, California, and South Florida. As of September 30, 2021, we owned or had a majority interest in community and neighborhood shopping centers and mixed-use properties which are operated as 106 predominantly retail real estate projects.</w:t>
      </w:r>
    </w:p>
    <w:p>
      <w:pPr>
        <w:spacing w:after="0" w:line="13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consolidated balance sheet as of December 31, 2020, which has been derived from audited financial statements, and unaudited interim consolidated financial statements have been prepared pursuant to the rules and regulations of the Securities and Exchange Commission. Certain information and note disclosures normally included in annual financial statements prepared in accordance with accounting principles generally accepted in the United States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and nine months ended September 30, 2021 are not necessarily indicative of the results that may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Since March 2020, we have been, and continue to be, impacted by the novel coronavirus ("COVID-19") pandemic. While we currently expect the impact to our properties to be temporary in nature, the extent of the future effects of COVID-19 on our business, results of operations, cash flows, and growth prospects is highly uncertain and will ultimately depend on future developments, none of which can be predicted with any certainty.</w:t>
      </w:r>
    </w:p>
    <w:p>
      <w:pPr>
        <w:spacing w:after="0" w:line="4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Federal, state, and local governments have taken various actions since the onset of the pandemic to mitigate the spread of COVID-19. These actions included the closure of nonessential businesses and ordering residents to generally stay at home at the onset of the pandemic, phased re-openings and capacity limitations, and now generally lifted restrictions. While the overall economy is showing signs of recovery from the initial impacts of COVID-19, workforce shortages, global supply chain bottlenecks and shortages, inflation, as well as COVID-19 variants are impacting the pace of recovery. Closures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restrictions, along with general concern over the spread of COVID-19, required a significant number of tenants to close their operations or to significantly limit the amount of business they were able to conduct, which impacted their ability to timely pay rent as required under our leases and also caused many tenants to close their businesses permanently. With the re-openings, our results have improved during the first nine months of 2021 and collectibility related impacts have continued to decrease. During the three and nine months ended September 30, 2021, we recognized collectibility related adjustments of $0.6 million and $21.8 million, respectively, as compared to $29.4 million and $87.6 million for the three and nine months ended September 30, 2020, respectively. This includes not only the impact of tenants recognized on a cash basis but also changes in our collectibility assessments from probable to not probable, disputed rents, and any rent abatements directly related to COVID-19. As of September 30, 2021, the revenue from approximately 35% of our tenants (based on total commercial leases) is being recognized on a cash basis.</w:t>
      </w:r>
    </w:p>
    <w:p>
      <w:pPr>
        <w:spacing w:after="0" w:line="43" w:lineRule="exact"/>
        <w:rPr>
          <w:sz w:val="20"/>
          <w:szCs w:val="20"/>
          <w:color w:val="auto"/>
        </w:rPr>
      </w:pPr>
    </w:p>
    <w:p>
      <w:pPr>
        <w:ind w:right="1520"/>
        <w:spacing w:after="0" w:line="360" w:lineRule="auto"/>
        <w:rPr>
          <w:sz w:val="20"/>
          <w:szCs w:val="20"/>
          <w:color w:val="auto"/>
        </w:rPr>
      </w:pPr>
      <w:r>
        <w:rPr>
          <w:rFonts w:ascii="Arial" w:cs="Arial" w:eastAsia="Arial" w:hAnsi="Arial"/>
          <w:sz w:val="18"/>
          <w:szCs w:val="18"/>
          <w:color w:val="auto"/>
        </w:rPr>
        <w:t xml:space="preserve">For more information, see Item 2. Management's Discussion and Analysis of Financial Condition and Results of Operations - Outlook. </w:t>
      </w:r>
      <w:r>
        <w:rPr>
          <w:rFonts w:ascii="Arial" w:cs="Arial" w:eastAsia="Arial" w:hAnsi="Arial"/>
          <w:sz w:val="18"/>
          <w:szCs w:val="18"/>
          <w:b w:val="1"/>
          <w:bCs w:val="1"/>
          <w:color w:val="auto"/>
        </w:rPr>
        <w:t>Mortgage Notes Receivable</w:t>
      </w:r>
    </w:p>
    <w:p>
      <w:pPr>
        <w:ind w:right="80"/>
        <w:spacing w:after="0" w:line="277" w:lineRule="auto"/>
        <w:rPr>
          <w:sz w:val="20"/>
          <w:szCs w:val="20"/>
          <w:color w:val="auto"/>
        </w:rPr>
      </w:pPr>
      <w:r>
        <w:rPr>
          <w:rFonts w:ascii="Arial" w:cs="Arial" w:eastAsia="Arial" w:hAnsi="Arial"/>
          <w:sz w:val="18"/>
          <w:szCs w:val="18"/>
          <w:color w:val="auto"/>
        </w:rPr>
        <w:t>On May 11, 2021, two of our outstanding mortgage notes receivable were repaid. Including interest, the net proceeds were $33.8 million. As a result of the transaction, our mortgage notes receivable, net of valuation allowance, decreased $30.3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Equity Sales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February 24, 2021, we replaced our existing at-the-market (“ATM”) equity program with a new ATM equity program in which we may from time to time offer and sell common shares having an aggregate offering price of up to $500.0 million. The new ATM equity program also allows shares to be sold through forward sales contracts. Our forward sales contracts currently meet all the conditions for equity classification; and therefore, we record common stock on the settlement date at the purchase price contemplated by the contract. Furthermore, we consider the potential dilution resulting from forward sales contracts in our earnings per share calculations. We use the treasury method to determine the dilution, if any, from the forward sales contracts during the period of time prior to settlement. As of September 30, 2021, no forward sales contracts have settled.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ectPr>
          <w:pgSz w:w="11900" w:h="16838" w:orient="portrait"/>
          <w:cols w:equalWidth="0" w:num="1">
            <w:col w:w="11240"/>
          </w:cols>
          <w:pgMar w:left="320" w:top="126" w:right="3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201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57" w:lineRule="exact"/>
        <w:rPr>
          <w:sz w:val="20"/>
          <w:szCs w:val="20"/>
          <w:color w:val="auto"/>
        </w:rPr>
      </w:pPr>
    </w:p>
    <w:p>
      <w:pPr>
        <w:ind w:left="20" w:right="120"/>
        <w:spacing w:after="0" w:line="221" w:lineRule="auto"/>
        <w:rPr>
          <w:sz w:val="20"/>
          <w:szCs w:val="20"/>
          <w:color w:val="auto"/>
        </w:rPr>
      </w:pPr>
      <w:r>
        <w:rPr>
          <w:rFonts w:ascii="Arial" w:cs="Arial" w:eastAsia="Arial" w:hAnsi="Arial"/>
          <w:sz w:val="17"/>
          <w:szCs w:val="17"/>
          <w:color w:val="auto"/>
        </w:rPr>
        <w:t xml:space="preserve">ASU 2020-04, March 2020, </w:t>
      </w:r>
      <w:r>
        <w:rPr>
          <w:rFonts w:ascii="Arial" w:cs="Arial" w:eastAsia="Arial" w:hAnsi="Arial"/>
          <w:sz w:val="17"/>
          <w:szCs w:val="17"/>
          <w:i w:val="1"/>
          <w:iCs w:val="1"/>
          <w:color w:val="auto"/>
        </w:rPr>
        <w:t>Reference Rate Reform (Topic 848)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line="215" w:lineRule="auto"/>
        <w:rPr>
          <w:sz w:val="20"/>
          <w:szCs w:val="20"/>
          <w:color w:val="auto"/>
        </w:rPr>
      </w:pPr>
      <w:r>
        <w:rPr>
          <w:rFonts w:ascii="Arial" w:cs="Arial" w:eastAsia="Arial" w:hAnsi="Arial"/>
          <w:sz w:val="17"/>
          <w:szCs w:val="17"/>
          <w:color w:val="auto"/>
        </w:rPr>
        <w:t xml:space="preserve">ASU 2021-05, July 2021, </w:t>
      </w:r>
      <w:r>
        <w:rPr>
          <w:rFonts w:ascii="Arial" w:cs="Arial" w:eastAsia="Arial" w:hAnsi="Arial"/>
          <w:sz w:val="17"/>
          <w:szCs w:val="17"/>
          <w:i w:val="1"/>
          <w:iCs w:val="1"/>
          <w:color w:val="auto"/>
        </w:rPr>
        <w:t>Lessors - Certain Leases with Variable Lease Payments (Topic 842)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3463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right="60"/>
        <w:spacing w:after="0" w:line="219" w:lineRule="auto"/>
        <w:rPr>
          <w:sz w:val="20"/>
          <w:szCs w:val="20"/>
          <w:color w:val="auto"/>
        </w:rPr>
      </w:pPr>
      <w:r>
        <w:rPr>
          <w:rFonts w:ascii="Arial" w:cs="Arial" w:eastAsia="Arial" w:hAnsi="Arial"/>
          <w:sz w:val="16"/>
          <w:szCs w:val="16"/>
          <w:color w:val="auto"/>
        </w:rPr>
        <w:t>This ASU provides companies with optional practical expedients to ease the accounting burden for contract modifications associated with transitioning away from LIBOR and other interbank offered rates that are expected to be discontinued as part of reference rate reform. For hedges, the guidance generally allows changes to the reference rate and other critical terms without having to de-designate the hedging relationship, as well as allows the shortcut method to continue to be applied. For contract modifications, changes in the reference rate or other critical terms will be treated as a continuation of the prior contract.</w:t>
      </w:r>
    </w:p>
    <w:p>
      <w:pPr>
        <w:spacing w:after="0" w:line="109" w:lineRule="exact"/>
        <w:rPr>
          <w:sz w:val="20"/>
          <w:szCs w:val="20"/>
          <w:color w:val="auto"/>
        </w:rPr>
      </w:pPr>
    </w:p>
    <w:p>
      <w:pPr>
        <w:ind w:right="620"/>
        <w:spacing w:after="0" w:line="232" w:lineRule="auto"/>
        <w:rPr>
          <w:sz w:val="20"/>
          <w:szCs w:val="20"/>
          <w:color w:val="auto"/>
        </w:rPr>
      </w:pPr>
      <w:r>
        <w:rPr>
          <w:rFonts w:ascii="Arial" w:cs="Arial" w:eastAsia="Arial" w:hAnsi="Arial"/>
          <w:sz w:val="17"/>
          <w:szCs w:val="17"/>
          <w:color w:val="auto"/>
        </w:rPr>
        <w:t>This guidance can be applied immediately, however, is generally only available through December 31, 2022.</w:t>
      </w:r>
    </w:p>
    <w:p>
      <w:pPr>
        <w:spacing w:after="0" w:line="236" w:lineRule="auto"/>
        <w:rPr>
          <w:sz w:val="20"/>
          <w:szCs w:val="20"/>
          <w:color w:val="auto"/>
        </w:rPr>
      </w:pPr>
      <w:r>
        <w:rPr>
          <w:rFonts w:ascii="Arial" w:cs="Arial" w:eastAsia="Arial" w:hAnsi="Arial"/>
          <w:sz w:val="15"/>
          <w:szCs w:val="15"/>
          <w:color w:val="auto"/>
        </w:rPr>
        <w:t>This ASU amends the lessor lease classification in ASC 842 for leases that include variable lease payments that are not based on an index or rate. Under the amended guidance, lessors will classify a lease with variable payments that do not depend on an index or rate as an operating lease if the lease would have been classified as a sales-type lease or a direct financing lease under the previous ASU 842 classification criteria, and sales-type or direct financing lease classification would result in a Day 1 loss.</w:t>
      </w:r>
    </w:p>
    <w:p>
      <w:pPr>
        <w:spacing w:after="0" w:line="108" w:lineRule="exact"/>
        <w:rPr>
          <w:sz w:val="20"/>
          <w:szCs w:val="20"/>
          <w:color w:val="auto"/>
        </w:rPr>
      </w:pPr>
    </w:p>
    <w:p>
      <w:pPr>
        <w:ind w:right="260"/>
        <w:spacing w:after="0" w:line="232" w:lineRule="auto"/>
        <w:rPr>
          <w:sz w:val="20"/>
          <w:szCs w:val="20"/>
          <w:color w:val="auto"/>
        </w:rPr>
      </w:pPr>
      <w:r>
        <w:rPr>
          <w:rFonts w:ascii="Arial" w:cs="Arial" w:eastAsia="Arial" w:hAnsi="Arial"/>
          <w:sz w:val="17"/>
          <w:szCs w:val="17"/>
          <w:color w:val="auto"/>
        </w:rPr>
        <w:t>This guidance is effective for annual periods beginning after December 15, 2021, and interim periods therein.</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700"/>
        <w:spacing w:after="0" w:line="263" w:lineRule="auto"/>
        <w:rPr>
          <w:sz w:val="20"/>
          <w:szCs w:val="20"/>
          <w:color w:val="auto"/>
        </w:rPr>
      </w:pPr>
      <w:r>
        <w:rPr>
          <w:rFonts w:ascii="Arial" w:cs="Arial" w:eastAsia="Arial" w:hAnsi="Arial"/>
          <w:sz w:val="17"/>
          <w:szCs w:val="17"/>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-11430</wp:posOffset>
            </wp:positionV>
            <wp:extent cx="22117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1" w:lineRule="exact"/>
        <w:rPr>
          <w:sz w:val="20"/>
          <w:szCs w:val="20"/>
          <w:color w:val="auto"/>
        </w:rPr>
      </w:pPr>
    </w:p>
    <w:p>
      <w:pPr>
        <w:jc w:val="both"/>
        <w:ind w:right="320"/>
        <w:spacing w:after="0" w:line="221" w:lineRule="auto"/>
        <w:rPr>
          <w:sz w:val="20"/>
          <w:szCs w:val="20"/>
          <w:color w:val="auto"/>
        </w:rPr>
      </w:pPr>
      <w:r>
        <w:rPr>
          <w:rFonts w:ascii="Arial" w:cs="Arial" w:eastAsia="Arial" w:hAnsi="Arial"/>
          <w:sz w:val="17"/>
          <w:szCs w:val="17"/>
          <w:color w:val="auto"/>
        </w:rPr>
        <w:t>We are still evaluating the impact of reference rate reform and whether we will apply any of these practical expedients.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0"/>
        <w:spacing w:after="0" w:line="286" w:lineRule="auto"/>
        <w:rPr>
          <w:sz w:val="20"/>
          <w:szCs w:val="20"/>
          <w:color w:val="auto"/>
        </w:rPr>
      </w:pPr>
      <w:r>
        <w:rPr>
          <w:rFonts w:ascii="Arial" w:cs="Arial" w:eastAsia="Arial" w:hAnsi="Arial"/>
          <w:sz w:val="15"/>
          <w:szCs w:val="15"/>
          <w:color w:val="auto"/>
        </w:rPr>
        <w:t>The adoption of this standard does not have an impact to our consolidated financial statements.</w:t>
      </w:r>
    </w:p>
    <w:p>
      <w:pPr>
        <w:spacing w:after="0" w:line="1462" w:lineRule="exact"/>
        <w:rPr>
          <w:sz w:val="20"/>
          <w:szCs w:val="20"/>
          <w:color w:val="auto"/>
        </w:rPr>
      </w:pPr>
    </w:p>
    <w:p>
      <w:pPr>
        <w:sectPr>
          <w:pgSz w:w="11900" w:h="16838" w:orient="portrait"/>
          <w:cols w:equalWidth="0" w:num="3">
            <w:col w:w="2060" w:space="160"/>
            <w:col w:w="5380" w:space="180"/>
            <w:col w:w="3460"/>
          </w:cols>
          <w:pgMar w:left="320" w:top="126" w:right="3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supplemental disclosures related to the Consolidated Statements of Cash Flows:</w:t>
      </w:r>
    </w:p>
    <w:p>
      <w:pPr>
        <w:spacing w:after="0" w:line="122" w:lineRule="exact"/>
        <w:rPr>
          <w:sz w:val="20"/>
          <w:szCs w:val="20"/>
          <w:color w:val="auto"/>
        </w:rPr>
      </w:pPr>
    </w:p>
    <w:p>
      <w:pPr>
        <w:jc w:val="center"/>
        <w:ind w:left="8380"/>
        <w:spacing w:after="0"/>
        <w:rPr>
          <w:sz w:val="20"/>
          <w:szCs w:val="20"/>
          <w:color w:val="auto"/>
        </w:rPr>
      </w:pPr>
      <w:r>
        <w:rPr>
          <w:rFonts w:ascii="Arial" w:cs="Arial" w:eastAsia="Arial" w:hAnsi="Arial"/>
          <w:sz w:val="13"/>
          <w:szCs w:val="13"/>
          <w:b w:val="1"/>
          <w:bCs w:val="1"/>
          <w:color w:val="auto"/>
        </w:rPr>
        <w:t>Nine Months Ended</w:t>
      </w:r>
    </w:p>
    <w:p>
      <w:pPr>
        <w:spacing w:after="0" w:line="40"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September 30,</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SUPPLEMENTAL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interest costs incurred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Interest expense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paid for interest, net of amounts capitalized</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0628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57" w:lineRule="exact"/>
        <w:rPr>
          <w:sz w:val="20"/>
          <w:szCs w:val="20"/>
          <w:color w:val="auto"/>
        </w:rPr>
      </w:pPr>
    </w:p>
    <w:p>
      <w:pPr>
        <w:jc w:val="both"/>
        <w:ind w:left="360" w:right="2820" w:hanging="323"/>
        <w:spacing w:after="0" w:line="282" w:lineRule="auto"/>
        <w:rPr>
          <w:sz w:val="20"/>
          <w:szCs w:val="20"/>
          <w:color w:val="auto"/>
        </w:rPr>
      </w:pPr>
      <w:r>
        <w:rPr>
          <w:rFonts w:ascii="Arial" w:cs="Arial" w:eastAsia="Arial" w:hAnsi="Arial"/>
          <w:sz w:val="17"/>
          <w:szCs w:val="17"/>
          <w:color w:val="auto"/>
        </w:rPr>
        <w:t>NON-CASH INVESTING AND FINANCING TRANSACTIONS: DownREIT operating partnership units issued with acquisition Mortgage loans assumed with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0628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0628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360" w:right="2380"/>
        <w:spacing w:after="0" w:line="292" w:lineRule="auto"/>
        <w:rPr>
          <w:sz w:val="20"/>
          <w:szCs w:val="20"/>
          <w:color w:val="auto"/>
        </w:rPr>
      </w:pPr>
      <w:r>
        <w:rPr>
          <w:rFonts w:ascii="Arial" w:cs="Arial" w:eastAsia="Arial" w:hAnsi="Arial"/>
          <w:sz w:val="18"/>
          <w:szCs w:val="18"/>
          <w:color w:val="auto"/>
        </w:rPr>
        <w:t>DownREIT operating partnership units redeemed for common shares Shares issued under dividend reinvestment plan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81"/>
        </w:trPr>
        <w:tc>
          <w:tcPr>
            <w:tcW w:w="180" w:type="dxa"/>
            <w:vAlign w:val="bottom"/>
          </w:tcPr>
          <w:p>
            <w:pPr>
              <w:spacing w:after="0"/>
              <w:rPr>
                <w:sz w:val="15"/>
                <w:szCs w:val="15"/>
                <w:color w:val="auto"/>
              </w:rPr>
            </w:pPr>
          </w:p>
        </w:tc>
        <w:tc>
          <w:tcPr>
            <w:tcW w:w="2580" w:type="dxa"/>
            <w:vAlign w:val="bottom"/>
            <w:gridSpan w:val="4"/>
          </w:tcPr>
          <w:p>
            <w:pPr>
              <w:jc w:val="right"/>
              <w:ind w:right="855"/>
              <w:spacing w:after="0"/>
              <w:rPr>
                <w:sz w:val="20"/>
                <w:szCs w:val="20"/>
                <w:color w:val="auto"/>
              </w:rPr>
            </w:pPr>
            <w:r>
              <w:rPr>
                <w:rFonts w:ascii="Arial" w:cs="Arial" w:eastAsia="Arial" w:hAnsi="Arial"/>
                <w:sz w:val="14"/>
                <w:szCs w:val="14"/>
                <w:b w:val="1"/>
                <w:bCs w:val="1"/>
                <w:color w:val="auto"/>
              </w:rPr>
              <w:t>(In thousands)</w:t>
            </w:r>
          </w:p>
        </w:tc>
      </w:tr>
      <w:tr>
        <w:trPr>
          <w:trHeight w:val="461"/>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113,691</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116,015</w:t>
            </w:r>
          </w:p>
        </w:tc>
      </w:tr>
      <w:tr>
        <w:trPr>
          <w:trHeight w:val="230"/>
        </w:trPr>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(17,269)</w:t>
            </w: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95,511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98,746</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91,887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89,447</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25"/>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18,920</w:t>
            </w: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8,903</w:t>
            </w:r>
          </w:p>
        </w:tc>
      </w:tr>
      <w:tr>
        <w:trPr>
          <w:trHeight w:val="22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5,121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1,296</w:t>
            </w:r>
          </w:p>
        </w:tc>
      </w:tr>
      <w:tr>
        <w:trPr>
          <w:trHeight w:val="393"/>
        </w:trPr>
        <w:tc>
          <w:tcPr>
            <w:tcW w:w="1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14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December 31,</w:t>
            </w:r>
          </w:p>
        </w:tc>
      </w:tr>
      <w:tr>
        <w:trPr>
          <w:trHeight w:val="189"/>
        </w:trPr>
        <w:tc>
          <w:tcPr>
            <w:tcW w:w="180" w:type="dxa"/>
            <w:vAlign w:val="bottom"/>
          </w:tcPr>
          <w:p>
            <w:pPr>
              <w:spacing w:after="0"/>
              <w:rPr>
                <w:sz w:val="16"/>
                <w:szCs w:val="16"/>
                <w:color w:val="auto"/>
              </w:rPr>
            </w:pPr>
          </w:p>
        </w:tc>
        <w:tc>
          <w:tcPr>
            <w:tcW w:w="1140" w:type="dxa"/>
            <w:vAlign w:val="bottom"/>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p>
      <w:pPr>
        <w:sectPr>
          <w:pgSz w:w="11900" w:h="16838" w:orient="portrait"/>
          <w:cols w:equalWidth="0" w:num="2">
            <w:col w:w="7720" w:space="720"/>
            <w:col w:w="2800"/>
          </w:cols>
          <w:pgMar w:left="320" w:top="126" w:right="339" w:bottom="1440" w:gutter="0" w:footer="0" w:header="0"/>
          <w:type w:val="continuous"/>
        </w:sectPr>
      </w:pPr>
    </w:p>
    <w:tbl>
      <w:tblPr>
        <w:tblLayout w:type="fixed"/>
        <w:tblInd w:w="40" w:type="dxa"/>
        <w:tblCellMar>
          <w:top w:w="0" w:type="dxa"/>
          <w:left w:w="0" w:type="dxa"/>
          <w:bottom w:w="0" w:type="dxa"/>
          <w:right w:w="0" w:type="dxa"/>
        </w:tblCellMar>
      </w:tblPr>
      <w:tr>
        <w:trPr>
          <w:trHeight w:val="193"/>
        </w:trPr>
        <w:tc>
          <w:tcPr>
            <w:tcW w:w="84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6"/>
                <w:szCs w:val="16"/>
                <w:color w:val="auto"/>
              </w:rPr>
            </w:pPr>
          </w:p>
        </w:tc>
      </w:tr>
      <w:tr>
        <w:trPr>
          <w:trHeight w:val="23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CASH, CASH EQUIVALENTS, AND RESTRICTED CASH:</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177,591</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798,329</w:t>
            </w:r>
          </w:p>
        </w:tc>
      </w:tr>
      <w:tr>
        <w:trPr>
          <w:trHeight w:val="229"/>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 (1)</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18,567</w:t>
            </w:r>
          </w:p>
        </w:tc>
      </w:tr>
      <w:tr>
        <w:trPr>
          <w:trHeight w:val="223"/>
        </w:trPr>
        <w:tc>
          <w:tcPr>
            <w:tcW w:w="8440" w:type="dxa"/>
            <w:vAlign w:val="bottom"/>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187,905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816,896</w:t>
            </w:r>
          </w:p>
        </w:tc>
      </w:tr>
      <w:tr>
        <w:trPr>
          <w:trHeight w:val="20"/>
        </w:trPr>
        <w:tc>
          <w:tcPr>
            <w:tcW w:w="8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Restricted cash balances are included in "prepaid expenses and other assets" on our consolidated balance sheets.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1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January 4, 2021, we acquired our partner's 20% interest in our joint venture arrangement related to the Pike &amp; Rose hotel for $2.3 million, and repaid the $31.5 million mortgage loan encumbering the hotel. As a result of the transaction, we gained control of the hotel, and effective January 4, 2021, we have consolidated this asset. We also recognized a gain on acquisition of the controlling interest of $2.1 million related to the difference between the carrying value and fair value of the previously held equity interest.</w:t>
      </w:r>
    </w:p>
    <w:p>
      <w:pPr>
        <w:spacing w:after="0" w:line="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February 22, 2021, we acquired the fee interest at our Mount Vernon Plaza property in Alexandria, Virginia for $5.6 million. As a result of this transaction, the "operating lease right of use assets" and "operating lease liabilities" on our consolidated balance sheet decreased by $9.8 million. We now own the entire fee interest on this property.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 we acquired the following properties: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Date Acquired</w:t>
            </w:r>
          </w:p>
        </w:tc>
        <w:tc>
          <w:tcPr>
            <w:tcW w:w="2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Property</w:t>
            </w:r>
          </w:p>
        </w:tc>
        <w:tc>
          <w:tcPr>
            <w:tcW w:w="1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City/State</w:t>
            </w: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Gross Leasable</w:t>
            </w:r>
          </w:p>
        </w:tc>
        <w:tc>
          <w:tcPr>
            <w:tcW w:w="14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Ownership %</w:t>
            </w:r>
          </w:p>
        </w:tc>
        <w:tc>
          <w:tcPr>
            <w:tcW w:w="140" w:type="dxa"/>
            <w:vAlign w:val="bottom"/>
          </w:tcPr>
          <w:p>
            <w:pPr>
              <w:spacing w:after="0"/>
              <w:rPr>
                <w:sz w:val="18"/>
                <w:szCs w:val="18"/>
                <w:color w:val="auto"/>
              </w:rPr>
            </w:pPr>
          </w:p>
        </w:tc>
        <w:tc>
          <w:tcPr>
            <w:tcW w:w="116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89"/>
              </w:rPr>
              <w:t>Gross Value</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gridSpan w:val="2"/>
            <w:vMerge w:val="continue"/>
          </w:tcPr>
          <w:p>
            <w:pPr>
              <w:spacing w:after="0"/>
              <w:rPr>
                <w:sz w:val="19"/>
                <w:szCs w:val="19"/>
                <w:color w:val="auto"/>
              </w:rPr>
            </w:pPr>
          </w:p>
        </w:tc>
        <w:tc>
          <w:tcPr>
            <w:tcW w:w="2720" w:type="dxa"/>
            <w:vAlign w:val="bottom"/>
            <w:gridSpan w:val="2"/>
            <w:vMerge w:val="continue"/>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Area (GLA)</w:t>
            </w:r>
          </w:p>
        </w:tc>
        <w:tc>
          <w:tcPr>
            <w:tcW w:w="14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square feet)</w:t>
            </w:r>
          </w:p>
        </w:tc>
        <w:tc>
          <w:tcPr>
            <w:tcW w:w="8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Chesterbrook (1)</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McLean, Virginia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June 1, 2021</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Grossmont Center (1)</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La Mesa, California</w:t>
            </w:r>
          </w:p>
        </w:tc>
        <w:tc>
          <w:tcPr>
            <w:tcW w:w="1440" w:type="dxa"/>
            <w:vAlign w:val="bottom"/>
          </w:tcPr>
          <w:p>
            <w:pPr>
              <w:jc w:val="right"/>
              <w:spacing w:after="0"/>
              <w:rPr>
                <w:sz w:val="20"/>
                <w:szCs w:val="20"/>
                <w:color w:val="auto"/>
              </w:rPr>
            </w:pPr>
            <w:r>
              <w:rPr>
                <w:rFonts w:ascii="Arial" w:cs="Arial" w:eastAsia="Arial" w:hAnsi="Arial"/>
                <w:sz w:val="18"/>
                <w:szCs w:val="18"/>
                <w:color w:val="auto"/>
              </w:rPr>
              <w:t>933,000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14,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Camelback Colonnade (1)</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Phoenix, Arizona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June 14, 2021</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Hilton Village (1)</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Scottsdale, Arizona</w:t>
            </w:r>
          </w:p>
        </w:tc>
        <w:tc>
          <w:tcPr>
            <w:tcW w:w="1440" w:type="dxa"/>
            <w:vAlign w:val="bottom"/>
          </w:tcPr>
          <w:p>
            <w:pPr>
              <w:jc w:val="right"/>
              <w:spacing w:after="0"/>
              <w:rPr>
                <w:sz w:val="20"/>
                <w:szCs w:val="20"/>
                <w:color w:val="auto"/>
              </w:rPr>
            </w:pPr>
            <w:r>
              <w:rPr>
                <w:rFonts w:ascii="Arial" w:cs="Arial" w:eastAsia="Arial" w:hAnsi="Arial"/>
                <w:sz w:val="18"/>
                <w:szCs w:val="18"/>
                <w:color w:val="auto"/>
              </w:rPr>
              <w:t>93,000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Twinbrooke Shopping Centre</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Fairfax, Virginia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20" w:hanging="332"/>
        <w:spacing w:after="0" w:line="277" w:lineRule="auto"/>
        <w:tabs>
          <w:tab w:leader="none" w:pos="33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acquisitions were completed through newly formed joint ventures, for which we own the controlling interest listed above, and therefore, these properties are consolidated in our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340" w:right="40" w:hanging="332"/>
        <w:spacing w:after="0" w:line="258" w:lineRule="auto"/>
        <w:tabs>
          <w:tab w:leader="none" w:pos="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$1.9 million and $0.6 million of net assets acquired were allocated to other assets for "acquired lease costs" and "above market leases," respectively, and $8.0 million of net assets acquired were allocated to other liabilities for "below market leases."</w:t>
      </w:r>
    </w:p>
    <w:p>
      <w:pPr>
        <w:spacing w:after="0" w:line="1" w:lineRule="exact"/>
        <w:rPr>
          <w:rFonts w:ascii="Arial" w:cs="Arial" w:eastAsia="Arial" w:hAnsi="Arial"/>
          <w:sz w:val="18"/>
          <w:szCs w:val="18"/>
          <w:color w:val="auto"/>
        </w:rPr>
      </w:pPr>
    </w:p>
    <w:p>
      <w:pPr>
        <w:ind w:left="340" w:right="540" w:hanging="332"/>
        <w:spacing w:after="0" w:line="281" w:lineRule="auto"/>
        <w:tabs>
          <w:tab w:leader="none" w:pos="334" w:val="left"/>
        </w:tabs>
        <w:numPr>
          <w:ilvl w:val="0"/>
          <w:numId w:val="4"/>
        </w:numPr>
        <w:rPr>
          <w:rFonts w:ascii="Arial" w:cs="Arial" w:eastAsia="Arial" w:hAnsi="Arial"/>
          <w:sz w:val="17"/>
          <w:szCs w:val="17"/>
          <w:color w:val="auto"/>
        </w:rPr>
      </w:pPr>
      <w:r>
        <w:rPr>
          <w:rFonts w:ascii="Arial" w:cs="Arial" w:eastAsia="Arial" w:hAnsi="Arial"/>
          <w:sz w:val="17"/>
          <w:szCs w:val="17"/>
          <w:color w:val="auto"/>
        </w:rPr>
        <w:t>Approximately $12.3 million and $2.6 million of net assets acquired were allocated to other assets for "acquired lease costs" and "above market leases," respectively, and $14.7 million of net assets acquired were allocated to other liabilities for "below market leases."</w:t>
      </w:r>
    </w:p>
    <w:p>
      <w:pPr>
        <w:ind w:left="340" w:right="180" w:hanging="332"/>
        <w:spacing w:after="0" w:line="258" w:lineRule="auto"/>
        <w:tabs>
          <w:tab w:leader="none" w:pos="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$11.6 million of net assets acquired were allocated to other assets for "acquired lease costs" and $28.3 million were allocated to other liabilities for "below market leases."</w:t>
      </w:r>
    </w:p>
    <w:p>
      <w:pPr>
        <w:spacing w:after="0" w:line="1" w:lineRule="exact"/>
        <w:rPr>
          <w:rFonts w:ascii="Arial" w:cs="Arial" w:eastAsia="Arial" w:hAnsi="Arial"/>
          <w:sz w:val="18"/>
          <w:szCs w:val="18"/>
          <w:color w:val="auto"/>
        </w:rPr>
      </w:pPr>
    </w:p>
    <w:p>
      <w:pPr>
        <w:ind w:left="340" w:right="20" w:hanging="332"/>
        <w:spacing w:after="0" w:line="254" w:lineRule="auto"/>
        <w:tabs>
          <w:tab w:leader="none" w:pos="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land is controlled under a long-term ground lease that expires on December 31, 2076, for which we have recorded a $10.4 million "operating lease right of use asset" (net of a $1.3 million above market liability) and an $11.6 million "operating lease liability." Approximately $2.7 million and $1.1 million of net assets acquired were allocated to other assets for "acquired lease costs" and "above market leases," respectively, and $3.6 million were allocated to other liabilities for "below market leases."</w:t>
      </w:r>
    </w:p>
    <w:p>
      <w:pPr>
        <w:spacing w:after="0" w:line="1" w:lineRule="exact"/>
        <w:rPr>
          <w:rFonts w:ascii="Arial" w:cs="Arial" w:eastAsia="Arial" w:hAnsi="Arial"/>
          <w:sz w:val="18"/>
          <w:szCs w:val="18"/>
          <w:color w:val="auto"/>
        </w:rPr>
      </w:pPr>
    </w:p>
    <w:p>
      <w:pPr>
        <w:ind w:left="340" w:right="40" w:hanging="332"/>
        <w:spacing w:after="0" w:line="276" w:lineRule="auto"/>
        <w:tabs>
          <w:tab w:leader="none" w:pos="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$0.8 million and $0.3 million of net assets acquired were allocated to other assets for "acquired lease costs" and "above market leases," respectively, and $2.7 million of net assets acquired were allocated to other liabilities for "below market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Disposition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On March 19, 2021, we sold a portion of Graham Park Plaza in Falls Church, Virginia for $20.3 million, resulting in a gain on sale of $15.6 million.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On February 5, 2021, we repaid the $16.2 million mortgage loan on Sylmar Towne Center, at par, prior to its original maturity date.</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April 16, 2021, we repaid $100.0 million of our existing $400.0 million term loan, amended the agreement on the remaining $300.0 million to lower the current spread over LIBOR from 135 basis points to 80 basis points based on our current credit rating, and extended the initial maturity date to April 16, 2024, along with two one-year extensions, at our option.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On September 1, 2021, we repaid the $7.9 million mortgage loan on Plaza Del Sol, at par, prior to its original maturity date.</w:t>
      </w:r>
    </w:p>
    <w:p>
      <w:pPr>
        <w:spacing w:after="0" w:line="10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three and nine months ended September 30, 2021, there were no borrowings on our $1.0 billion revolving credit facility. Our revolving credit facility, term loan, and certain notes require us to comply with various financial covenants, including the maintenance of minimum shareholders' equity and debt coverage ratios and a maximum ratio of debt to net worth. As of September 30, 2021, we were in compliance with all default related debt covenants.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1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34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5"/>
                <w:szCs w:val="15"/>
                <w:color w:val="auto"/>
              </w:rPr>
            </w:pPr>
          </w:p>
        </w:tc>
        <w:tc>
          <w:tcPr>
            <w:tcW w:w="112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1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881"/>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Mortgages and notes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758,665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886,887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879,390</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Senior notes and debentures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3,405,685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3,725,056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3,404,488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3,761,465</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September 30, 2021, we have two interest rate swap agreements with notional amounts of $56.5 million that are measured at fair value on a recurring basis. The interest rate swap agreements fix the interest rate on $56.5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September 30, 2021 was a liability of $2.0 million and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is included in "other liabilities and deferred credits" on our consolidated balance sheet. For the three and nine months ended September 30, 2021, the value of our interest rate swaps increased $0.4 million and $2.7 million, respectively (including $0.2 million reclassified from other comprehensive income to interest expense for the three months, and $0.7 million reclassified from other comprehensive income to interest expense for the nine months ended September 30, 2021). A summary of our financial liabilities that are measured at fair value on a recurring basis, by level within the fair value hierarchy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September 30, 2021</w:t>
            </w: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2020</w:t>
            </w:r>
          </w:p>
        </w:tc>
        <w:tc>
          <w:tcPr>
            <w:tcW w:w="820" w:type="dxa"/>
            <w:vAlign w:val="bottom"/>
            <w:tcBorders>
              <w:bottom w:val="single" w:sz="8" w:color="auto"/>
            </w:tcBorders>
          </w:tcPr>
          <w:p>
            <w:pPr>
              <w:spacing w:after="0"/>
              <w:rPr>
                <w:sz w:val="16"/>
                <w:szCs w:val="16"/>
                <w:color w:val="auto"/>
              </w:rPr>
            </w:pPr>
          </w:p>
        </w:tc>
      </w:tr>
      <w:tr>
        <w:trPr>
          <w:trHeight w:val="187"/>
        </w:trPr>
        <w:tc>
          <w:tcPr>
            <w:tcW w:w="27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183"/>
        </w:trPr>
        <w:tc>
          <w:tcPr>
            <w:tcW w:w="2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gridSpan w:val="4"/>
          </w:tcPr>
          <w:p>
            <w:pPr>
              <w:ind w:left="38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(1,977)</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r>
    </w:tbl>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One of our equity method investees has two interest rate swaps which qualify for cash flow hedge accounting. For the three and nine months ended September 30, 2021, our share of the change in fair value of the related swaps included in "accumulated other comprehensive loss" was an increase of $0.2 million and $0.5 million,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0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Under the terms of certain partnership agreements, the partners have the right to exchange their operating partnership units for cash or common shares, at our option. A total of 694,133 downREIT operating partnership units are outstanding which have a total fair value of approximately $81.9 million, which is calculated by multiplying the outstanding number of downREIT partnership units by our closing stock price on September 30, 2021.</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2"/>
              </w:rPr>
              <w:t>Nine Months Ended September 30,</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87"/>
        </w:trPr>
        <w:tc>
          <w:tcPr>
            <w:tcW w:w="7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r>
      <w:tr>
        <w:trPr>
          <w:trHeight w:val="183"/>
        </w:trPr>
        <w:tc>
          <w:tcPr>
            <w:tcW w:w="7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4"/>
                <w:szCs w:val="14"/>
                <w:b w:val="1"/>
                <w:bCs w:val="1"/>
                <w:color w:val="auto"/>
                <w:w w:val="94"/>
              </w:rPr>
              <w:t>Declared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Paid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Declared</w:t>
            </w: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Paid</w:t>
            </w:r>
          </w:p>
        </w:tc>
      </w:tr>
      <w:tr>
        <w:trPr>
          <w:trHeight w:val="224"/>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1.016</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30"/>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5.0% Series C Cumulative Redeemable Preferred shares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0.938</w:t>
            </w: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0.938</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Amount represents dividends per depository share, each representing 1/1000th of a share.</w:t>
      </w:r>
    </w:p>
    <w:p>
      <w:pPr>
        <w:spacing w:after="0" w:line="25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February 24, 2021, we replaced our existing ATM equity program with a new ATM equity program in which we may from time to time offer and sell common shares having an aggregate offering price of up to $500.0 million. On May 7, 2021, we amended this ATM equity program, which resets the limit to $500.0 million. The new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3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For the nine months ended September 30, 2021, we issued 847,471 common shares at a weighted average price per share of $104.19 for net cash proceeds of $87.1 million including paying $0.9 million in commissions and $0.4 million in additional offering expenses related to the sales of common shares. We also entered into forward sales contracts for the three and nine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months ended September 30, 2021 for 822,678 and 2,348,729 shares, respectively, under our ATM equity program at a weighted average offering price of $121.18 and $117.36, respectively. The forward price that we will receive upon physical settlement of the agreements is subject to the adjustment for (i) commissions, (ii) a floating interest rate factor equal to a specified daily rate less a spread, (iii) the forward purchasers' stock borrowing costs and (iv) scheduled dividends during the term of the forward sale agreements. The open forward shares may be settled at any time on or before multiple required settlement dates ranging from March 2022 to September 2022. We have remaining capacity to issue up to $260.0 million in common shares under our ATM equity program as of September 30,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8—SHARE-BASED COMPENSATION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22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0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6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56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83"/>
        </w:trPr>
        <w:tc>
          <w:tcPr>
            <w:tcW w:w="5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Grants of common shares, restricted stock units, and options</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3,367</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3,115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share-based compensation</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3,031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9—EARNINGS PER SHARE</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nine months ended September 30, 2021, we had 0.3 million and for the three and nine months ended September 30, 2020, we had 0.2 million weighted average unvested shares outstanding, respectively,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potentially issuable shares were excluded from the diluted EPS calculation because their impact is anti-dilutive:</w:t>
      </w:r>
    </w:p>
    <w:p>
      <w:pPr>
        <w:spacing w:after="0" w:line="6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exercise of 682 stock options for both the three and nine months ended September 30, 2021 and 2020,</w:t>
      </w:r>
    </w:p>
    <w:p>
      <w:pPr>
        <w:spacing w:after="0" w:line="63"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conversions of downREIT operating partnership units and 5.417% Series 1 Cumulative Convertible Preferred Shares for both the three and nine months ended September 30, 2021 and 2020, and</w:t>
      </w:r>
    </w:p>
    <w:p>
      <w:pPr>
        <w:spacing w:after="0" w:line="8"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issuance of 0.9 million and 1.7 million shares issuable under forward sales agreements for the three and nine months ended September 30, 2021, respectively.</w:t>
      </w:r>
    </w:p>
    <w:p>
      <w:pPr>
        <w:spacing w:after="0" w:line="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10,441 unvested restricted stock units are excluded from the diluted EPS calculation as the market based performance criteria in the awards has not yet been achieved.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94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r>
      <w:tr>
        <w:trPr>
          <w:trHeight w:val="187"/>
        </w:trPr>
        <w:tc>
          <w:tcPr>
            <w:tcW w:w="6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6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20" w:type="dxa"/>
            <w:vAlign w:val="bottom"/>
            <w:gridSpan w:val="7"/>
          </w:tcPr>
          <w:p>
            <w:pPr>
              <w:ind w:left="40"/>
              <w:spacing w:after="0"/>
              <w:rPr>
                <w:sz w:val="20"/>
                <w:szCs w:val="20"/>
                <w:color w:val="auto"/>
              </w:rPr>
            </w:pPr>
            <w:r>
              <w:rPr>
                <w:rFonts w:ascii="Arial" w:cs="Arial" w:eastAsia="Arial" w:hAnsi="Arial"/>
                <w:sz w:val="14"/>
                <w:szCs w:val="14"/>
                <w:b w:val="1"/>
                <w:bCs w:val="1"/>
                <w:color w:val="auto"/>
                <w:w w:val="99"/>
              </w:rPr>
              <w:t>(In thousands, except per share data)</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54,541</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(33,623)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33,677</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Preferred share dividends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Less: (Income) loss from operations attributable to noncontrolling interests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3,304</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Earnings allocated to unvested shares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Net income (loss) available for common shareholders, 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(30,548)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30,205</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77,485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75,404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75,386</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6600" w:type="dxa"/>
            <w:vAlign w:val="bottom"/>
          </w:tcPr>
          <w:p>
            <w:pPr>
              <w:ind w:left="360"/>
              <w:spacing w:after="0"/>
              <w:rPr>
                <w:sz w:val="20"/>
                <w:szCs w:val="20"/>
                <w:color w:val="auto"/>
              </w:rPr>
            </w:pPr>
            <w:r>
              <w:rPr>
                <w:rFonts w:ascii="Arial" w:cs="Arial" w:eastAsia="Arial" w:hAnsi="Arial"/>
                <w:sz w:val="18"/>
                <w:szCs w:val="18"/>
                <w:color w:val="auto"/>
              </w:rPr>
              <w:t>Open forward contracts for share issuances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75,386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 BASIC:</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6600" w:type="dxa"/>
            <w:vAlign w:val="bottom"/>
          </w:tcPr>
          <w:p>
            <w:pPr>
              <w:ind w:left="360"/>
              <w:spacing w:after="0"/>
              <w:rPr>
                <w:sz w:val="20"/>
                <w:szCs w:val="20"/>
                <w:color w:val="auto"/>
              </w:rPr>
            </w:pPr>
            <w:r>
              <w:rPr>
                <w:rFonts w:ascii="Arial" w:cs="Arial" w:eastAsia="Arial" w:hAnsi="Arial"/>
                <w:sz w:val="18"/>
                <w:szCs w:val="18"/>
                <w:color w:val="auto"/>
              </w:rPr>
              <w:t>Net income (loss) available for common shareholders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0.64</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COMMON SHARE, DILUTED:</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29"/>
        </w:trPr>
        <w:tc>
          <w:tcPr>
            <w:tcW w:w="6600" w:type="dxa"/>
            <w:vAlign w:val="bottom"/>
          </w:tcPr>
          <w:p>
            <w:pPr>
              <w:ind w:left="360"/>
              <w:spacing w:after="0"/>
              <w:rPr>
                <w:sz w:val="20"/>
                <w:szCs w:val="20"/>
                <w:color w:val="auto"/>
              </w:rPr>
            </w:pPr>
            <w:r>
              <w:rPr>
                <w:rFonts w:ascii="Arial" w:cs="Arial" w:eastAsia="Arial" w:hAnsi="Arial"/>
                <w:sz w:val="18"/>
                <w:szCs w:val="18"/>
                <w:color w:val="auto"/>
              </w:rPr>
              <w:t>Net income (loss) available for common shareholders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0.64</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1"/>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On October 12, 2021, we repaid the $64.1 million mortgage loan on Montrose Crossing, at par, prior to its original maturity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November 2, 2021, we repaid the $52.7 million mortgage loan on The AVENUE at White Marsh, at par, prior to its original maturity date.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2020 filed with the Securities and Exchange Commission (the “SEC”) on February 11, 2021.</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statements included in this Quarterly Report on Form 10-Q are forward-looking statements. Those statements include statements regarding the intent, belief or current expectations of Federal Realty Investment Trust (“we” “our” or “us”)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6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following are some of the risks and uncertainties, although not all risks and uncertainties, that could cause our actual results to differ materially from those presented in our forward-looking statements:</w:t>
      </w:r>
    </w:p>
    <w:p>
      <w:pPr>
        <w:spacing w:after="0" w:line="1" w:lineRule="exact"/>
        <w:rPr>
          <w:sz w:val="20"/>
          <w:szCs w:val="20"/>
          <w:color w:val="auto"/>
        </w:rPr>
      </w:pPr>
    </w:p>
    <w:p>
      <w:pPr>
        <w:ind w:left="340" w:right="70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ind w:left="340" w:right="120" w:hanging="332"/>
        <w:spacing w:after="0" w:line="255"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340" w:right="80" w:hanging="332"/>
        <w:spacing w:after="0" w:line="255" w:lineRule="auto"/>
        <w:tabs>
          <w:tab w:leader="none" w:pos="335" w:val="left"/>
        </w:tabs>
        <w:numPr>
          <w:ilvl w:val="0"/>
          <w:numId w:val="7"/>
        </w:numPr>
        <w:rPr>
          <w:rFonts w:ascii="Arial" w:cs="Arial" w:eastAsia="Arial" w:hAnsi="Arial"/>
          <w:sz w:val="18"/>
          <w:szCs w:val="18"/>
          <w:color w:val="212529"/>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2" w:lineRule="exact"/>
        <w:rPr>
          <w:rFonts w:ascii="Arial" w:cs="Arial" w:eastAsia="Arial" w:hAnsi="Arial"/>
          <w:sz w:val="18"/>
          <w:szCs w:val="18"/>
          <w:color w:val="212529"/>
        </w:rPr>
      </w:pPr>
    </w:p>
    <w:p>
      <w:pPr>
        <w:ind w:left="340" w:right="2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340" w:right="26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 w:lineRule="exact"/>
        <w:rPr>
          <w:rFonts w:ascii="Arial" w:cs="Arial" w:eastAsia="Arial" w:hAnsi="Arial"/>
          <w:sz w:val="18"/>
          <w:szCs w:val="18"/>
          <w:color w:val="auto"/>
        </w:rPr>
      </w:pPr>
    </w:p>
    <w:p>
      <w:pPr>
        <w:ind w:left="340" w:right="20" w:hanging="332"/>
        <w:spacing w:after="0" w:line="253"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You should carefully review the risks and the risk factors included in our Annual Report on Form 10-K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under Part II, Item 1A in this Quarterly Report on Form 10-Q, before making any investments in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As of September 30, 2021, we owned or had a majority interest in community and neighborhood shopping centers and mixed-use properties which are operated as 106 predominantly retail real estate projects comprising approximately 25.4 million square feet. In total, the real estate projects were 92.8% leased and 90.2% occupied at September 30,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10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212529"/>
        </w:rPr>
        <w:t xml:space="preserve">We continue to monitor and address risks related to the novel coronavirus disease ("COVID-19") pandemic. Since March 2020 when the World Health Organization characterized COVID-19 as a global pandemic, we have been and continue to be impacted by COVID-19 and the actions taken by federal, state, and local government to prevent its spread. </w:t>
      </w:r>
      <w:r>
        <w:rPr>
          <w:rFonts w:ascii="Arial" w:cs="Arial" w:eastAsia="Arial" w:hAnsi="Arial"/>
          <w:sz w:val="16"/>
          <w:szCs w:val="16"/>
          <w:color w:val="000000"/>
        </w:rPr>
        <w:t>These actions included the closure of nonessential businesses and ordering residents to generally stay at</w:t>
      </w:r>
      <w:r>
        <w:rPr>
          <w:rFonts w:ascii="Arial" w:cs="Arial" w:eastAsia="Arial" w:hAnsi="Arial"/>
          <w:sz w:val="16"/>
          <w:szCs w:val="16"/>
          <w:color w:val="212529"/>
        </w:rPr>
        <w:t xml:space="preserve"> </w:t>
      </w:r>
      <w:r>
        <w:rPr>
          <w:rFonts w:ascii="Arial" w:cs="Arial" w:eastAsia="Arial" w:hAnsi="Arial"/>
          <w:sz w:val="16"/>
          <w:szCs w:val="16"/>
          <w:color w:val="000000"/>
        </w:rPr>
        <w:t>home at the onset of the pandemic, phased re-openings and capacity limitations, and now generally lifted restrictions. While the overall economy is showing signs of recovery from the initial impacts of COVID-19, workforce shortages, global supply chain bottlenecks and shortages, inflation, as well as COVID-19 variants are impacting the pace of recovery. Closures and restrictions, along with general concern over the spread of COVID-19, required a significant number of tenants to close their operations or to significantly limit the amount of business they are able to conduct, which impacted their ability to timely pay rent as required under our leases and also caused many tenants to close their business permanently. While improving, our cash flow and results of operations in the nine months ended September 30, 2021 continued to be materially adversely impacted, with vacancy levels remaining above historical levels. Although virtually all of our leases required the tenants to pay rent even while they were not operating, we entered into numerous agreements to abate, defer, and/or restructure tenant rent payments for varying periods of time, all with the objective of collecting as much cash as reasonably possible and maintaining occupancy to the maximum extent. We believe those actions will position many of our tenants to be able to return to payment of contractual rent as soon as possible after the impacts from the pandemic have subsided.</w:t>
      </w:r>
    </w:p>
    <w:p>
      <w:pPr>
        <w:spacing w:after="0" w:line="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three and nine months ended September 30, 2021, we recognized collectibility related adjustments of $0.6 million and $21.8 million, respectively, as compared to $29.4 million and $87.6 million for the three and nine months ended September 30, 2020, respectively. This includes not only the impact of tenants recognized on a cash basis but also changes in our collectibility assessments from probable to not probable, disputed rents, and any rent abatements directly related to COVID-19. As of September 30, 2021, the revenue from approximately 35% of our tenants (based on total commercial leases) is being recognized on a cash basis.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8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believe that the actions we have taken to improve our financial position and maximize our liquidity, as described further in the “Management’s Discussion and Analysis of Financial Condition and Results of Operations” in our 2020 Annual Report on </w:t>
      </w:r>
      <w:hyperlink r:id="rId31">
        <w:r>
          <w:rPr>
            <w:rFonts w:ascii="Arial" w:cs="Arial" w:eastAsia="Arial" w:hAnsi="Arial"/>
            <w:sz w:val="18"/>
            <w:szCs w:val="18"/>
            <w:u w:val="single" w:color="auto"/>
            <w:color w:val="0000FF"/>
          </w:rPr>
          <w:t>Form 10-K</w:t>
        </w:r>
      </w:hyperlink>
      <w:r>
        <w:rPr>
          <w:rFonts w:ascii="Arial" w:cs="Arial" w:eastAsia="Arial" w:hAnsi="Arial"/>
          <w:sz w:val="18"/>
          <w:szCs w:val="18"/>
          <w:color w:val="auto"/>
        </w:rPr>
        <w:t>, will continue to mitigate the impact to our cash flow caused by tenants not timely paying contractual rent.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See further discussion of the impact of COVID-19 on our business throughout Item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Business Continuity</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12529"/>
        </w:rPr>
        <w:t>We transitioned our entire workforce to remote work in March 2020 with the exception of those employees who were critical to providing the necessary day-to-day property management functions required to keep our properties open and operating for essential businesses such as grocery stores and drug stores, and a few employees who were needed to carry out critical corporate functions. All of our corporate offices have reopened, and we have transitioned to a hybrid work model. We have not laid off, furloughed, or terminated any employees nor have we modified the compensation of any of our employees as a result of COVID-19, and the transition to a hybrid work model has not had any material adverse impacts on our financial reporting systems, our internal controls, or disclosure controls and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ind w:right="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the critical accounting policies disclosed in “Management’s Discussion and Analysis of Financial Condition and Results of Operations” in our 2020 Annual Report on </w:t>
      </w:r>
      <w:hyperlink r:id="rId31">
        <w:r>
          <w:rPr>
            <w:rFonts w:ascii="Arial" w:cs="Arial" w:eastAsia="Arial" w:hAnsi="Arial"/>
            <w:sz w:val="18"/>
            <w:szCs w:val="18"/>
            <w:u w:val="single" w:color="auto"/>
            <w:color w:val="0000FF"/>
          </w:rPr>
          <w:t>Form 10-K</w:t>
        </w:r>
      </w:hyperlink>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 and Disposition</w:t>
      </w:r>
    </w:p>
    <w:p>
      <w:pPr>
        <w:spacing w:after="0" w:line="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January 4, 2021, we acquired our partner's 20% interest in our joint venture arrangement related to the Pike &amp; Rose hotel for $2.3 million, and repaid the $31.5 million mortgage loan encumbering the hotel. As a result of the transaction, we gained control of the hotel, and effective January 4, 2021, we have consolidated the asset. We also recognized a gain on acquisition of the controlling interest of $2.1 million related to the difference between the carrying value and fair value of the previously held equity interest.</w:t>
      </w:r>
    </w:p>
    <w:p>
      <w:pPr>
        <w:spacing w:after="0" w:line="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February 22, 2021, we acquired the fee interest at our Mount Vernon Plaza property in Alexandria, Virginia for $5.6 million. As a result of this transaction, the "operating lease right of use assets" and "operating lease liabilities" on our consolidated balance sheet decreased by $9.8 million. We now own the entire fee interest on this property.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On March 19, 2021, we sold a portion of Graham Park Plaza in Falls Church, Virginia for $20.3 million, resulting in a gain on sale of $15.6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 we acquired the following properties: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Date Acquired</w:t>
            </w:r>
          </w:p>
        </w:tc>
        <w:tc>
          <w:tcPr>
            <w:tcW w:w="2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Property</w:t>
            </w:r>
          </w:p>
        </w:tc>
        <w:tc>
          <w:tcPr>
            <w:tcW w:w="1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City/State</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Gross Leasable</w:t>
            </w:r>
          </w:p>
        </w:tc>
        <w:tc>
          <w:tcPr>
            <w:tcW w:w="14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Ownership %</w:t>
            </w:r>
          </w:p>
        </w:tc>
        <w:tc>
          <w:tcPr>
            <w:tcW w:w="140" w:type="dxa"/>
            <w:vAlign w:val="bottom"/>
          </w:tcPr>
          <w:p>
            <w:pPr>
              <w:spacing w:after="0"/>
              <w:rPr>
                <w:sz w:val="18"/>
                <w:szCs w:val="18"/>
                <w:color w:val="auto"/>
              </w:rPr>
            </w:pPr>
          </w:p>
        </w:tc>
        <w:tc>
          <w:tcPr>
            <w:tcW w:w="116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89"/>
              </w:rPr>
              <w:t>Gross Value</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2"/>
            <w:vMerge w:val="continue"/>
          </w:tcPr>
          <w:p>
            <w:pPr>
              <w:spacing w:after="0"/>
              <w:rPr>
                <w:sz w:val="19"/>
                <w:szCs w:val="19"/>
                <w:color w:val="auto"/>
              </w:rPr>
            </w:pPr>
          </w:p>
        </w:tc>
        <w:tc>
          <w:tcPr>
            <w:tcW w:w="2720" w:type="dxa"/>
            <w:vAlign w:val="bottom"/>
            <w:gridSpan w:val="2"/>
            <w:vMerge w:val="continue"/>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Area (GLA)</w:t>
            </w:r>
          </w:p>
        </w:tc>
        <w:tc>
          <w:tcPr>
            <w:tcW w:w="14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square feet)</w:t>
            </w: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Chesterbrook (1)</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McLean, Virginia</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June 1, 2021</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Grossmont Center (1)</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La Mesa, California</w:t>
            </w:r>
          </w:p>
        </w:tc>
        <w:tc>
          <w:tcPr>
            <w:tcW w:w="1380" w:type="dxa"/>
            <w:vAlign w:val="bottom"/>
          </w:tcPr>
          <w:p>
            <w:pPr>
              <w:jc w:val="right"/>
              <w:spacing w:after="0"/>
              <w:rPr>
                <w:sz w:val="20"/>
                <w:szCs w:val="20"/>
                <w:color w:val="auto"/>
              </w:rPr>
            </w:pPr>
            <w:r>
              <w:rPr>
                <w:rFonts w:ascii="Arial" w:cs="Arial" w:eastAsia="Arial" w:hAnsi="Arial"/>
                <w:sz w:val="18"/>
                <w:szCs w:val="18"/>
                <w:color w:val="auto"/>
              </w:rPr>
              <w:t>933,000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14,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Camelback Colonnade (1)</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Phoenix, Arizona</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June 14, 2021</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Hilton Village (1)</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Scottsdale, Arizona</w:t>
            </w:r>
          </w:p>
        </w:tc>
        <w:tc>
          <w:tcPr>
            <w:tcW w:w="1380" w:type="dxa"/>
            <w:vAlign w:val="bottom"/>
          </w:tcPr>
          <w:p>
            <w:pPr>
              <w:jc w:val="right"/>
              <w:spacing w:after="0"/>
              <w:rPr>
                <w:sz w:val="20"/>
                <w:szCs w:val="20"/>
                <w:color w:val="auto"/>
              </w:rPr>
            </w:pPr>
            <w:r>
              <w:rPr>
                <w:rFonts w:ascii="Arial" w:cs="Arial" w:eastAsia="Arial" w:hAnsi="Arial"/>
                <w:sz w:val="18"/>
                <w:szCs w:val="18"/>
                <w:color w:val="auto"/>
              </w:rPr>
              <w:t>93,000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Twinbrooke Shopping Centre</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Fairfax, Virginia</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20" w:hanging="332"/>
        <w:spacing w:after="0" w:line="258"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acquisitions were completed through newly formed joint ventures, for which we own the controlling interest listed above, and therefore, these properties are consolidated in our financial statements.</w:t>
      </w:r>
    </w:p>
    <w:p>
      <w:pPr>
        <w:spacing w:after="0" w:line="1" w:lineRule="exact"/>
        <w:rPr>
          <w:rFonts w:ascii="Arial" w:cs="Arial" w:eastAsia="Arial" w:hAnsi="Arial"/>
          <w:sz w:val="18"/>
          <w:szCs w:val="18"/>
          <w:color w:val="auto"/>
        </w:rPr>
      </w:pPr>
    </w:p>
    <w:p>
      <w:pPr>
        <w:ind w:left="340" w:right="60" w:hanging="332"/>
        <w:spacing w:after="0" w:line="250"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$1.9 million and $0.6 million of net assets acquired were allocated to other assets for "acquired lease costs" and "above market leases," respectively, and $8.0 million of net assets acquired were allocated to other liabilities for "below market leases."</w:t>
      </w:r>
    </w:p>
    <w:p>
      <w:pPr>
        <w:ind w:left="340" w:right="560" w:hanging="332"/>
        <w:spacing w:after="0" w:line="273" w:lineRule="auto"/>
        <w:tabs>
          <w:tab w:leader="none" w:pos="334" w:val="left"/>
        </w:tabs>
        <w:numPr>
          <w:ilvl w:val="0"/>
          <w:numId w:val="8"/>
        </w:numPr>
        <w:rPr>
          <w:rFonts w:ascii="Arial" w:cs="Arial" w:eastAsia="Arial" w:hAnsi="Arial"/>
          <w:sz w:val="17"/>
          <w:szCs w:val="17"/>
          <w:color w:val="auto"/>
        </w:rPr>
      </w:pPr>
      <w:r>
        <w:rPr>
          <w:rFonts w:ascii="Arial" w:cs="Arial" w:eastAsia="Arial" w:hAnsi="Arial"/>
          <w:sz w:val="17"/>
          <w:szCs w:val="17"/>
          <w:color w:val="auto"/>
        </w:rPr>
        <w:t>Approximately $12.3 million and $2.6 million of net assets acquired were allocated to other assets for "acquired lease costs" and "above market leases," respectively, and $14.7 million of net assets acquired were allocated to other liabilities for "below market leases."</w:t>
      </w:r>
    </w:p>
    <w:p>
      <w:pPr>
        <w:ind w:left="340" w:right="240" w:hanging="332"/>
        <w:spacing w:after="0" w:line="265"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$11.6 million of net assets acquired were allocated to other assets for "acquired lease costs"and $28.3 million were allocated to other liabilities for "below market leases."</w:t>
      </w:r>
    </w:p>
    <w:p>
      <w:pPr>
        <w:spacing w:after="0" w:line="1" w:lineRule="exact"/>
        <w:rPr>
          <w:rFonts w:ascii="Arial" w:cs="Arial" w:eastAsia="Arial" w:hAnsi="Arial"/>
          <w:sz w:val="18"/>
          <w:szCs w:val="18"/>
          <w:color w:val="auto"/>
        </w:rPr>
      </w:pPr>
    </w:p>
    <w:p>
      <w:pPr>
        <w:ind w:left="340" w:right="40" w:hanging="332"/>
        <w:spacing w:after="0" w:line="263"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land is controlled under a long-term ground lease that expires on December 31, 2076, for which we have recorded a $10.4 million "operating lease right of use asset" (net of a $1.3 million above market liability) and an $11.6 million "operating lease liability." Approximately $2.7 million and $1.1 million of net assets acquired were allocated to other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"acquired lease costs" and "above market leases," respectively, and $3.6 million were allocated to other liabilities for "below market leases."</w:t>
      </w:r>
    </w:p>
    <w:p>
      <w:pPr>
        <w:spacing w:after="0" w:line="48" w:lineRule="exact"/>
        <w:rPr>
          <w:sz w:val="20"/>
          <w:szCs w:val="20"/>
          <w:color w:val="auto"/>
        </w:rPr>
      </w:pPr>
    </w:p>
    <w:p>
      <w:pPr>
        <w:ind w:left="340" w:right="60" w:hanging="332"/>
        <w:spacing w:after="0" w:line="277"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$0.8 million and $0.3 million of net assets acquired were allocated to other assets for "acquired lease costs" and "above market leases," respectively, and $2.7 million of net assets acquired were allocated to other liabilities for "below market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Debt and Equity Transactions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24, 2021, we replaced our existing at-the-market (“ATM”) equity program with a new ATM equity program in which we may from time to time offer and sell common shares having an aggregate offering price of up to $500.0 million. On May 7, 2021, we amended this ATM equity program, which reset the limit to $500.0 million. The new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6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For the nine months ended September 30, 2021, we issued 847,471 common shares at a weighted average price per share of $104.19 for net cash proceeds of $87.1 million including paying $0.9 million in commissions and $0.4 million in additional offering expenses related to the sales of common shares. We also entered into forward sales contracts for the three and nine months ended September 30, 2021 for 822,678 and 2,348,729 shares, respectively, under our ATM equity program at a weighted average offering price of $121.18 and $117.36, respectively. The forward price that we will receive upon physical settlement of the agreements is subject to the adjustment for (i) commissions, (ii) a floating interest rate factor equal to a specified daily rate less a spread,</w:t>
      </w:r>
    </w:p>
    <w:p>
      <w:pPr>
        <w:spacing w:after="0" w:line="2" w:lineRule="exact"/>
        <w:rPr>
          <w:sz w:val="20"/>
          <w:szCs w:val="20"/>
          <w:color w:val="auto"/>
        </w:rPr>
      </w:pPr>
    </w:p>
    <w:p>
      <w:pPr>
        <w:ind w:right="200" w:firstLine="8"/>
        <w:spacing w:after="0" w:line="255"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forward purchasers' stock borrowing costs and (iv) scheduled dividends during the term of the forward sale agreements. The open forward shares may be settled at any time on or before multiple required settlement dates ranging from March 2022 to September 2022. We have remaining capacity to issue up to $260.0 million in common shares under our ATM equity program as of September 30, 2021.</w:t>
      </w:r>
    </w:p>
    <w:p>
      <w:pPr>
        <w:spacing w:after="0" w:line="6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April 16, 2021, we repaid $100.0 million of our existing $400.0 million term loan, amended the agreement on the remaining $300.0 million to lower the current spread over LIBOR from 135 basis points to 80 basis points based on our current credit rating, and extended the initial maturity date to April 16, 2024, along with two one-year extensions, at our option.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 2021, we repaid the following mortgage loans, at par, prior to their original maturity date: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w:t>
            </w: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Repayment Date</w:t>
            </w:r>
          </w:p>
        </w:tc>
        <w:tc>
          <w:tcPr>
            <w:tcW w:w="280" w:type="dxa"/>
            <w:vAlign w:val="bottom"/>
          </w:tcPr>
          <w:p>
            <w:pPr>
              <w:spacing w:after="0"/>
              <w:rPr>
                <w:sz w:val="20"/>
                <w:szCs w:val="20"/>
                <w:color w:val="auto"/>
              </w:rPr>
            </w:pPr>
          </w:p>
        </w:tc>
        <w:tc>
          <w:tcPr>
            <w:tcW w:w="1500" w:type="dxa"/>
            <w:vAlign w:val="bottom"/>
          </w:tcPr>
          <w:p>
            <w:pPr>
              <w:jc w:val="right"/>
              <w:ind w:right="452"/>
              <w:spacing w:after="0"/>
              <w:rPr>
                <w:sz w:val="20"/>
                <w:szCs w:val="20"/>
                <w:color w:val="auto"/>
              </w:rPr>
            </w:pPr>
            <w:r>
              <w:rPr>
                <w:rFonts w:ascii="Arial" w:cs="Arial" w:eastAsia="Arial" w:hAnsi="Arial"/>
                <w:sz w:val="18"/>
                <w:szCs w:val="18"/>
                <w:b w:val="1"/>
                <w:bCs w:val="1"/>
                <w:color w:val="auto"/>
              </w:rPr>
              <w:t>Principal</w:t>
            </w:r>
          </w:p>
        </w:tc>
      </w:tr>
      <w:tr>
        <w:trPr>
          <w:trHeight w:val="207"/>
        </w:trPr>
        <w:tc>
          <w:tcPr>
            <w:tcW w:w="7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Sylmar Towne Center</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5,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Plaza Del Sol</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September 1, 2021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Montrose Crossing</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12,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3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The AVENUE at White Marsh</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November 2, 2021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52.7</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Certain external and internal costs directly related to the development, redevelopment and leasing of real estate, including pre-construction costs, real estate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taxes, insurance, construction costs and salaries and related costs of personnel directly involved, are capitalized. We capitalized certain external and internal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related to both development and redevelopment activities of $276 million and $7 million for the nine months ended September 30, 2021, and $311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$7 million for the nine months ended September 30, 2020. We capitalized external and internal costs related to other property improvements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$44 million and $3 million, respectively, for the nine months ended September 30, 2021, and $44 million and $2 million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 We capitalized external and internal costs related to leasing activities of $11 million and $2 million, respectively, for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2021, and $8 million and $2 million, respectively, for the nine months ended September 30, 2020. The amount of capitalized internal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for salaries and related benefits for development and redevelopment activities, other property improvements, and leasing activities were $7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 million, and $2 million for both the nine months ended September 30, 2021 and 2020. Total capitalized costs were $343 million and $374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2021 and 2020,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Our long-term growth strategy is focused on growth in earnings, funds from operations, and cash flows primarily through a combination of the following:</w:t>
      </w:r>
    </w:p>
    <w:p>
      <w:pPr>
        <w:spacing w:after="0" w:line="86" w:lineRule="exact"/>
        <w:rPr>
          <w:sz w:val="20"/>
          <w:szCs w:val="20"/>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growth in our portfolio from property developments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3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While the ongoing COVID-19 pandemic is impacting us in the short-term, our long-term focus has not changed. See our 10-K filed on February 11, 2021, for discussion of our long-term strategies.</w:t>
      </w:r>
    </w:p>
    <w:p>
      <w:pPr>
        <w:spacing w:after="0" w:line="197" w:lineRule="exact"/>
        <w:rPr>
          <w:sz w:val="20"/>
          <w:szCs w:val="20"/>
          <w:color w:val="auto"/>
        </w:rPr>
      </w:pPr>
    </w:p>
    <w:p>
      <w:pPr>
        <w:spacing w:after="0" w:line="284" w:lineRule="auto"/>
        <w:rPr>
          <w:sz w:val="20"/>
          <w:szCs w:val="20"/>
          <w:color w:val="auto"/>
        </w:rPr>
      </w:pPr>
      <w:r>
        <w:rPr>
          <w:rFonts w:ascii="Arial" w:cs="Arial" w:eastAsia="Arial" w:hAnsi="Arial"/>
          <w:sz w:val="16"/>
          <w:szCs w:val="16"/>
          <w:color w:val="212529"/>
        </w:rPr>
        <w:t xml:space="preserve">Federal, state, and local governments have taken various actions to mitigate the spread of COVID-19, including initially ordering closures of non-essential businesses and ordering residents to generally stay at home. While many of these restrictions have since been lifted, they required a significant number of tenants to close their operations or to significantly limit the amount of business they were able to conduct in their stores. These closures and restrictions, along with general concerns over the spread of COVID-19 have impacted the tenants' ability to timely pay rent as required under our leases and also caused many tenants to close their business permanently. While we are seeing signs of considerable improvement, these economic hardships have adversely impacted our business, and continue to have a negative effect on our financial results during the third quarter of </w:t>
      </w:r>
      <w:r>
        <w:rPr>
          <w:rFonts w:ascii="Arial" w:cs="Arial" w:eastAsia="Arial" w:hAnsi="Arial"/>
          <w:sz w:val="16"/>
          <w:szCs w:val="16"/>
          <w:color w:val="000000"/>
        </w:rPr>
        <w:t>2021</w:t>
      </w:r>
      <w:r>
        <w:rPr>
          <w:rFonts w:ascii="Arial" w:cs="Arial" w:eastAsia="Arial" w:hAnsi="Arial"/>
          <w:sz w:val="16"/>
          <w:szCs w:val="16"/>
          <w:color w:val="212529"/>
        </w:rPr>
        <w:t xml:space="preserve">. With very few exceptions, our leases require tenants to continue to pay rent even while closed as a result of the pandemic, and while many tenants did not pay rents and other charges during a portion of 2020, the majority of our tenants have resumed paying all or a portion of their rent and/or other charges as their businesses were able to reopen. Our percentage of contractual rent actually collected has continued to increase since the low point in April 2020, including some tenants paying past due amounts. As of </w:t>
      </w:r>
      <w:r>
        <w:rPr>
          <w:rFonts w:ascii="Arial" w:cs="Arial" w:eastAsia="Arial" w:hAnsi="Arial"/>
          <w:sz w:val="16"/>
          <w:szCs w:val="16"/>
          <w:color w:val="000000"/>
        </w:rPr>
        <w:t>September 30, 2021</w:t>
      </w:r>
      <w:r>
        <w:rPr>
          <w:rFonts w:ascii="Arial" w:cs="Arial" w:eastAsia="Arial" w:hAnsi="Arial"/>
          <w:sz w:val="16"/>
          <w:szCs w:val="16"/>
          <w:color w:val="212529"/>
        </w:rPr>
        <w:t xml:space="preserve">, we have entered into agreements with approximately 32% of our tenants (based on total commercial leases) to defer rent payments to later periods, largely throughout the remainder of 2021 and into 2022, although some extend beyond, and negotiations with other tenants are still ongoing. While increasing monthly cash collection rates is a positive trend driven by government mandated restrictions generally being lifted, we expect that our rent collections will continue to be below our tenants’ contractual rent obligations and historical levels through at least the end of 2021, which will continue to adversely impact our results of operations. We are also experiencing a lower level of occupancy than in our past, largely due to the pandemic, which will adversely impact our results until we can release the space and the tenant commences paying rent as well as limit future vacancies caused by the pandemic. We are, however, experiencing strong demand for our commercial space as evidenced by the </w:t>
      </w:r>
      <w:r>
        <w:rPr>
          <w:rFonts w:ascii="Arial" w:cs="Arial" w:eastAsia="Arial" w:hAnsi="Arial"/>
          <w:sz w:val="16"/>
          <w:szCs w:val="16"/>
          <w:color w:val="000000"/>
        </w:rPr>
        <w:t>1.5 million</w:t>
      </w:r>
      <w:r>
        <w:rPr>
          <w:rFonts w:ascii="Arial" w:cs="Arial" w:eastAsia="Arial" w:hAnsi="Arial"/>
          <w:sz w:val="16"/>
          <w:szCs w:val="16"/>
          <w:color w:val="212529"/>
        </w:rPr>
        <w:t xml:space="preserve"> square feet of comparable space retail leasing we've completed so far in 2021, as well as our overall leased percentage at 92.8%, compared to our occupied percentage of only 90.2%. We have begun to see impacts of overall supply chain disruptions affecting the broader economy, including significantly longer lead times, limited availability, and increased costs for certain construction and other materials that support our development and redevelopment activities. If disruptions continue to worsen, they could result in extended timeframes and/or increased costs for completion of our projects and tenant build-outs, which could delay the commencement of rent payments under new leases. Similarly, if our tenants experience significant disruptions in supply chains supporting their own products, or staffing issues due to labor shortages, their ability to pay rent may be adversely affected. We continue to monitor these macroeconomic developments and are working with our tenants and our vendors to limit the overall impact to our business.</w:t>
      </w:r>
    </w:p>
    <w:p>
      <w:pPr>
        <w:spacing w:after="0" w:line="20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12529"/>
        </w:rPr>
        <w:t xml:space="preserve">The extent of the impact from COVID-19 will depend on future developments, which are highly uncertain and cannot be predicted. Depending upon the duration of tenant closures, future operating restrictions, and the overall economic downturn resulting from COVID-19, we may find that even deferred rents are difficult to collect, and we may experience higher vacancy levels. </w:t>
      </w:r>
      <w:r>
        <w:rPr>
          <w:rFonts w:ascii="Arial" w:cs="Arial" w:eastAsia="Arial" w:hAnsi="Arial"/>
          <w:sz w:val="17"/>
          <w:szCs w:val="17"/>
          <w:color w:val="000000"/>
        </w:rPr>
        <w:t>While the duration and severity of the economic impact resulting from COVID-19 is unknown, we seek to position the Trust to continue to participate in the resulting economic recovery.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have several development projects in process being delivered as follows:</w:t>
      </w:r>
    </w:p>
    <w:p>
      <w:pPr>
        <w:spacing w:after="0" w:line="23" w:lineRule="exact"/>
        <w:rPr>
          <w:sz w:val="20"/>
          <w:szCs w:val="20"/>
          <w:color w:val="auto"/>
        </w:rPr>
      </w:pPr>
    </w:p>
    <w:p>
      <w:pPr>
        <w:ind w:left="660" w:right="20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first phase of construction on Santana West includes an eight story 376,000 square foot office building, with over 1,700 parking spaces. The building is expected to cost between $250 million and $270 million with openings expected to begin in 2022.</w:t>
      </w:r>
    </w:p>
    <w:p>
      <w:pPr>
        <w:ind w:left="660" w:right="1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III of Assembly Row includes 277,000 square feet of office space, 56,000 square feet of retail space, 500 residential units, and over 800 additional parking spaces. The expected costs for Phase III are between $465 million and $485 million, with spaces being delivered beginning in the second quarter of 2021. At September 30, 2021, 150,000 square feet of office space has been delivered, 367 units in the residential building have been delivered, and 23,000 square feet of retail space has opened.</w:t>
      </w:r>
    </w:p>
    <w:p>
      <w:pPr>
        <w:spacing w:after="0" w:line="1" w:lineRule="exact"/>
        <w:rPr>
          <w:rFonts w:ascii="Arial" w:cs="Arial" w:eastAsia="Arial" w:hAnsi="Arial"/>
          <w:sz w:val="18"/>
          <w:szCs w:val="18"/>
          <w:color w:val="auto"/>
        </w:rPr>
      </w:pPr>
    </w:p>
    <w:p>
      <w:pPr>
        <w:ind w:left="660" w:right="26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III at Pike &amp; Rose includes a 212,000 square foot office building (which includes 7,000 square feet of ground floor retail space) and over 600 additional parking spaces. The building is expected to cost between $128 million and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660" w:right="160"/>
        <w:spacing w:after="0" w:line="258" w:lineRule="auto"/>
        <w:rPr>
          <w:sz w:val="20"/>
          <w:szCs w:val="20"/>
          <w:color w:val="auto"/>
        </w:rPr>
      </w:pPr>
      <w:r>
        <w:rPr>
          <w:rFonts w:ascii="Arial" w:cs="Arial" w:eastAsia="Arial" w:hAnsi="Arial"/>
          <w:sz w:val="18"/>
          <w:szCs w:val="18"/>
          <w:color w:val="auto"/>
        </w:rPr>
        <w:t>$135 million. At September 30, 2021, approximately 185,000 square feet has been leased, of which approximately 45,000 square feet is our new corporate headquarters.</w:t>
      </w:r>
    </w:p>
    <w:p>
      <w:pPr>
        <w:spacing w:after="0" w:line="1" w:lineRule="exact"/>
        <w:rPr>
          <w:sz w:val="20"/>
          <w:szCs w:val="20"/>
          <w:color w:val="auto"/>
        </w:rPr>
      </w:pPr>
    </w:p>
    <w:p>
      <w:pPr>
        <w:ind w:left="660" w:right="20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Throughout the portfolio, we currently have redevelopment projects underway with a projected total cost of approximately $313 million that we expect to stabilize over the next several years.</w:t>
      </w:r>
    </w:p>
    <w:p>
      <w:pPr>
        <w:spacing w:after="0" w:line="21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above includes our best estimates based on information currently known, however, the completion of construction, final costs, and the timing of leasing and openings will be dependent upon the duration of governmental restrictions and the duration and severity of the economic impacts of COVID-19.</w:t>
      </w:r>
    </w:p>
    <w:p>
      <w:pPr>
        <w:spacing w:after="0" w:line="13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9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assumed mortgages and property sales.</w:t>
      </w:r>
    </w:p>
    <w:p>
      <w:pPr>
        <w:spacing w:after="0" w:line="12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September 30, 2021, the leasable square feet in our properties was 92.8% leased and 90.2%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10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For the third quarter of 2021, we signed leases for a total of 482,000 square feet of retail space including 430,000 square feet of comparable space leases (leases for which there was a prior tenant) at an average rental increase of 7% on a cash basis. New leases for comparable spaces were signed for 220,000 square feet at an average rental increase of 7% on a cash basis. Renewals for comparable spaces were signed for 211,000 square feet at a 6% average rental increase on a cash basis. Tenant improvements and incentives for comparable spaces were $35.36 per square foot, of which, $65.22 per square foot was for new leases and $4.23 per square foot was for renewals for the three months ended September 30, 2021.</w:t>
      </w:r>
    </w:p>
    <w:p>
      <w:pPr>
        <w:spacing w:after="0" w:line="2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For the nine months ended September 30, 2021, we signed leases for a total of 1,573,000 square feet of retail space including 1,495,000 square feet of comparable space leases (leases for which there was a prior tenant) at an average rental increase of 8% on a cash basis. New leases for comparable spaces were signed for 854,000 square feet at an average rental increase of 12% on a cash basis. Renewals for comparable spaces were signed for 641,000 square feet at an average rental increase of 3% on a cash basis. Tenant improvements and incentives for comparable spaces were $40.23 per square foot, of which, $67.00 per square foot was for new leases and $4.55 per square foot was for renewals for the nine months ended September 30, 2021.</w:t>
      </w:r>
    </w:p>
    <w:p>
      <w:pPr>
        <w:spacing w:after="0" w:line="10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rental increases associated with comparable spaces generally include all leases signed for retail space in arms-length transactions reflecting market leverage between landlords and tenants during the period. The comparison between average rent for expiring leases and new leases is determined by including contractual rent on the expiring lease and annual market rent and in some instances, projections of percentage rent, to be paid on the new lease. In atypical circumstances, management may exercise judgment as to how to most effectively reflect the comparability of spaces reported in this calculation. As a result of accommodations made to certain tenants to help them to stay open during and after the COVID-19 pandemic, we have found it necessary to exercise more judgement in 2020 and 2021 than in prior years in order to appropriately reflect the comparability of spaces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inducement to sign a lease that do not represent building improvements.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Historically, we have executed comparable space leases for 1.3 to 1.9 million square feet of retail space each year. Given the significant volume of leasing we've achieved during the first nine months of 2021, we expect the overall volume in 2021 to be at the high end, or potentially exceed, our historical averages given a larger amount of vacancy as a result of COVID-19. We expect some rental rates to continue to be negatively impacted by the COVID-19 pandemic.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leases signed in 2021 generally become effective over the following two years though some may not become effective until 2024 and beyond. Further, there is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1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nine months ended September 30, 2021, all or a portion of 97 properties were considered comparable properties and seven properties were considered non-comparable properties. For the three months ended September 30, 2021, one property was moved from comparable to non-comparable properties. For the nine months ended September 30, 2021, two portions of properties were moved from non-comparable properties to comparable properties, one property and two portions of properties were moved from acquisitions to comparable properties, one property was moved from comparable to non-comparable, and one portion of a property was removed from non-comparable properties, as it was sold, compared to the designations as of December 31, 2020.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SEPTEMBER 30, 2021 AND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188"/>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Dollars</w:t>
            </w: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w:t>
            </w:r>
          </w:p>
        </w:tc>
      </w:tr>
      <w:tr>
        <w:trPr>
          <w:trHeight w:val="183"/>
        </w:trPr>
        <w:tc>
          <w:tcPr>
            <w:tcW w:w="6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920" w:type="dxa"/>
            <w:vAlign w:val="bottom"/>
          </w:tcPr>
          <w:p>
            <w:pPr>
              <w:spacing w:after="0"/>
              <w:rPr>
                <w:sz w:val="15"/>
                <w:szCs w:val="15"/>
                <w:color w:val="auto"/>
              </w:rPr>
            </w:pPr>
          </w:p>
        </w:tc>
      </w:tr>
      <w:tr>
        <w:trPr>
          <w:trHeight w:val="231"/>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247,024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39,614</w:t>
            </w: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19.1 %</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 interest income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(67.0)%</w:t>
            </w:r>
          </w:p>
        </w:tc>
      </w:tr>
      <w:tr>
        <w:trPr>
          <w:trHeight w:val="223"/>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revenue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247,284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39,087</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18.8 %</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7,486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17.9 %</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taxes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property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9.0 %</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operating income (1)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32,592</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(2,945)</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31.6 %</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(57,218)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57,218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3"/>
        </w:trPr>
        <w:tc>
          <w:tcPr>
            <w:tcW w:w="6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85,573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81,885</w:t>
            </w:r>
          </w:p>
        </w:tc>
        <w:tc>
          <w:tcPr>
            <w:tcW w:w="5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2,220.3 %</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Other interest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partnerships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169.6 %</w:t>
            </w:r>
          </w:p>
        </w:tc>
      </w:tr>
      <w:tr>
        <w:trPr>
          <w:trHeight w:val="223"/>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54,541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88,164</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262.2 %</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145.4 %</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Net income (loss) attributable to the Trust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80,411</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284.2 %</w:t>
            </w:r>
          </w:p>
        </w:tc>
      </w:tr>
      <w:tr>
        <w:trPr>
          <w:trHeight w:val="21"/>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140" w:hanging="332"/>
        <w:spacing w:after="0" w:line="301" w:lineRule="auto"/>
        <w:tabs>
          <w:tab w:leader="none" w:pos="334"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September 30, 2021 and 2020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2020</w:t>
            </w:r>
          </w:p>
        </w:tc>
      </w:tr>
      <w:tr>
        <w:trPr>
          <w:trHeight w:val="187"/>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r>
      <w:tr>
        <w:trPr>
          <w:trHeight w:val="231"/>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9,308</w:t>
            </w:r>
          </w:p>
        </w:tc>
      </w:tr>
      <w:tr>
        <w:trPr>
          <w:trHeight w:val="230"/>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65,631</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57,218</w:t>
            </w:r>
          </w:p>
        </w:tc>
      </w:tr>
      <w:tr>
        <w:trPr>
          <w:trHeight w:val="248"/>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operating income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135,845</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10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Total property revenue increased $39.1 million, or 18.8%, to $247.3 million in the three months ended September 30, 2021 compared to $208.2 million in the three months ended September 30, 2020. The percentage occupied at our shopping centers was 90.2% and 90.0% at September 30, 2021 and 2020, respectively. The most significant driver of the increase in property revenues is the generally lifted COVID-19 restrictions during the three months ended September 30, 2021, as compared to the three months ended September 30, 2020, when COVID-19 government imposed closures and restrictions were still in effect. Changes in the components of property revenue are discussed below.</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1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and is net of collectibility related adjustments. Rental income increased $39.6 million, or 19.1%, to $247.0 million in the three months ended September 30, 2021 compared to $207.4 million in the three months ended September 30, 2020 due primarily to the following:</w:t>
      </w:r>
    </w:p>
    <w:p>
      <w:pPr>
        <w:spacing w:after="0" w:line="22" w:lineRule="exact"/>
        <w:rPr>
          <w:sz w:val="20"/>
          <w:szCs w:val="20"/>
          <w:color w:val="auto"/>
        </w:rPr>
      </w:pPr>
    </w:p>
    <w:p>
      <w:pPr>
        <w:ind w:left="1140" w:right="220" w:hanging="241"/>
        <w:spacing w:after="0" w:line="277" w:lineRule="auto"/>
        <w:tabs>
          <w:tab w:leader="none" w:pos="1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$28.8 million decrease in collectibility related impacts including rent abatements across all properties primarily due to higher collection rates in the third quarter of 2021, and moving a large number of tenants from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accrual basis to cash basis in the third quarter of 2020 as tenants begin to recover from the initial impacts of COVID-19 during 2021,</w:t>
      </w:r>
    </w:p>
    <w:p>
      <w:pPr>
        <w:spacing w:after="0" w:line="75" w:lineRule="exact"/>
        <w:rPr>
          <w:sz w:val="20"/>
          <w:szCs w:val="20"/>
          <w:color w:val="auto"/>
        </w:rPr>
      </w:pPr>
    </w:p>
    <w:p>
      <w:pPr>
        <w:ind w:left="1140" w:hanging="241"/>
        <w:spacing w:after="0"/>
        <w:tabs>
          <w:tab w:leader="none" w:pos="11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increase of $13.6 million from acquisitions (see Note 3 to the consolidated financial statements for additional information), and</w:t>
      </w:r>
    </w:p>
    <w:p>
      <w:pPr>
        <w:spacing w:after="0" w:line="74" w:lineRule="exact"/>
        <w:rPr>
          <w:rFonts w:ascii="Arial" w:cs="Arial" w:eastAsia="Arial" w:hAnsi="Arial"/>
          <w:sz w:val="17"/>
          <w:szCs w:val="17"/>
          <w:color w:val="auto"/>
        </w:rPr>
      </w:pPr>
    </w:p>
    <w:p>
      <w:pPr>
        <w:ind w:left="1140" w:right="360" w:hanging="241"/>
        <w:spacing w:after="0" w:line="277" w:lineRule="auto"/>
        <w:tabs>
          <w:tab w:leader="none" w:pos="1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$5.9 million from non-comparable properties primarily driven by the opening of Phase III at Assembly Row in 2021 and redevelopment related occupancy increases at one of our properties,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line="259" w:lineRule="auto"/>
        <w:tabs>
          <w:tab w:leader="none" w:pos="1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$4.4 million from comparable properties primarily related to lower net termination fees and legal fee income of $4.5 million, a $3.0 million decrease in recoveries primarily related to real estate tax recoveries, and lower average occupancy of approximately $2.3 million, partially offset by higher percentage rent, specialty leasing, and parking income of $2.9 million primarily due to the impacts of COVID-19 related closures and restrictions in 2020 and higher rental rates of $1.6 million, and</w:t>
      </w:r>
    </w:p>
    <w:p>
      <w:pPr>
        <w:spacing w:after="0" w:line="24" w:lineRule="exact"/>
        <w:rPr>
          <w:rFonts w:ascii="Arial" w:cs="Arial" w:eastAsia="Arial" w:hAnsi="Arial"/>
          <w:sz w:val="18"/>
          <w:szCs w:val="18"/>
          <w:color w:val="auto"/>
        </w:rPr>
      </w:pPr>
    </w:p>
    <w:p>
      <w:pPr>
        <w:ind w:left="1140" w:hanging="241"/>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$4.1 million from 2020 property sales.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property expenses increased $6.5 million, or 9.0%, to $78.8 million in the three months ended September 30, 2021 compared to $72.4 million in the three months ended September 30, 2020. Changes in the components of property expenses are discussed below.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Rental expenses increased $7.5 million, or 17.9%, to $49.3 million in the three months ended September 30, 2021 compared to $41.8 million in the three months ended September 30, 2020. This increase is primarily due to the following:</w:t>
      </w:r>
    </w:p>
    <w:p>
      <w:pPr>
        <w:spacing w:after="0" w:line="8" w:lineRule="exact"/>
        <w:rPr>
          <w:sz w:val="20"/>
          <w:szCs w:val="20"/>
          <w:color w:val="auto"/>
        </w:rPr>
      </w:pPr>
    </w:p>
    <w:p>
      <w:pPr>
        <w:ind w:left="1140" w:right="420" w:hanging="241"/>
        <w:spacing w:after="0" w:line="277" w:lineRule="auto"/>
        <w:tabs>
          <w:tab w:leader="none" w:pos="11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$4.4 million from comparable properties due primarily to higher demolition costs, utilities, and repairs and maintenance costs, as 2020 had lower costs as a result of COVID-19 impacts, and higher insurance costs,</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$3.6 million from acquisitions,</w:t>
      </w:r>
    </w:p>
    <w:p>
      <w:pPr>
        <w:spacing w:after="0" w:line="63" w:lineRule="exact"/>
        <w:rPr>
          <w:rFonts w:ascii="Arial" w:cs="Arial" w:eastAsia="Arial" w:hAnsi="Arial"/>
          <w:sz w:val="18"/>
          <w:szCs w:val="18"/>
          <w:color w:val="auto"/>
        </w:rPr>
      </w:pPr>
    </w:p>
    <w:p>
      <w:pPr>
        <w:ind w:left="1140" w:right="380" w:hanging="241"/>
        <w:spacing w:after="0" w:line="277" w:lineRule="auto"/>
        <w:tabs>
          <w:tab w:leader="none" w:pos="11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$1.5 million from non-comparable properties driven by the opening of Phase III at Assembly Row in 2021, the Phase III office building at Pike &amp; Rose in 2020, and one of our redevelopments in late 2020,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$1.2 million from 2020 property sales.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decreased to 20.0% in the three months ended September 30, 2021 from 20.2% in the three months ended September 30,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Real estate tax expense decreased $1.0 million, or 3.2%, to $29.5 million in the three months ended September 30, 2021 compared to $30.5 million in the three months ended September 30, 2020. This decrease is primarily due the following:</w:t>
      </w:r>
    </w:p>
    <w:p>
      <w:pPr>
        <w:spacing w:after="0" w:line="8" w:lineRule="exact"/>
        <w:rPr>
          <w:sz w:val="20"/>
          <w:szCs w:val="20"/>
          <w:color w:val="auto"/>
        </w:rPr>
      </w:pPr>
    </w:p>
    <w:p>
      <w:pPr>
        <w:ind w:left="1140" w:right="80" w:hanging="241"/>
        <w:spacing w:after="0" w:line="277"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$2.2 million from comparable properties primarily due to lower assessments and a true-up of prior year supplemental taxes at one of our properties,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$0.7 million from 2020 property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$1.2 million from acquisitions,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$0.6 million from non-comparable properties due primarily to the opening of Phase III at Assembly Row.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Property operating income increased $32.6 million, or 24.0%, to $168.4 million in the three months ended September 30, 2021 compared to $135.8 million in the three months ended September 30, 2020. This increase is primarily due to the lifting of COVID-19 restrictions, which resulted in lower collectibility related adjustments, higher percentage rent, specialty leasing, and parking income compared to 2020. Also contributing to the increase were 2021 acquisitions, the opening of Phase III at Assembly Row in 2021, and redevelopment related occupancy increases at one of our properties, partially offset by lower net termination fees and legal fee income, lower average occupancy, and 2020 property sales.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General and administrative expense increased $2.9 million, or 31.6%, to $12.3 million in the three months ended September 30, 2021 from $9.3 million in the three months ended September 30, 2020. This increase is due primarily to higher personnel related costs.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expense increased $5.0 million, or 7.6%, to $70.6 million in the three months ended September 30, 2021 from $65.6 million in the three months ended September 30, 2020. This increase is due primarily to 2021 acquisitions, the opening of Phase III at Assembly Row and Pike &amp; Rose, and placing redevelopment properties into service, partially offset by 2020 property sales, and the write-off of lease related assets for vacating tenants in 2020.</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1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$57.2 million impairment charge for the three months ended September 30, 2020 relates to The Shops at Sunset Place. See further discussion in our Annual Report on Form 10-K for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Operating income increased $81.9 million to $85.6 million in the three months ended September 30, 2021 compared to $3.7 million in the three months ended September 30, 2020. This increase is primarily due to the prior year impairment charge related to The Shops at Sunset Place, the lifting of COVID-19 restrictions, which resulted in lower collectibility related adjustments, higher percentage rent, specialty leasing, and parking income compared to 2020. Also contributing to the increase were 2021 acquisitions, the opening of Phase III at Assembly Row in 2021, and redevelopment related occupancy increases at one of our properties, partially offset by lower net termination fees, lower average occupancy, 2020 property sales, and personnel related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expense decreased $4.0 million, or 11.0%, to $32.2 million in the three months ended September 30, 2021 compared to $36.2 million in the three months ended September 30, 2020. This decrease is due primarily to the following:</w:t>
      </w:r>
    </w:p>
    <w:p>
      <w:pPr>
        <w:spacing w:after="0" w:line="8" w:lineRule="exact"/>
        <w:rPr>
          <w:sz w:val="20"/>
          <w:szCs w:val="20"/>
          <w:color w:val="auto"/>
        </w:rPr>
      </w:pPr>
    </w:p>
    <w:p>
      <w:pPr>
        <w:ind w:left="1140" w:hanging="241"/>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$2.7 million due to lower weighted average borrowings, and</w:t>
      </w:r>
    </w:p>
    <w:p>
      <w:pPr>
        <w:spacing w:after="0" w:line="63" w:lineRule="exact"/>
        <w:rPr>
          <w:rFonts w:ascii="Arial" w:cs="Arial" w:eastAsia="Arial" w:hAnsi="Arial"/>
          <w:sz w:val="18"/>
          <w:szCs w:val="18"/>
          <w:color w:val="auto"/>
        </w:rPr>
      </w:pPr>
    </w:p>
    <w:p>
      <w:pPr>
        <w:ind w:left="580" w:right="4140" w:firstLine="319"/>
        <w:spacing w:after="0" w:line="313" w:lineRule="auto"/>
        <w:tabs>
          <w:tab w:leader="none" w:pos="11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$2.0 million due to a lower overall weighted average borrowing rate, partially offset by,</w:t>
      </w:r>
    </w:p>
    <w:p>
      <w:pPr>
        <w:ind w:left="1140" w:right="140" w:hanging="241"/>
        <w:spacing w:after="0" w:line="277" w:lineRule="auto"/>
        <w:tabs>
          <w:tab w:leader="none" w:pos="11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$0.7 million in capitalized interest, primarily attributable to portions of Phase III of Assembly Row and Pike &amp; Rose and the redevelopment of Cocowalk being placed into service, partially offset by the development of Santana West.</w:t>
      </w:r>
    </w:p>
    <w:p>
      <w:pPr>
        <w:spacing w:after="0" w:line="4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Gross interest costs were $37.4 million and $42.1 million in the three months ended September 30, 2021 and September 30, 2020, respectively. Capitalized interest was $5.2 million and $5.8 million for the three months ended September 30, 2021 and September 30, 2020, respectively.</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partnerships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from partnerships increased $2.8 million, or 169.6%, to $1.1 million in the three months ended September 30, 2021 compared to a loss of $1.6 million in the three months ended September 30, 2020. This increase is due primarily to the acquisition of the previously unconsolidated Pike &amp; Rose hotel joint venture in January 2021 and improved operating results at our restaurant joint ventures and at our Assembly Row hotel joint venture, largely the result of the easing of COVID-19 closures and restrictions.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9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Net (income) loss attributable to noncontrolling interests increased $7.8 million to income attributable of $2.4 million in the three months ended September 30, 2021 compared to loss attributable of $5.3 million in the three months ended September 30, 2020. The decrease is primarily due to The Shops at Sunset Place prior year impairment charge and 2021 acquisitions.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NINE MONTHS ENDED SEPTEMBER 30, 2021 AND 2020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188"/>
        </w:trPr>
        <w:tc>
          <w:tcPr>
            <w:tcW w:w="5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r>
      <w:tr>
        <w:trPr>
          <w:trHeight w:val="183"/>
        </w:trPr>
        <w:tc>
          <w:tcPr>
            <w:tcW w:w="5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4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 amounts in thousands)</w:t>
            </w:r>
          </w:p>
        </w:tc>
        <w:tc>
          <w:tcPr>
            <w:tcW w:w="900" w:type="dxa"/>
            <w:vAlign w:val="bottom"/>
          </w:tcPr>
          <w:p>
            <w:pPr>
              <w:spacing w:after="0"/>
              <w:rPr>
                <w:sz w:val="15"/>
                <w:szCs w:val="15"/>
                <w:color w:val="auto"/>
              </w:rPr>
            </w:pP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694,954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613,687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81,267</w:t>
            </w: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81,089</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141,474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122,561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18,913</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15.4 %</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17,002</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8.0 %</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operating income (1)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64,087</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(5,984)</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20.4 %</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(11,557)</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57,218</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49.2 %</w:t>
            </w: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137,725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109,510</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79.5 %</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(98,746)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3,235</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partnerships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23"/>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9,152</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118,662</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352.4 %</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(9,081)</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(274.8)%</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109,581</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296.3 %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340" w:right="140" w:hanging="332"/>
        <w:spacing w:after="0" w:line="301" w:lineRule="auto"/>
        <w:tabs>
          <w:tab w:leader="none" w:pos="334"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nine months ended September 30, 2021 and 2020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2020</w:t>
            </w:r>
          </w:p>
        </w:tc>
      </w:tr>
      <w:tr>
        <w:trPr>
          <w:trHeight w:val="187"/>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r>
      <w:tr>
        <w:trPr>
          <w:trHeight w:val="231"/>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247,235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137,725</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29,373</w:t>
            </w:r>
          </w:p>
        </w:tc>
      </w:tr>
      <w:tr>
        <w:trPr>
          <w:trHeight w:val="230"/>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190,603</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57,218</w:t>
            </w:r>
          </w:p>
        </w:tc>
      </w:tr>
      <w:tr>
        <w:trPr>
          <w:trHeight w:val="229"/>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(11,682)</w:t>
            </w:r>
          </w:p>
        </w:tc>
      </w:tr>
      <w:tr>
        <w:trPr>
          <w:trHeight w:val="223"/>
        </w:trPr>
        <w:tc>
          <w:tcPr>
            <w:tcW w:w="8740" w:type="dxa"/>
            <w:vAlign w:val="bottom"/>
          </w:tcPr>
          <w:p>
            <w:pPr>
              <w:ind w:left="20"/>
              <w:spacing w:after="0"/>
              <w:rPr>
                <w:sz w:val="20"/>
                <w:szCs w:val="20"/>
                <w:color w:val="auto"/>
              </w:rPr>
            </w:pPr>
            <w:r>
              <w:rPr>
                <w:rFonts w:ascii="Arial" w:cs="Arial" w:eastAsia="Arial" w:hAnsi="Arial"/>
                <w:sz w:val="18"/>
                <w:szCs w:val="18"/>
                <w:color w:val="auto"/>
              </w:rPr>
              <w:t>Property operating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467,324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403,237</w:t>
            </w:r>
          </w:p>
        </w:tc>
      </w:tr>
      <w:tr>
        <w:trPr>
          <w:trHeight w:val="20"/>
        </w:trPr>
        <w:tc>
          <w:tcPr>
            <w:tcW w:w="8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10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Total property revenue increased $81.1 million, or 13.2%, to $697.1 million in the nine months ended September 30, 2021 compared to $616.0 million in the nine months ended September 30, 2020. The percentage occupied at our shopping centers was 90.2% and 90.0% at September 30, 2021 and 2020, respectively. The most significant driver of the increase in property revenues is the generally lifted COVID-19 restrictions during 2021, as compared to 2020 when COVID-19 government imposed closures and restrictions were still in effect. Changes in the components of property revenue are discussed below.</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10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and is net of collectibility related adjustments. Rental income increased $81.3 million, or 13.2%, to $695.0 million in the nine months ended September 30, 2021 compared to $613.7 million in the nine months ended September 30, 2020 due primarily to the following: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40" w:right="20" w:hanging="241"/>
        <w:spacing w:after="0" w:line="263" w:lineRule="auto"/>
        <w:tabs>
          <w:tab w:leader="none" w:pos="11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$65.8 million decrease in collectibility related impacts including rent abatements across all properties, primarily due to higher collection rates in 2021, and moving a large number of tenants from accrual basis to cash basis in 2020, as tenants begin to recover from the the initial impacts of COVID-19,</w:t>
      </w:r>
    </w:p>
    <w:p>
      <w:pPr>
        <w:spacing w:after="0" w:line="21" w:lineRule="exact"/>
        <w:rPr>
          <w:rFonts w:ascii="Arial" w:cs="Arial" w:eastAsia="Arial" w:hAnsi="Arial"/>
          <w:sz w:val="18"/>
          <w:szCs w:val="18"/>
          <w:color w:val="auto"/>
        </w:rPr>
      </w:pPr>
    </w:p>
    <w:p>
      <w:pPr>
        <w:ind w:left="1140" w:hanging="241"/>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increase of $18.5 million from 2021 acquisitions (see Note 3 to the consolidated financial statements for additional information), and</w:t>
      </w:r>
    </w:p>
    <w:p>
      <w:pPr>
        <w:spacing w:after="0" w:line="86" w:lineRule="exact"/>
        <w:rPr>
          <w:rFonts w:ascii="Arial" w:cs="Arial" w:eastAsia="Arial" w:hAnsi="Arial"/>
          <w:sz w:val="16"/>
          <w:szCs w:val="16"/>
          <w:color w:val="auto"/>
        </w:rPr>
      </w:pPr>
    </w:p>
    <w:p>
      <w:pPr>
        <w:ind w:left="1140" w:right="20" w:hanging="241"/>
        <w:spacing w:after="0" w:line="263" w:lineRule="auto"/>
        <w:tabs>
          <w:tab w:leader="none" w:pos="11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$17.4 million from non-comparable properties driven by the opening of Phase III at Assembly Row in 2021 and Pike &amp; Rose in 2020, redevelopment related occupancy increases at one of our properties, higher net termination fees, the opening of our new office building at Santana Row in early 2020, and the opening of Freedom Plaza in 2020,</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$12.3 million from 2020 property sales, and</w:t>
      </w:r>
    </w:p>
    <w:p>
      <w:pPr>
        <w:spacing w:after="0" w:line="63" w:lineRule="exact"/>
        <w:rPr>
          <w:rFonts w:ascii="Arial" w:cs="Arial" w:eastAsia="Arial" w:hAnsi="Arial"/>
          <w:sz w:val="18"/>
          <w:szCs w:val="18"/>
          <w:color w:val="auto"/>
        </w:rPr>
      </w:pPr>
    </w:p>
    <w:p>
      <w:pPr>
        <w:ind w:left="1140" w:right="40" w:hanging="241"/>
        <w:spacing w:after="0" w:line="311" w:lineRule="auto"/>
        <w:tabs>
          <w:tab w:leader="none" w:pos="11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decrease of $8.5 million from comparable properties primarily due to lower average occupancy of approximately $13.3 million and lower net termination fees and legal fee income of $3.7 million, partially offset by higher specialty leasing, percentage rent, and parking income of $4.2 million, primarily due to the impact of COVID-19 related closures and restrictions in 2020 and higher rental rates of $4.1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property expenses increased $17.0 million, or 8.0%, to $229.7 million in the nine months ended September 30, 2021 compared to $212.7 million in the nine months ended September 30, 2020. Changes in the components of property expenses are discussed below.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1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Rental expenses increased $18.9 million, or 15.4%, to $141.5 million in the nine months ended September 30, 2021 compared to $122.6 million in the nine months ended September 30, 2020 due primarily to the following:</w:t>
      </w:r>
    </w:p>
    <w:p>
      <w:pPr>
        <w:spacing w:after="0" w:line="8" w:lineRule="exact"/>
        <w:rPr>
          <w:sz w:val="20"/>
          <w:szCs w:val="20"/>
          <w:color w:val="auto"/>
        </w:rPr>
      </w:pPr>
    </w:p>
    <w:p>
      <w:pPr>
        <w:ind w:left="1140" w:right="120" w:hanging="241"/>
        <w:spacing w:after="0" w:line="27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$16.1 million from comparable properties due to higher snow removal expense, repairs and maintenance costs, utilities, and demolition costs as 2020 had lower costs as a result of COVID-19 impacts, and higher insurance costs,</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$5.1 million from 2021 acquisitions, and</w:t>
      </w:r>
    </w:p>
    <w:p>
      <w:pPr>
        <w:spacing w:after="0" w:line="63" w:lineRule="exact"/>
        <w:rPr>
          <w:rFonts w:ascii="Arial" w:cs="Arial" w:eastAsia="Arial" w:hAnsi="Arial"/>
          <w:sz w:val="18"/>
          <w:szCs w:val="18"/>
          <w:color w:val="auto"/>
        </w:rPr>
      </w:pPr>
    </w:p>
    <w:p>
      <w:pPr>
        <w:ind w:left="1140" w:right="80" w:hanging="241"/>
        <w:spacing w:after="0" w:line="263"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$3.7 million from non-comparable properties, due primarily to the opening of Phase III at Assembly Row in 2021, the Phase III office building at Pike &amp; Rose in 2020, one of our redevelopments in late 2020, and our new office building at Santana Row in early 2020,</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$3.8 million from our property sales.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increased to 20.4% in the nine months ended September 30, 2021 from 20.0% in the nine months ended September 30,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Real estate tax expense decreased $1.9 million, or 2.1%, to $88.3 million in the nine months ended September 30, 2021 compared to $90.2 million in the nine months ended September 30, 2020. This increase is primarily due to the following:</w:t>
      </w:r>
    </w:p>
    <w:p>
      <w:pPr>
        <w:spacing w:after="0" w:line="8" w:lineRule="exact"/>
        <w:rPr>
          <w:sz w:val="20"/>
          <w:szCs w:val="20"/>
          <w:color w:val="auto"/>
        </w:rPr>
      </w:pPr>
    </w:p>
    <w:p>
      <w:pPr>
        <w:ind w:left="1140" w:right="680" w:hanging="241"/>
        <w:spacing w:after="0" w:line="277"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of $3.3 million from comparable properties primarily due to a true-up of supplemental taxes at several of our California properties billed in 2020,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of $2.4 million from our property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jc w:val="both"/>
        <w:ind w:left="1140" w:hanging="241"/>
        <w:spacing w:after="0" w:line="263" w:lineRule="auto"/>
        <w:tabs>
          <w:tab w:leader="none" w:pos="11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$2.1 million from non-comparable properties due primarily to the opening of our new office building at Santana Row in early 2020, the opening of Phase III at Assembly Row in 2021, the Phase III office building at Pike &amp; Rose in 2020, and increases in assessments as a result of our redevelopment activities, and</w:t>
      </w:r>
    </w:p>
    <w:p>
      <w:pPr>
        <w:spacing w:after="0" w:line="21" w:lineRule="exact"/>
        <w:rPr>
          <w:rFonts w:ascii="Arial" w:cs="Arial" w:eastAsia="Arial" w:hAnsi="Arial"/>
          <w:sz w:val="18"/>
          <w:szCs w:val="18"/>
          <w:color w:val="auto"/>
        </w:rPr>
      </w:pPr>
    </w:p>
    <w:p>
      <w:pPr>
        <w:ind w:left="1140" w:hanging="241"/>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$1.8 million from 2021 acquisitions.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Property operating income increased $64.1 million, or 15.9%, to $467.3 million in the nine months ended September 30, 2021 compared to $403.2 million in the nine months ended September 30, 2020. This increase is primarily due to the lifting of COVID-19 restrictions during 2021, which resulted in lower collectibility related adjustments, and higher specialty leasing, percentage rent, and parking income. Also contributing to the increases were property acquisitions, placing redevelopment</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properties into service, the opening of Phase III at Assembly Row in 2021, and the opening of our new office building at Santana Row in early 2020, partially offset by lower average occupancy and higher snow removal expense at comparable properties, higher repairs and maintenance and utilities expense, and property dispositions.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General and administrative expense increased $6.0 million, or 20.4%, to $35.4 million in the nine months ended September 30, 2021 from $29.4 million in the nine months ended September 30, 2020. This increase is due primarily to higher personnel related costs.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Depreciation and amortization expense increased $11.6 million, or 6.1%, to $202.2 million in the nine months ended September 30, 2021 from $190.6 million in the nine months ended September 30, 2020. This increase is due primarily to 2021 property acquisitions, the opening of Phase III of Assembly Row and Pike &amp; Rose, placing redevelopment properties into service, and the acquisition of the previously unconsolidated Pike &amp; Rose hotel joint venture in January 2021, partially offset by 2020 property sales and the lower write-off of lease related assets for vacating tenants.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$57.2 million impairment charge for the nine months ended September 30, 2020 relates to The Shops at Sunset Place. See further discussion in our Annual Report on Form 10-K for the year ended December 31,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and Change in Control of Interest</w:t>
      </w:r>
    </w:p>
    <w:p>
      <w:pPr>
        <w:spacing w:after="0" w:line="1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$17.4 million gain on sale of real estate for the nine months ended September 30, 2021 is due primarily to a $15.6 million gain related to the sale of a portion of Graham Park Plaza in Falls Church, Virginia and a $2.1 million gain relating to the acquisition of the previously unconsolidated Pike &amp; Rose hotel joint venture (see Note 3 for additional disclosure).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$11.7 million gain on sale of real estate for the nine months ended September 30, 2020 is due to the sale of a building in Pasadena, California.</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Operating income increased $109.5 million, or 79.5%, to $247.2 million in the nine months ended September 30, 2021 compared to $137.7 million in the nine months ended September 30, 2020. This increase is primarily due to the lifting of COVID-19 restrictions, which resulted in lower collectibility related adjustments and higher specialty leasing, percentage rent, and parking income compared to 2020. Also contributing to the increases were the prior year impairment charge related to The Shops at Sunset Place, property acquisitions, a higher net gain on the sale of real estate, placing redevelopment properties into service, the opening of Phase III at Assembly Row in 2021, and the opening of our new office building at Santana Row in early 2020, partially offset by lower average occupancy and higher snow removal expense at comparable properties, higher personnel related costs, and property dispositions.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expense decreased $3.2 million, or 3.3%, to $95.5 million in the nine months ended September 30, 2021 compared to $98.7 million in the nine months ended September 30, 2020. This increase is due primarily to the following:</w:t>
      </w:r>
    </w:p>
    <w:p>
      <w:pPr>
        <w:spacing w:after="0" w:line="8" w:lineRule="exact"/>
        <w:rPr>
          <w:sz w:val="20"/>
          <w:szCs w:val="20"/>
          <w:color w:val="auto"/>
        </w:rPr>
      </w:pPr>
    </w:p>
    <w:p>
      <w:pPr>
        <w:ind w:left="1140" w:hanging="241"/>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of $4.7 million due to a lower overall weighted average borrowing rate, and</w:t>
      </w:r>
    </w:p>
    <w:p>
      <w:pPr>
        <w:spacing w:after="0" w:line="63" w:lineRule="exact"/>
        <w:rPr>
          <w:rFonts w:ascii="Arial" w:cs="Arial" w:eastAsia="Arial" w:hAnsi="Arial"/>
          <w:sz w:val="18"/>
          <w:szCs w:val="18"/>
          <w:color w:val="auto"/>
        </w:rPr>
      </w:pPr>
    </w:p>
    <w:p>
      <w:pPr>
        <w:ind w:left="1140" w:right="340" w:hanging="241"/>
        <w:spacing w:after="0" w:line="277"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of $0.9 million in capitalized interest, primarily attributable to the development of Santana West and Phase III of Assembly Row,</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 increase of $2.4 million due to higher weighted average borrowings.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Gross interest costs were $113.7 million and $116.0 million in the nine months ended September 30, 2021 and September 30, 2020,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Capitalized interest was $18.2 million and $17.3 million for the nine months ended September 30, 2021 and September 30, 2020, respectively.</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partnerships</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Loss from partnerships decreased $6.6 million, or 98.7%, to $0.1 million in the nine months ended September 30, 2021 compared to $6.7 million in the nine months ended September 30, 2020. This decrease is due primarily to the acquisition of the previously unconsolidated Pike &amp; Rose hotel joint venture in January 2021 and improved operating results at our restaurant joint ventures and at our Assembly Row hotel joint venture, largely the result of the easing of COVID-19 closures and restrictions.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10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Net (income) loss attributable to noncontrolling interests increased to income attributable of $5.8 million in the nine months ended September 30, 2021 compared to loss attributable of $3.3 million in the nine months ended September 30, 2020. The increase is primarily due to The Shops at Sunset Place prior year impairment charge and 2021 acquisitions.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Due to the nature of our business and strategy, we typically generate significant amounts of cash from operations which is largely paid to our common and preferred shareholders in the form of dividends because as a REIT, we are generally required to make annual distributions to shareholders of at least 90% of our taxable income (cash dividends paid in the nine months ended September 30, 2021 were approximately $251.3 million).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We maintain a $1.0 billion revolving credit facility to fund short term cash flow needs and also look to the public and private debt and equity markets, joint venture relationships, and property dispositions to fund capital expenditures on a long-term basis.</w:t>
      </w: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2021, we have continued to see improvements in overall cash collections from tenants, although not yet at pre-COVID levels (see further discussion under the "Outlook" section of this Item 2). While the overall economic impacts of the pandemic are unknown, we have taken multiple steps to strengthen our financial position, maximize liquidity, and to provide maximum</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flexibility during these uncertain times, including maintaining levels of cash in excess of the cash balances we have historically maintained.</w:t>
      </w:r>
    </w:p>
    <w:p>
      <w:pPr>
        <w:spacing w:after="0" w:line="238"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During the nine months ended September 30, 2021, there were no borrowings on our $1.0 billion unsecured revolving credit facility, and as of September 30, 2021, we had cash and cash equivalents of $177.6 million. We also had outstanding forward sales agreements for net proceeds of $268.4 million as of September 30, 2021, and the capacity to issue up to $260.0 million in common shares both under our ATM equity program.</w:t>
      </w:r>
    </w:p>
    <w:p>
      <w:pPr>
        <w:spacing w:after="0" w:line="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16, 2021, we repaid $100.0 million of our existing $400.0 million term loan, amended the agreement on the remaining $300.0 million to lower the current spread over LIBOR from 135 basis points to 80 basis points based on our current credit rating, and extended the initial maturity date to April 16, 2024, along with two one-year extensions, at our option. Subsequent to September 30, 2021, we repaid two mortgage loans, at par, which were to mature in early 2022. As a result, we have no debt maturing until 2023.</w:t>
      </w:r>
    </w:p>
    <w:p>
      <w:pPr>
        <w:spacing w:after="0" w:line="13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overall capital requirements for the remainder of 2021 will continue to be impacted by the extent and duration of COVID-19 related closures and restrictions, impacts on our cash collections, and overall economic impacts that might occur including supply chain issues. Cash requirements will also be impacted by acquisition opportunities and the level and general timing of our redevelopment and development activities. While the amount of future expenditures will depend on numerous factors, we have seen generally higher levels of capital investment in our properties under development and redevelopment. Capital investment decreased in 2021 with the the current phase openings at Assembly Row and Pike &amp; Rose, but are expected to increase when the next phases are initiated. We continue to invest in the current phase of these projects and are not expecting COVID-19 related halts in construction activities similar to those experienced in 2020. With respect to other capital investments related to our existing properties, we expect to incur levels more consistent with prior years with an overall increase compared to 2020.</w:t>
      </w:r>
    </w:p>
    <w:p>
      <w:pPr>
        <w:spacing w:after="0" w:line="12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We believe that the cash </w:t>
      </w:r>
      <w:r>
        <w:rPr>
          <w:rFonts w:ascii="Arial" w:cs="Arial" w:eastAsia="Arial" w:hAnsi="Arial"/>
          <w:sz w:val="17"/>
          <w:szCs w:val="17"/>
          <w:color w:val="212529"/>
        </w:rPr>
        <w:t>on our balance sheet together with rents we collect, as well as our $1.0 billion revolving credit facility will allow us to continue to</w:t>
      </w:r>
      <w:r>
        <w:rPr>
          <w:rFonts w:ascii="Arial" w:cs="Arial" w:eastAsia="Arial" w:hAnsi="Arial"/>
          <w:sz w:val="17"/>
          <w:szCs w:val="17"/>
          <w:color w:val="auto"/>
        </w:rPr>
        <w:t xml:space="preserve"> </w:t>
      </w:r>
      <w:r>
        <w:rPr>
          <w:rFonts w:ascii="Arial" w:cs="Arial" w:eastAsia="Arial" w:hAnsi="Arial"/>
          <w:sz w:val="17"/>
          <w:szCs w:val="17"/>
          <w:color w:val="212529"/>
        </w:rPr>
        <w:t xml:space="preserve">operate our business through the remainder of the COVID-19 pandemic. </w:t>
      </w:r>
      <w:r>
        <w:rPr>
          <w:rFonts w:ascii="Arial" w:cs="Arial" w:eastAsia="Arial" w:hAnsi="Arial"/>
          <w:sz w:val="17"/>
          <w:szCs w:val="17"/>
          <w:color w:val="000000"/>
        </w:rPr>
        <w:t>Given our recent ability to access the capital markets, we also expect debt or</w:t>
      </w:r>
      <w:r>
        <w:rPr>
          <w:rFonts w:ascii="Arial" w:cs="Arial" w:eastAsia="Arial" w:hAnsi="Arial"/>
          <w:sz w:val="17"/>
          <w:szCs w:val="17"/>
          <w:color w:val="212529"/>
        </w:rPr>
        <w:t xml:space="preserve"> </w:t>
      </w:r>
      <w:r>
        <w:rPr>
          <w:rFonts w:ascii="Arial" w:cs="Arial" w:eastAsia="Arial" w:hAnsi="Arial"/>
          <w:sz w:val="17"/>
          <w:szCs w:val="17"/>
          <w:color w:val="000000"/>
        </w:rPr>
        <w:t>equity to be available to us. We also have the ability to delay the timing of certain development and redevelopment projects as well as limit future acquisitions, as well as limit future acquisitions, reduce our operating expenditures, or re-evaluate our dividend policy.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While we have seen improvements from the initial negative impacts of the COVID-19 pandemic, it has continued to affect our overall business during the quarter ended September 30, 2021, and we expect it will continue to negatively impact our business in the short term. We maintain our long term commitment to a conservative capital structure that will allow us to maintain strong debt service coverage and fixed-charge coverage ratios as part of our commitment to investment-grade debt ratings.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8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182"/>
        </w:trPr>
        <w:tc>
          <w:tcPr>
            <w:tcW w:w="8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r>
      <w:tr>
        <w:trPr>
          <w:trHeight w:val="231"/>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276"/>
              <w:spacing w:after="0"/>
              <w:rPr>
                <w:sz w:val="20"/>
                <w:szCs w:val="20"/>
                <w:color w:val="auto"/>
              </w:rPr>
            </w:pPr>
            <w:r>
              <w:rPr>
                <w:rFonts w:ascii="Arial" w:cs="Arial" w:eastAsia="Arial" w:hAnsi="Arial"/>
                <w:sz w:val="18"/>
                <w:szCs w:val="18"/>
                <w:color w:val="auto"/>
                <w:w w:val="89"/>
              </w:rPr>
              <w:t>366,036</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9"/>
              </w:rPr>
              <w:t>268,422</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100" w:type="dxa"/>
            <w:vAlign w:val="bottom"/>
          </w:tcPr>
          <w:p>
            <w:pPr>
              <w:jc w:val="center"/>
              <w:ind w:left="256"/>
              <w:spacing w:after="0"/>
              <w:rPr>
                <w:sz w:val="20"/>
                <w:szCs w:val="20"/>
                <w:color w:val="auto"/>
              </w:rPr>
            </w:pPr>
            <w:r>
              <w:rPr>
                <w:rFonts w:ascii="Arial" w:cs="Arial" w:eastAsia="Arial" w:hAnsi="Arial"/>
                <w:sz w:val="18"/>
                <w:szCs w:val="18"/>
                <w:color w:val="auto"/>
                <w:w w:val="93"/>
              </w:rPr>
              <w:t>(661,842)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center"/>
              <w:ind w:left="53"/>
              <w:spacing w:after="0"/>
              <w:rPr>
                <w:sz w:val="20"/>
                <w:szCs w:val="20"/>
                <w:color w:val="auto"/>
              </w:rPr>
            </w:pPr>
            <w:r>
              <w:rPr>
                <w:rFonts w:ascii="Arial" w:cs="Arial" w:eastAsia="Arial" w:hAnsi="Arial"/>
                <w:sz w:val="18"/>
                <w:szCs w:val="18"/>
                <w:color w:val="auto"/>
                <w:w w:val="93"/>
              </w:rPr>
              <w:t>(373,572)</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256"/>
              <w:spacing w:after="0"/>
              <w:rPr>
                <w:sz w:val="20"/>
                <w:szCs w:val="20"/>
                <w:color w:val="auto"/>
              </w:rPr>
            </w:pPr>
            <w:r>
              <w:rPr>
                <w:rFonts w:ascii="Arial" w:cs="Arial" w:eastAsia="Arial" w:hAnsi="Arial"/>
                <w:sz w:val="18"/>
                <w:szCs w:val="18"/>
                <w:color w:val="auto"/>
                <w:w w:val="93"/>
              </w:rPr>
              <w:t>(333,185)</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73"/>
              <w:spacing w:after="0"/>
              <w:rPr>
                <w:sz w:val="20"/>
                <w:szCs w:val="20"/>
                <w:color w:val="auto"/>
              </w:rPr>
            </w:pPr>
            <w:r>
              <w:rPr>
                <w:rFonts w:ascii="Arial" w:cs="Arial" w:eastAsia="Arial" w:hAnsi="Arial"/>
                <w:sz w:val="18"/>
                <w:szCs w:val="18"/>
                <w:color w:val="auto"/>
                <w:w w:val="89"/>
              </w:rPr>
              <w:t>839,975</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(Decrease) increase in cash, cash equivalents and restricted cash</w:t>
            </w:r>
          </w:p>
        </w:tc>
        <w:tc>
          <w:tcPr>
            <w:tcW w:w="240" w:type="dxa"/>
            <w:vAlign w:val="bottom"/>
          </w:tcPr>
          <w:p>
            <w:pPr>
              <w:spacing w:after="0"/>
              <w:rPr>
                <w:sz w:val="19"/>
                <w:szCs w:val="19"/>
                <w:color w:val="auto"/>
              </w:rPr>
            </w:pPr>
          </w:p>
        </w:tc>
        <w:tc>
          <w:tcPr>
            <w:tcW w:w="1100" w:type="dxa"/>
            <w:vAlign w:val="bottom"/>
          </w:tcPr>
          <w:p>
            <w:pPr>
              <w:jc w:val="center"/>
              <w:ind w:left="256"/>
              <w:spacing w:after="0"/>
              <w:rPr>
                <w:sz w:val="20"/>
                <w:szCs w:val="20"/>
                <w:color w:val="auto"/>
              </w:rPr>
            </w:pPr>
            <w:r>
              <w:rPr>
                <w:rFonts w:ascii="Arial" w:cs="Arial" w:eastAsia="Arial" w:hAnsi="Arial"/>
                <w:sz w:val="18"/>
                <w:szCs w:val="18"/>
                <w:color w:val="auto"/>
                <w:w w:val="93"/>
              </w:rPr>
              <w:t>(628,991)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center"/>
              <w:ind w:left="73"/>
              <w:spacing w:after="0"/>
              <w:rPr>
                <w:sz w:val="20"/>
                <w:szCs w:val="20"/>
                <w:color w:val="auto"/>
              </w:rPr>
            </w:pPr>
            <w:r>
              <w:rPr>
                <w:rFonts w:ascii="Arial" w:cs="Arial" w:eastAsia="Arial" w:hAnsi="Arial"/>
                <w:sz w:val="18"/>
                <w:szCs w:val="18"/>
                <w:color w:val="auto"/>
                <w:w w:val="89"/>
              </w:rPr>
              <w:t>734,825</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276"/>
              <w:spacing w:after="0"/>
              <w:rPr>
                <w:sz w:val="20"/>
                <w:szCs w:val="20"/>
                <w:color w:val="auto"/>
              </w:rPr>
            </w:pPr>
            <w:r>
              <w:rPr>
                <w:rFonts w:ascii="Arial" w:cs="Arial" w:eastAsia="Arial" w:hAnsi="Arial"/>
                <w:sz w:val="18"/>
                <w:szCs w:val="18"/>
                <w:color w:val="auto"/>
                <w:w w:val="89"/>
              </w:rPr>
              <w:t>816,896</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73"/>
              <w:spacing w:after="0"/>
              <w:rPr>
                <w:sz w:val="20"/>
                <w:szCs w:val="20"/>
                <w:color w:val="auto"/>
              </w:rPr>
            </w:pPr>
            <w:r>
              <w:rPr>
                <w:rFonts w:ascii="Arial" w:cs="Arial" w:eastAsia="Arial" w:hAnsi="Arial"/>
                <w:sz w:val="18"/>
                <w:szCs w:val="18"/>
                <w:color w:val="auto"/>
                <w:w w:val="89"/>
              </w:rPr>
              <w:t>153,614</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276"/>
              <w:spacing w:after="0"/>
              <w:rPr>
                <w:sz w:val="20"/>
                <w:szCs w:val="20"/>
                <w:color w:val="auto"/>
              </w:rPr>
            </w:pPr>
            <w:r>
              <w:rPr>
                <w:rFonts w:ascii="Arial" w:cs="Arial" w:eastAsia="Arial" w:hAnsi="Arial"/>
                <w:sz w:val="18"/>
                <w:szCs w:val="18"/>
                <w:color w:val="auto"/>
                <w:w w:val="89"/>
              </w:rPr>
              <w:t>187,905</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w w:val="89"/>
              </w:rPr>
              <w:t>888,439</w:t>
            </w:r>
          </w:p>
        </w:tc>
      </w:tr>
      <w:tr>
        <w:trPr>
          <w:trHeight w:val="21"/>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Net cash provided by operating activities increased $97.6 million to $366.0 million during the nine months ended September 30, 2021 from $268.4 million during the nine months ended September 30, 2020. The increase was primarily attributable to higher net income before non-cash items and timing of cash receipts including higher accounts receivable and lower prepaid rent balances in 2020 as a result of the COVID-19 pandemic.</w:t>
      </w:r>
    </w:p>
    <w:p>
      <w:pPr>
        <w:spacing w:after="0" w:line="1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used in investing activities increased $288.3 million to $661.8 million during the nine months ended September 30, 2021 from $373.6 million during the nine months ended September 30, 2020. The increase was primarily attributable to:</w:t>
      </w:r>
    </w:p>
    <w:p>
      <w:pPr>
        <w:spacing w:after="0" w:line="8" w:lineRule="exact"/>
        <w:rPr>
          <w:sz w:val="20"/>
          <w:szCs w:val="20"/>
          <w:color w:val="auto"/>
        </w:rPr>
      </w:pPr>
    </w:p>
    <w:p>
      <w:pPr>
        <w:ind w:left="1140" w:right="140" w:hanging="241"/>
        <w:spacing w:after="0" w:line="277" w:lineRule="auto"/>
        <w:tabs>
          <w:tab w:leader="none" w:pos="11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$356.9 million increase in acquisition of real estate primarily due to 2021 property acquisitions (see Note 3 to the consolidated financial statements for additional information),</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120" w:hanging="241"/>
        <w:spacing w:after="0" w:line="316" w:lineRule="auto"/>
        <w:tabs>
          <w:tab w:leader="none" w:pos="11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$41.7 million increase in repayments of mortgages and other notes receivable primarily due to the $31.1 million payoff of two mortgage notes receivable in May 2021, as compared to the $9.6 million acquisition of two mortgage notes receivable in September 2020,</w:t>
      </w:r>
    </w:p>
    <w:p>
      <w:pPr>
        <w:spacing w:after="0" w:line="1" w:lineRule="exact"/>
        <w:rPr>
          <w:rFonts w:ascii="Arial" w:cs="Arial" w:eastAsia="Arial" w:hAnsi="Arial"/>
          <w:sz w:val="16"/>
          <w:szCs w:val="16"/>
          <w:color w:val="auto"/>
        </w:rPr>
      </w:pPr>
    </w:p>
    <w:p>
      <w:pPr>
        <w:ind w:left="1140" w:hanging="241"/>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$12.9 million paid in 2020 relating to the partial sale under threat of condemnation at San Antonio Center in 2019,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$12.3 million decrease in net capital expenditures and leasing costs.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provided by financing activities decreased $1.2 billion to $333.2 million used during the nine months ended September 30, 2021 from $840.0 million provided in the nine months ended September 30, 2020. The decrease was primarily attributable to:</w:t>
      </w:r>
    </w:p>
    <w:p>
      <w:pPr>
        <w:spacing w:after="0" w:line="8" w:lineRule="exact"/>
        <w:rPr>
          <w:sz w:val="20"/>
          <w:szCs w:val="20"/>
          <w:color w:val="auto"/>
        </w:rPr>
      </w:pPr>
    </w:p>
    <w:p>
      <w:pPr>
        <w:ind w:left="1140" w:right="240" w:hanging="241"/>
        <w:spacing w:after="0" w:line="277" w:lineRule="auto"/>
        <w:tabs>
          <w:tab w:leader="none" w:pos="11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$700.1 million in net proceeds from the issuance of $400.0 million of 3.50% unsecured senior notes and the $300.0 million reopening of our 3.95% unsecured senior notes in May 2020,</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$398.7 million in net proceeds from our $400.0 million unsecured term loan issued in May 2020,</w:t>
      </w:r>
    </w:p>
    <w:p>
      <w:pPr>
        <w:spacing w:after="0" w:line="63" w:lineRule="exact"/>
        <w:rPr>
          <w:rFonts w:ascii="Arial" w:cs="Arial" w:eastAsia="Arial" w:hAnsi="Arial"/>
          <w:sz w:val="18"/>
          <w:szCs w:val="18"/>
          <w:color w:val="auto"/>
        </w:rPr>
      </w:pPr>
    </w:p>
    <w:p>
      <w:pPr>
        <w:ind w:left="1140" w:right="220" w:hanging="241"/>
        <w:spacing w:after="0" w:line="259" w:lineRule="auto"/>
        <w:tabs>
          <w:tab w:leader="none" w:pos="11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$155.5 million increase in repayment of mortgages, finance leases, and notes payable primarily due to the $100.0 million repayment of our $400.0 million term loan which was amended in April 2021, the $31.5 million repayment of the mortgage loan related to the Pike &amp; Rose hotel in January 2021, the $16.2 million repayment of the mortgage loan on Sylmar Towne Center in February 2021, and the $7.9 million repayment of the mortgage loan on Plaza Del Sol in September 2021, and</w:t>
      </w:r>
    </w:p>
    <w:p>
      <w:pPr>
        <w:spacing w:after="0" w:line="24" w:lineRule="exact"/>
        <w:rPr>
          <w:rFonts w:ascii="Arial" w:cs="Arial" w:eastAsia="Arial" w:hAnsi="Arial"/>
          <w:sz w:val="18"/>
          <w:szCs w:val="18"/>
          <w:color w:val="auto"/>
        </w:rPr>
      </w:pPr>
    </w:p>
    <w:p>
      <w:pPr>
        <w:ind w:left="1140" w:right="420" w:hanging="241"/>
        <w:spacing w:after="0" w:line="277" w:lineRule="auto"/>
        <w:tabs>
          <w:tab w:leader="none" w:pos="11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$8.0 million increase in dividends paid to shareholders due to an increase in the common share dividend rate and an increase in the number of common shares outstanding,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200" w:hanging="241"/>
        <w:spacing w:after="0" w:line="277" w:lineRule="auto"/>
        <w:tabs>
          <w:tab w:leader="none" w:pos="11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$87.1 million in net proceeds from the issuance of common shares under our ATM program during the nine months ended September 30, 2021.</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3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Original</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Principal Balance</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Debt</w:t>
            </w:r>
          </w:p>
        </w:tc>
        <w:tc>
          <w:tcPr>
            <w:tcW w:w="136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w w:val="96"/>
              </w:rPr>
              <w:t>Debt</w:t>
            </w:r>
          </w:p>
        </w:tc>
        <w:tc>
          <w:tcPr>
            <w:tcW w:w="3140" w:type="dxa"/>
            <w:vAlign w:val="bottom"/>
            <w:gridSpan w:val="5"/>
          </w:tcPr>
          <w:p>
            <w:pPr>
              <w:ind w:left="20"/>
              <w:spacing w:after="0" w:line="135" w:lineRule="exact"/>
              <w:rPr>
                <w:sz w:val="20"/>
                <w:szCs w:val="20"/>
                <w:color w:val="auto"/>
              </w:rPr>
            </w:pPr>
            <w:r>
              <w:rPr>
                <w:rFonts w:ascii="Arial" w:cs="Arial" w:eastAsia="Arial" w:hAnsi="Arial"/>
                <w:sz w:val="14"/>
                <w:szCs w:val="14"/>
                <w:b w:val="1"/>
                <w:bCs w:val="1"/>
                <w:color w:val="auto"/>
                <w:w w:val="99"/>
              </w:rPr>
              <w:t>as of September 30,   Stated Interest Rate as of</w:t>
            </w:r>
          </w:p>
        </w:tc>
        <w:tc>
          <w:tcPr>
            <w:tcW w:w="15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Maturity Date</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40" w:type="dxa"/>
            <w:vAlign w:val="bottom"/>
            <w:vMerge w:val="continue"/>
          </w:tcPr>
          <w:p>
            <w:pPr>
              <w:spacing w:after="0"/>
              <w:rPr>
                <w:sz w:val="16"/>
                <w:szCs w:val="16"/>
                <w:color w:val="auto"/>
              </w:rPr>
            </w:pPr>
          </w:p>
        </w:tc>
        <w:tc>
          <w:tcPr>
            <w:tcW w:w="136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Issued</w:t>
            </w:r>
          </w:p>
        </w:tc>
        <w:tc>
          <w:tcPr>
            <w:tcW w:w="30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780" w:type="dxa"/>
            <w:vAlign w:val="bottom"/>
            <w:gridSpan w:val="2"/>
          </w:tcPr>
          <w:p>
            <w:pPr>
              <w:ind w:left="240"/>
              <w:spacing w:after="0"/>
              <w:rPr>
                <w:sz w:val="20"/>
                <w:szCs w:val="20"/>
                <w:color w:val="auto"/>
              </w:rPr>
            </w:pPr>
            <w:r>
              <w:rPr>
                <w:rFonts w:ascii="Arial" w:cs="Arial" w:eastAsia="Arial" w:hAnsi="Arial"/>
                <w:sz w:val="14"/>
                <w:szCs w:val="14"/>
                <w:b w:val="1"/>
                <w:bCs w:val="1"/>
                <w:color w:val="auto"/>
              </w:rPr>
              <w:t>September 30, 2021</w:t>
            </w:r>
          </w:p>
        </w:tc>
        <w:tc>
          <w:tcPr>
            <w:tcW w:w="15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40" w:type="dxa"/>
            <w:vAlign w:val="bottom"/>
          </w:tcPr>
          <w:p>
            <w:pPr>
              <w:spacing w:after="0"/>
              <w:rPr>
                <w:sz w:val="15"/>
                <w:szCs w:val="15"/>
                <w:color w:val="auto"/>
              </w:rPr>
            </w:pPr>
          </w:p>
        </w:tc>
        <w:tc>
          <w:tcPr>
            <w:tcW w:w="2620" w:type="dxa"/>
            <w:vAlign w:val="bottom"/>
            <w:tcBorders>
              <w:top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(Dollar amounts in thousands)</w:t>
            </w: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Mortgages payable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i w:val="1"/>
                <w:iCs w:val="1"/>
                <w:color w:val="auto"/>
              </w:rPr>
              <w:t>Secured fixed rate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The AVENUE at White Marsh</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52,705</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52,705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3.35 %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2022 (5)</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Montrose Crossing</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80,000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64,121</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4.20 %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January 10,</w:t>
            </w:r>
          </w:p>
        </w:tc>
        <w:tc>
          <w:tcPr>
            <w:tcW w:w="720" w:type="dxa"/>
            <w:vAlign w:val="bottom"/>
            <w:gridSpan w:val="2"/>
          </w:tcPr>
          <w:p>
            <w:pPr>
              <w:ind w:left="20"/>
              <w:spacing w:after="0"/>
              <w:rPr>
                <w:sz w:val="20"/>
                <w:szCs w:val="20"/>
                <w:color w:val="auto"/>
              </w:rPr>
            </w:pPr>
            <w:r>
              <w:rPr>
                <w:rFonts w:ascii="Arial" w:cs="Arial" w:eastAsia="Arial" w:hAnsi="Arial"/>
                <w:sz w:val="16"/>
                <w:szCs w:val="16"/>
                <w:color w:val="auto"/>
              </w:rPr>
              <w:t>2022 (6)</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Azalea</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November 1,</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Bell Gardens</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Acquired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12,199</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4.06 %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August 1,</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Plaza El Segundo</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125,000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3.83 %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5,</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The Grove at Shrewsbury (East)</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43,600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43,600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3.77 %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September 1,</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11,500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4.65 %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1,</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Hoboken (24 Buildings) (1)</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56,450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56,450</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LIBOR + 1.95%</w:t>
            </w:r>
          </w:p>
        </w:tc>
        <w:tc>
          <w:tcPr>
            <w:tcW w:w="1580" w:type="dxa"/>
            <w:vAlign w:val="bottom"/>
          </w:tcPr>
          <w:p>
            <w:pPr>
              <w:jc w:val="right"/>
              <w:spacing w:after="0"/>
              <w:rPr>
                <w:sz w:val="20"/>
                <w:szCs w:val="20"/>
                <w:color w:val="auto"/>
              </w:rPr>
            </w:pPr>
            <w:r>
              <w:rPr>
                <w:rFonts w:ascii="Arial" w:cs="Arial" w:eastAsia="Arial" w:hAnsi="Arial"/>
                <w:sz w:val="16"/>
                <w:szCs w:val="16"/>
                <w:color w:val="auto"/>
              </w:rPr>
              <w:t>December 15,</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Various Hoboken (14 Buildings) (2)</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32,043</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Various</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 through</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Chelsea</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Acquired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4,948</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5.36 %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January 15,</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2031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Hoboken (1 Building) (3)</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1,</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2042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680"/>
              <w:spacing w:after="0"/>
              <w:rPr>
                <w:sz w:val="20"/>
                <w:szCs w:val="20"/>
                <w:color w:val="auto"/>
              </w:rPr>
            </w:pPr>
            <w:r>
              <w:rPr>
                <w:rFonts w:ascii="Arial" w:cs="Arial" w:eastAsia="Arial" w:hAnsi="Arial"/>
                <w:sz w:val="16"/>
                <w:szCs w:val="16"/>
                <w:color w:val="auto"/>
              </w:rPr>
              <w:t>Subtotal</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458,883</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880"/>
              <w:spacing w:after="0"/>
              <w:rPr>
                <w:sz w:val="20"/>
                <w:szCs w:val="20"/>
                <w:color w:val="auto"/>
              </w:rPr>
            </w:pPr>
            <w:r>
              <w:rPr>
                <w:rFonts w:ascii="Arial" w:cs="Arial" w:eastAsia="Arial" w:hAnsi="Arial"/>
                <w:sz w:val="16"/>
                <w:szCs w:val="16"/>
                <w:color w:val="auto"/>
                <w:w w:val="98"/>
              </w:rPr>
              <w:t>Net unamortized debt issuance costs and premium</w:t>
            </w:r>
          </w:p>
        </w:tc>
        <w:tc>
          <w:tcPr>
            <w:tcW w:w="13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mortgages payable, net</w:t>
            </w:r>
          </w:p>
        </w:tc>
        <w:tc>
          <w:tcPr>
            <w:tcW w:w="1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457,203</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4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Notes payable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Revolving credit facility (4)</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1,000,000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LIBOR + 0.775%</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19,</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Term loan</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300,000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LIBOR + 0.80%</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16,</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7,239</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 through</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680"/>
              <w:spacing w:after="0"/>
              <w:rPr>
                <w:sz w:val="20"/>
                <w:szCs w:val="20"/>
                <w:color w:val="auto"/>
              </w:rPr>
            </w:pPr>
            <w:r>
              <w:rPr>
                <w:rFonts w:ascii="Arial" w:cs="Arial" w:eastAsia="Arial" w:hAnsi="Arial"/>
                <w:sz w:val="16"/>
                <w:szCs w:val="16"/>
                <w:color w:val="auto"/>
              </w:rPr>
              <w:t>Subtotal</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302,755</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880"/>
              <w:spacing w:after="0"/>
              <w:rPr>
                <w:sz w:val="20"/>
                <w:szCs w:val="20"/>
                <w:color w:val="auto"/>
              </w:rPr>
            </w:pPr>
            <w:r>
              <w:rPr>
                <w:rFonts w:ascii="Arial" w:cs="Arial" w:eastAsia="Arial" w:hAnsi="Arial"/>
                <w:sz w:val="16"/>
                <w:szCs w:val="16"/>
                <w:color w:val="auto"/>
              </w:rPr>
              <w:t>Net unamortized debt issuance costs</w:t>
            </w:r>
          </w:p>
        </w:tc>
        <w:tc>
          <w:tcPr>
            <w:tcW w:w="13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notes payable, net</w:t>
            </w:r>
          </w:p>
        </w:tc>
        <w:tc>
          <w:tcPr>
            <w:tcW w:w="1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301,462</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4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Senior notes and debentures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Unsecured fixed rate</w:t>
            </w: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2.75% notes</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275,000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275,000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2.75 %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June 1,</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600,000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3.95 %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15,</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1.25% notes</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400,000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400,000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February 15,</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7.48% debentures</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7.48 %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15,</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3.25% notes</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475,000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475,000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July 15,</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6.82% medium term notes</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6.82 %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3.20% notes</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400,000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400,000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3.20 %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June 15,</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3.50% notes</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1,</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2030</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4.50% notes</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550,000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550,000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4.50 %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December 1,</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2044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3.625% notes</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250,000</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3.625 %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2046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680"/>
              <w:spacing w:after="0"/>
              <w:rPr>
                <w:sz w:val="20"/>
                <w:szCs w:val="20"/>
                <w:color w:val="auto"/>
              </w:rPr>
            </w:pPr>
            <w:r>
              <w:rPr>
                <w:rFonts w:ascii="Arial" w:cs="Arial" w:eastAsia="Arial" w:hAnsi="Arial"/>
                <w:sz w:val="16"/>
                <w:szCs w:val="16"/>
                <w:color w:val="auto"/>
              </w:rPr>
              <w:t>Subtotal</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3,419,200</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880"/>
              <w:spacing w:after="0"/>
              <w:rPr>
                <w:sz w:val="20"/>
                <w:szCs w:val="20"/>
                <w:color w:val="auto"/>
              </w:rPr>
            </w:pPr>
            <w:r>
              <w:rPr>
                <w:rFonts w:ascii="Arial" w:cs="Arial" w:eastAsia="Arial" w:hAnsi="Arial"/>
                <w:sz w:val="16"/>
                <w:szCs w:val="16"/>
                <w:color w:val="auto"/>
                <w:w w:val="98"/>
              </w:rPr>
              <w:t>Net unamortized debt issuance costs and premium</w:t>
            </w:r>
          </w:p>
        </w:tc>
        <w:tc>
          <w:tcPr>
            <w:tcW w:w="13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senior notes and debentures, net</w:t>
            </w:r>
          </w:p>
        </w:tc>
        <w:tc>
          <w:tcPr>
            <w:tcW w:w="1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3,405,685</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4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Total debt, net</w:t>
            </w:r>
          </w:p>
        </w:tc>
        <w:tc>
          <w:tcPr>
            <w:tcW w:w="136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4,164,350</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4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4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November 26, 2019, we entered into two interest rate swap agreements that fix the interest rate on this mortgage loan at 3.67%</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interest rates on these mortgages range from 3.91% to 5.00%.</w:t>
      </w:r>
    </w:p>
    <w:p>
      <w:pPr>
        <w:spacing w:after="0" w:line="63" w:lineRule="exact"/>
        <w:rPr>
          <w:rFonts w:ascii="Arial" w:cs="Arial" w:eastAsia="Arial" w:hAnsi="Arial"/>
          <w:sz w:val="18"/>
          <w:szCs w:val="18"/>
          <w:color w:val="auto"/>
        </w:rPr>
      </w:pPr>
    </w:p>
    <w:p>
      <w:pPr>
        <w:ind w:left="660" w:right="200" w:hanging="652"/>
        <w:spacing w:after="0" w:line="277"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mortgage loan has a fixed interest rate, however, the rate resets every five years until maturity. The current interest rate is fixed until July 1, 2022, and the loan is prepayable at par anytime after this date.</w:t>
      </w:r>
    </w:p>
    <w:p>
      <w:pPr>
        <w:spacing w:after="0" w:line="8" w:lineRule="exact"/>
        <w:rPr>
          <w:rFonts w:ascii="Arial" w:cs="Arial" w:eastAsia="Arial" w:hAnsi="Arial"/>
          <w:sz w:val="18"/>
          <w:szCs w:val="18"/>
          <w:color w:val="auto"/>
        </w:rPr>
      </w:pP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nine months ended September 30, 2021, there were no borrowings on our $1.0 billion revolving credit facility.</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 loan repaid, at par, on November 2, 2021.</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 loan repaid, at par, on October 12, 2021.</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revolving credit facility and other debt agreements include financial and other covenants that may limit our operating activities in the future. As of September 30, 2021, we were in compliance with all financial and other covenants related to our revolving credit facility, term loan, and senior notes. Additionally, we were in compliance with all of the financial and other covenants that could trigger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September 30, 2021: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Unsecured</w:t>
            </w: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Secured</w:t>
            </w:r>
          </w:p>
        </w:tc>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6"/>
                <w:szCs w:val="16"/>
                <w:color w:val="auto"/>
              </w:rPr>
            </w:pPr>
          </w:p>
        </w:tc>
      </w:tr>
      <w:tr>
        <w:trPr>
          <w:trHeight w:val="187"/>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w w:val="99"/>
              </w:rPr>
              <w:t>(In thousands)</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117,272</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117,433</w:t>
            </w:r>
          </w:p>
        </w:tc>
        <w:tc>
          <w:tcPr>
            <w:tcW w:w="400" w:type="dxa"/>
            <w:vAlign w:val="bottom"/>
            <w:shd w:val="clear" w:color="auto" w:fill="CCEEFF"/>
          </w:tcPr>
          <w:p>
            <w:pPr>
              <w:spacing w:after="0"/>
              <w:rPr>
                <w:sz w:val="20"/>
                <w:szCs w:val="20"/>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3,383</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4,134</w:t>
            </w:r>
          </w:p>
        </w:tc>
        <w:tc>
          <w:tcPr>
            <w:tcW w:w="4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275,765</w:t>
            </w: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279,314</w:t>
            </w:r>
          </w:p>
        </w:tc>
        <w:tc>
          <w:tcPr>
            <w:tcW w:w="400" w:type="dxa"/>
            <w:vAlign w:val="bottom"/>
            <w:shd w:val="clear" w:color="auto" w:fill="CCEEFF"/>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900,656</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5"/>
              </w:rPr>
              <w:t>(2)(3)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3,688</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904,344</w:t>
            </w:r>
          </w:p>
        </w:tc>
        <w:tc>
          <w:tcPr>
            <w:tcW w:w="4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48,033</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48,366</w:t>
            </w:r>
          </w:p>
        </w:tc>
        <w:tc>
          <w:tcPr>
            <w:tcW w:w="400" w:type="dxa"/>
            <w:vAlign w:val="bottom"/>
            <w:shd w:val="clear" w:color="auto" w:fill="CCEEFF"/>
          </w:tcPr>
          <w:p>
            <w:pPr>
              <w:spacing w:after="0"/>
              <w:rPr>
                <w:sz w:val="19"/>
                <w:szCs w:val="19"/>
                <w:color w:val="auto"/>
              </w:rPr>
            </w:pPr>
          </w:p>
        </w:tc>
      </w:tr>
      <w:tr>
        <w:trPr>
          <w:trHeight w:val="23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2,544,289</w:t>
            </w:r>
          </w:p>
        </w:tc>
        <w:tc>
          <w:tcPr>
            <w:tcW w:w="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282,958</w:t>
            </w:r>
          </w:p>
        </w:tc>
        <w:tc>
          <w:tcPr>
            <w:tcW w:w="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2,827,247</w:t>
            </w:r>
          </w:p>
        </w:tc>
        <w:tc>
          <w:tcPr>
            <w:tcW w:w="400" w:type="dxa"/>
            <w:vAlign w:val="bottom"/>
            <w:tcBorders>
              <w:bottom w:val="single" w:sz="8" w:color="CCEEFF"/>
            </w:tcBorders>
          </w:tcPr>
          <w:p>
            <w:pPr>
              <w:spacing w:after="0"/>
              <w:rPr>
                <w:sz w:val="19"/>
                <w:szCs w:val="19"/>
                <w:color w:val="auto"/>
              </w:rPr>
            </w:pPr>
          </w:p>
        </w:tc>
      </w:tr>
      <w:tr>
        <w:trPr>
          <w:trHeight w:val="248"/>
        </w:trPr>
        <w:tc>
          <w:tcPr>
            <w:tcW w:w="5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3,721,955</w:t>
            </w: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458,883</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4,180,838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63" w:lineRule="exact"/>
        <w:rPr>
          <w:sz w:val="20"/>
          <w:szCs w:val="20"/>
          <w:color w:val="auto"/>
        </w:rPr>
      </w:pPr>
    </w:p>
    <w:p>
      <w:pPr>
        <w:ind w:left="660" w:right="220" w:hanging="652"/>
        <w:spacing w:after="0" w:line="277" w:lineRule="auto"/>
        <w:tabs>
          <w:tab w:leader="none" w:pos="3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repaid two mortgage loans, at par, on October 12, 2021 and November 2, 2021 representing $116.8 million of scheduled principal repayments in 2021.</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$300.0 million term loan matures on April 16, 2024, plus two one-year extensions at our option.</w:t>
      </w:r>
    </w:p>
    <w:p>
      <w:pPr>
        <w:spacing w:after="0" w:line="63" w:lineRule="exact"/>
        <w:rPr>
          <w:rFonts w:ascii="Arial" w:cs="Arial" w:eastAsia="Arial" w:hAnsi="Arial"/>
          <w:sz w:val="18"/>
          <w:szCs w:val="18"/>
          <w:color w:val="auto"/>
        </w:rPr>
      </w:pPr>
    </w:p>
    <w:p>
      <w:pPr>
        <w:ind w:left="660" w:right="220" w:hanging="652"/>
        <w:spacing w:after="0" w:line="277" w:lineRule="auto"/>
        <w:tabs>
          <w:tab w:leader="none" w:pos="3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$1.0 billion revolving credit facility matures on January 19, 2024, plus two six-month extensions at our option. As of September 30, 2021, there was no outstanding balance under this credit facility.</w:t>
      </w:r>
    </w:p>
    <w:p>
      <w:pPr>
        <w:spacing w:after="0" w:line="8" w:lineRule="exact"/>
        <w:rPr>
          <w:rFonts w:ascii="Arial" w:cs="Arial" w:eastAsia="Arial" w:hAnsi="Arial"/>
          <w:sz w:val="18"/>
          <w:szCs w:val="18"/>
          <w:color w:val="auto"/>
        </w:rPr>
      </w:pPr>
    </w:p>
    <w:p>
      <w:pPr>
        <w:ind w:left="660" w:right="900" w:hanging="652"/>
        <w:spacing w:after="0" w:line="277" w:lineRule="auto"/>
        <w:tabs>
          <w:tab w:leader="none" w:pos="3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debt issuance costs and premium/discount on mortgage loans, notes payable, and senior notes as of 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10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loss which is included in "accumulated other comprehensive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1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As of September 30, 2021, we have two interest rate swap agreements that effectively fix the rate on a mortgage payable associated with our Hoboken portfolio at 3.67%. Our Assembly Row hotel joint venture is also a party to two interest rate swap agreements that effectively fix their debt at 5.206%. All swaps were designated and qualify as cash flow hedges. Hedge ineffectiveness has not impacted earnings as of September 30, 2021.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16" w:lineRule="exact"/>
        <w:rPr>
          <w:sz w:val="20"/>
          <w:szCs w:val="20"/>
          <w:color w:val="auto"/>
        </w:rPr>
      </w:pPr>
    </w:p>
    <w:p>
      <w:pPr>
        <w:ind w:left="1700" w:right="260" w:hanging="801"/>
        <w:spacing w:after="0" w:line="277" w:lineRule="auto"/>
        <w:tabs>
          <w:tab w:leader="none" w:pos="1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6"/>
                <w:szCs w:val="16"/>
                <w:color w:val="auto"/>
              </w:rPr>
            </w:pPr>
          </w:p>
        </w:tc>
        <w:tc>
          <w:tcPr>
            <w:tcW w:w="19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96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67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20" w:type="dxa"/>
            <w:vAlign w:val="bottom"/>
            <w:gridSpan w:val="7"/>
          </w:tcPr>
          <w:p>
            <w:pPr>
              <w:ind w:left="80"/>
              <w:spacing w:after="0"/>
              <w:rPr>
                <w:sz w:val="20"/>
                <w:szCs w:val="20"/>
                <w:color w:val="auto"/>
              </w:rPr>
            </w:pPr>
            <w:r>
              <w:rPr>
                <w:rFonts w:ascii="Arial" w:cs="Arial" w:eastAsia="Arial" w:hAnsi="Arial"/>
                <w:sz w:val="14"/>
                <w:szCs w:val="14"/>
                <w:b w:val="1"/>
                <w:bCs w:val="1"/>
                <w:color w:val="auto"/>
                <w:w w:val="93"/>
              </w:rPr>
              <w:t>(In thousands, except per share data)</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Impairment charge, net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50,728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170,878</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15,562</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Funds from operations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262,467</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Dividends on preferred shares (1)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21"/>
        </w:trPr>
        <w:tc>
          <w:tcPr>
            <w:tcW w:w="670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Funds from operations available for common shareholders</w:t>
            </w: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117,989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85,031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319,111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257,992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common shares, diluted (1)(2)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78,365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76,149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77,997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76,133</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Funds from operations available for common shareholders, per diluted share (2)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
        </w:trPr>
        <w:tc>
          <w:tcPr>
            <w:tcW w:w="67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67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80" w:hanging="652"/>
        <w:spacing w:after="0" w:line="298" w:lineRule="auto"/>
        <w:tabs>
          <w:tab w:leader="none" w:pos="654"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 the three months ended September 30, 2021, dividends on our Series 1 preferred stock were not deducted in the calculation of FFO available to common shareholders, as the related shares were dilutive and included in "weighted average common shares, diluted."</w:t>
      </w:r>
    </w:p>
    <w:p>
      <w:pPr>
        <w:ind w:left="660" w:right="20" w:hanging="652"/>
        <w:spacing w:after="0" w:line="263"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pacing w:after="0" w:line="200" w:lineRule="exact"/>
        <w:rPr>
          <w:sz w:val="20"/>
          <w:szCs w:val="20"/>
          <w:color w:val="auto"/>
        </w:rPr>
      </w:pPr>
    </w:p>
    <w:p>
      <w:pPr>
        <w:spacing w:after="0" w:line="3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0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majority of our outstanding debt obligations (maturing at various times through 2046) have fixed interest rates which limit the risk of fluctuating interest rates. However, interest rate fluctuations may affect the fair value of our fixed rate debt instruments. At September 30, 2021, we had $3.9 billion of fixed-rate debt outstanding, including $56.5 million of mortgage payables for which the rate is effectively fixed by two interest rate swap agreements. If market interest rates used to calculate the fair value on our fixed-rate debt instruments at September 30, 2021 had been 1.0% higher, the fair value of those debt instruments on that date would have decreased by approximately $270.0 million. If market interest rates used to calculate the fair value on our fixed-rate debt instruments at September 30, 2021 had been 1.0% lower, the fair value of those debt instruments on that date would have increased by approximately $299.9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10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Generally, we believe that our primary interest rate risk is due to fluctuations in interest rates on our outstanding variable rate debt. At September 30, 2021, we had $300.0 million of variable rate debt outstanding (the principal balance on our unsecured term loan). Based upon this amount of variable rate debt and the specific terms, if market interest rates increased 1.0%, our annual interest expense would increase approximately $3.0 million with a corresponding decrease in our net income and cash flows for the year. Conversely, if market interest rates decreased 1.0%, our annual interest expense would decrease by approximately $3.0 million with a corresponding increase in our net income and cash flows for the year.</w:t>
      </w:r>
    </w:p>
    <w:p>
      <w:pPr>
        <w:spacing w:after="0" w:line="1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10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2021. Based on this evaluation, our management, including our Chief Executive Officer and Chief Financial Officer, concluded that our disclosure controls and procedures were effective as of September 30, 2021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quarterly period covered by this report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developments in any of our legal proceedings since the disclosure contained in our Annual Report to Form 10-K for the fiscal year ended December 31, 2020.</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to our Form 10-K for the year ended December 31, 2020 filed with the SEC on February 11, 2021. These factors include, but are not limited to, the following:</w:t>
      </w:r>
    </w:p>
    <w:p>
      <w:pPr>
        <w:spacing w:after="0" w:line="49" w:lineRule="exact"/>
        <w:rPr>
          <w:sz w:val="20"/>
          <w:szCs w:val="20"/>
          <w:color w:val="auto"/>
        </w:rPr>
      </w:pPr>
    </w:p>
    <w:p>
      <w:pPr>
        <w:ind w:left="660" w:right="38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35"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costs associated with the periodic maintenance and repair or renovation of space, insurance and other operations may increase,</w:t>
      </w:r>
    </w:p>
    <w:p>
      <w:pPr>
        <w:spacing w:after="0" w:line="115" w:lineRule="exact"/>
        <w:rPr>
          <w:rFonts w:ascii="Arial" w:cs="Arial" w:eastAsia="Arial" w:hAnsi="Arial"/>
          <w:sz w:val="17"/>
          <w:szCs w:val="17"/>
          <w:color w:val="auto"/>
        </w:rPr>
      </w:pPr>
    </w:p>
    <w:p>
      <w:pPr>
        <w:ind w:left="130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03" w:lineRule="exact"/>
        <w:rPr>
          <w:rFonts w:ascii="Arial" w:cs="Arial" w:eastAsia="Arial" w:hAnsi="Arial"/>
          <w:sz w:val="18"/>
          <w:szCs w:val="18"/>
          <w:color w:val="auto"/>
        </w:rPr>
      </w:pPr>
    </w:p>
    <w:p>
      <w:pPr>
        <w:ind w:left="660" w:right="700" w:hanging="328"/>
        <w:spacing w:after="0" w:line="334"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6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62"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0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Under the terms of various partnership agreements of certain of our affiliated limited partnerships, the interest of limited partners in those limited partnerships may be redeemed, subject to certain conditions, for cash or common shares, at our option.</w:t>
      </w:r>
    </w:p>
    <w:p>
      <w:pPr>
        <w:spacing w:after="0" w:line="49" w:lineRule="exact"/>
        <w:rPr>
          <w:sz w:val="20"/>
          <w:szCs w:val="20"/>
          <w:color w:val="auto"/>
        </w:rPr>
      </w:pPr>
    </w:p>
    <w:p>
      <w:pPr>
        <w:ind w:right="2100"/>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00" w:type="dxa"/>
            <w:vAlign w:val="bottom"/>
          </w:tcPr>
          <w:p>
            <w:pPr>
              <w:ind w:left="2800"/>
              <w:spacing w:after="0"/>
              <w:rPr>
                <w:sz w:val="20"/>
                <w:szCs w:val="20"/>
                <w:color w:val="auto"/>
              </w:rPr>
            </w:pPr>
            <w:r>
              <w:rPr>
                <w:rFonts w:ascii="Arial" w:cs="Arial" w:eastAsia="Arial" w:hAnsi="Arial"/>
                <w:sz w:val="18"/>
                <w:szCs w:val="18"/>
                <w:b w:val="1"/>
                <w:bCs w:val="1"/>
                <w:color w:val="auto"/>
              </w:rPr>
              <w:t>EXHIBIT INDEX</w:t>
            </w:r>
          </w:p>
        </w:tc>
      </w:tr>
      <w:tr>
        <w:trPr>
          <w:trHeight w:val="332"/>
        </w:trPr>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9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9100" w:type="dxa"/>
            <w:vAlign w:val="bottom"/>
          </w:tcPr>
          <w:p>
            <w:pPr>
              <w:spacing w:after="0"/>
              <w:rPr>
                <w:sz w:val="24"/>
                <w:szCs w:val="24"/>
                <w:color w:val="auto"/>
              </w:rPr>
            </w:pPr>
          </w:p>
        </w:tc>
      </w:tr>
      <w:tr>
        <w:trPr>
          <w:trHeight w:val="229"/>
        </w:trPr>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0000FF"/>
            </w:tcBorders>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gridSpan w:val="2"/>
          </w:tcPr>
          <w:p>
            <w:pPr>
              <w:ind w:left="20"/>
              <w:spacing w:after="0"/>
              <w:rPr>
                <w:sz w:val="20"/>
                <w:szCs w:val="20"/>
                <w:color w:val="auto"/>
              </w:rPr>
            </w:pPr>
            <w:r>
              <w:rPr>
                <w:rFonts w:ascii="Arial" w:cs="Arial" w:eastAsia="Arial" w:hAnsi="Arial"/>
                <w:sz w:val="18"/>
                <w:szCs w:val="18"/>
                <w:color w:val="auto"/>
              </w:rPr>
              <w:t>Rule 13a-14(a) Certification of Principal Financial Officer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w w:val="89"/>
              </w:rPr>
              <w:t>Section 1350</w:t>
            </w:r>
          </w:p>
        </w:tc>
        <w:tc>
          <w:tcPr>
            <w:tcW w:w="91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w w:val="89"/>
              </w:rPr>
              <w:t>Section 1350</w:t>
            </w:r>
          </w:p>
        </w:tc>
        <w:tc>
          <w:tcPr>
            <w:tcW w:w="910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bl>
    <w:p>
      <w:pPr>
        <w:spacing w:after="0" w:line="80" w:lineRule="exact"/>
        <w:rPr>
          <w:sz w:val="20"/>
          <w:szCs w:val="20"/>
          <w:color w:val="auto"/>
        </w:rPr>
      </w:pPr>
    </w:p>
    <w:p>
      <w:pPr>
        <w:ind w:left="1140" w:right="40" w:hanging="1114"/>
        <w:spacing w:after="0" w:line="219"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September 30, 2021,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55" w:lineRule="exact"/>
        <w:rPr>
          <w:sz w:val="20"/>
          <w:szCs w:val="20"/>
          <w:color w:val="auto"/>
        </w:rPr>
      </w:pPr>
    </w:p>
    <w:p>
      <w:pPr>
        <w:ind w:left="1140" w:hanging="1114"/>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28"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FEDERAL REALTY INVESTMENT TRUST</w:t>
      </w:r>
    </w:p>
    <w:p>
      <w:pPr>
        <w:spacing w:after="0" w:line="81" w:lineRule="exact"/>
        <w:rPr>
          <w:sz w:val="20"/>
          <w:szCs w:val="20"/>
          <w:color w:val="auto"/>
        </w:rPr>
      </w:pPr>
    </w:p>
    <w:p>
      <w:pPr>
        <w:ind w:left="20"/>
        <w:spacing w:after="0"/>
        <w:tabs>
          <w:tab w:leader="none" w:pos="7520" w:val="left"/>
          <w:tab w:leader="none" w:pos="7880" w:val="left"/>
        </w:tabs>
        <w:rPr>
          <w:sz w:val="20"/>
          <w:szCs w:val="20"/>
          <w:color w:val="auto"/>
        </w:rPr>
      </w:pPr>
      <w:r>
        <w:rPr>
          <w:rFonts w:ascii="Arial" w:cs="Arial" w:eastAsia="Arial" w:hAnsi="Arial"/>
          <w:sz w:val="18"/>
          <w:szCs w:val="18"/>
          <w:color w:val="auto"/>
        </w:rPr>
        <w:t>November 4,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1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FEDERAL REALTY INVESTMENT TRUST</w:t>
      </w:r>
    </w:p>
    <w:p>
      <w:pPr>
        <w:spacing w:after="0" w:line="81" w:lineRule="exact"/>
        <w:rPr>
          <w:sz w:val="20"/>
          <w:szCs w:val="20"/>
          <w:color w:val="auto"/>
        </w:rPr>
      </w:pPr>
    </w:p>
    <w:p>
      <w:pPr>
        <w:ind w:left="20"/>
        <w:spacing w:after="0"/>
        <w:tabs>
          <w:tab w:leader="none" w:pos="7480" w:val="left"/>
          <w:tab w:leader="none" w:pos="7840" w:val="left"/>
        </w:tabs>
        <w:rPr>
          <w:sz w:val="20"/>
          <w:szCs w:val="20"/>
          <w:color w:val="auto"/>
        </w:rPr>
      </w:pPr>
      <w:r>
        <w:rPr>
          <w:rFonts w:ascii="Arial" w:cs="Arial" w:eastAsia="Arial" w:hAnsi="Arial"/>
          <w:sz w:val="18"/>
          <w:szCs w:val="18"/>
          <w:color w:val="auto"/>
        </w:rPr>
        <w:t>November 4,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Daniel Guglielmone,</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Executive Vice President</w:t>
      </w:r>
    </w:p>
    <w:p>
      <w:pPr>
        <w:spacing w:after="0" w:line="23"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jc w:val="center"/>
        <w:ind w:left="576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40"/>
          </w:cols>
          <w:pgMar w:left="320" w:top="126" w:right="1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780" w:hanging="327"/>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7" w:lineRule="auto"/>
        <w:tabs>
          <w:tab w:leader="none" w:pos="134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7760" w:val="left"/>
        </w:tabs>
        <w:rPr>
          <w:sz w:val="20"/>
          <w:szCs w:val="20"/>
          <w:color w:val="auto"/>
        </w:rPr>
      </w:pPr>
      <w:r>
        <w:rPr>
          <w:rFonts w:ascii="Arial" w:cs="Arial" w:eastAsia="Arial" w:hAnsi="Arial"/>
          <w:sz w:val="18"/>
          <w:szCs w:val="18"/>
          <w:color w:val="auto"/>
        </w:rPr>
        <w:t>November 4, 2021</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780" w:hanging="327"/>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7" w:lineRule="auto"/>
        <w:tabs>
          <w:tab w:leader="none" w:pos="1345"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7640" w:val="left"/>
        </w:tabs>
        <w:rPr>
          <w:sz w:val="20"/>
          <w:szCs w:val="20"/>
          <w:color w:val="auto"/>
        </w:rPr>
      </w:pPr>
      <w:r>
        <w:rPr>
          <w:rFonts w:ascii="Arial" w:cs="Arial" w:eastAsia="Arial" w:hAnsi="Arial"/>
          <w:sz w:val="18"/>
          <w:szCs w:val="18"/>
          <w:color w:val="auto"/>
        </w:rPr>
        <w:t>November 4, 2021</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2021 (the “Report”). The undersigned hereby certifies, to the best of his knowledge, that:</w:t>
      </w:r>
    </w:p>
    <w:p>
      <w:pPr>
        <w:spacing w:after="0" w:line="76" w:lineRule="exact"/>
        <w:rPr>
          <w:sz w:val="20"/>
          <w:szCs w:val="20"/>
          <w:color w:val="auto"/>
        </w:rPr>
      </w:pPr>
    </w:p>
    <w:p>
      <w:pPr>
        <w:ind w:left="1300" w:hanging="887"/>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2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20"/>
        <w:spacing w:after="0"/>
        <w:tabs>
          <w:tab w:leader="none" w:pos="7760" w:val="left"/>
        </w:tabs>
        <w:rPr>
          <w:sz w:val="20"/>
          <w:szCs w:val="20"/>
          <w:color w:val="auto"/>
        </w:rPr>
      </w:pPr>
      <w:r>
        <w:rPr>
          <w:rFonts w:ascii="Arial" w:cs="Arial" w:eastAsia="Arial" w:hAnsi="Arial"/>
          <w:sz w:val="18"/>
          <w:szCs w:val="18"/>
          <w:color w:val="auto"/>
        </w:rPr>
        <w:t>November 4, 2021</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20" w:firstLine="445"/>
        <w:spacing w:after="0" w:line="311"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September 30, 2021 (the “Report”). The undersigned hereby certifies, to the best of his knowledge, that:</w:t>
      </w:r>
    </w:p>
    <w:p>
      <w:pPr>
        <w:spacing w:after="0" w:line="41" w:lineRule="exact"/>
        <w:rPr>
          <w:sz w:val="20"/>
          <w:szCs w:val="20"/>
          <w:color w:val="auto"/>
        </w:rPr>
      </w:pPr>
    </w:p>
    <w:p>
      <w:pPr>
        <w:ind w:left="1300" w:hanging="887"/>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2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20"/>
        <w:spacing w:after="0"/>
        <w:tabs>
          <w:tab w:leader="none" w:pos="7640" w:val="left"/>
        </w:tabs>
        <w:rPr>
          <w:sz w:val="20"/>
          <w:szCs w:val="20"/>
          <w:color w:val="auto"/>
        </w:rPr>
      </w:pPr>
      <w:r>
        <w:rPr>
          <w:rFonts w:ascii="Arial" w:cs="Arial" w:eastAsia="Arial" w:hAnsi="Arial"/>
          <w:sz w:val="18"/>
          <w:szCs w:val="18"/>
          <w:color w:val="auto"/>
        </w:rPr>
        <w:t>November 4, 2021</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6"/>
    </w:lvl>
  </w:abstractNum>
  <w:abstractNum w:abstractNumId="9">
    <w:nsid w:val="189A769B"/>
    <w:multiLevelType w:val="hybridMultilevel"/>
    <w:lvl w:ilvl="0">
      <w:lvlJc w:val="left"/>
      <w:lvlText w:val="(%1)"/>
      <w:numFmt w:val="lowerRoman"/>
      <w:start w:val="3"/>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
      <w:numFmt w:val="bullet"/>
      <w:start w:val="1"/>
    </w:lvl>
    <w:lvl w:ilvl="1">
      <w:lvlJc w:val="left"/>
      <w:lvlText w:val="◦"/>
      <w:numFmt w:val="bullet"/>
      <w:start w:val="1"/>
    </w:lvl>
  </w:abstractNum>
  <w:abstractNum w:abstractNumId="37">
    <w:nsid w:val="580BD78F"/>
    <w:multiLevelType w:val="hybridMultilevel"/>
    <w:lvl w:ilvl="0">
      <w:lvlJc w:val="left"/>
      <w:lvlText w:val="%1"/>
      <w:numFmt w:val="decimal"/>
      <w:start w:val="101"/>
    </w:lvl>
  </w:abstractNum>
  <w:abstractNum w:abstractNumId="38">
    <w:nsid w:val="153EA438"/>
    <w:multiLevelType w:val="hybridMultilevel"/>
    <w:lvl w:ilvl="0">
      <w:lvlJc w:val="left"/>
      <w:lvlText w:val="%1"/>
      <w:numFmt w:val="decimal"/>
      <w:start w:val="104"/>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31" Type="http://schemas.openxmlformats.org/officeDocument/2006/relationships/hyperlink" Target="https://www.sec.gov/ix?doc=/Archives/edgar/data/34903/000003490321000020/frt-2020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2021-11-04T15:42:20Z</dcterms:created>
  <dcterms:modified xsi:type="dcterms:W3CDTF">2021-11-04T15:42:20Z</dcterms:modified>
</cp:coreProperties>
</file>