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333-255863</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9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79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$54,550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80" w:hanging="424"/>
        <w:spacing w:after="0" w:line="25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in accordance with Rule 457(o) under the Securities Act, based on the proposed maximum aggregate offering price, and Rule 457(r) under the Securities Act. Pursuant to Rule 457(p) under the Securities Act, the Registrant is offsetting the registration fee of $54,550 by $44,115, which represents the portion of the registration fee previously paid by the Registrant with respect to $404,357,716 in aggregate offering price of unsold securities registered on the Registration Statement on Form S-3 (File No. 333-224701) and offered by means of a prospectus supplement dated February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182245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MAY 7, 2021)</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178435</wp:posOffset>
            </wp:positionV>
            <wp:extent cx="1920240" cy="574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have entered into an equity distribution agreement, dated February 24, 2021, as amended on May 7, 2021, with Wells Fargo Securities, LLC, BofA Securities, Inc., Citigroup Global Markets Inc., J.P. Morgan Securities LLC and Jefferies LLC, or the Agents, and the forward purchasers (as defined below) relating to our common shares of beneficial interest, $0.01 par value per share, offered by this prospectus supplement and the accompanying prospectus pursuant to a continuous offering program. In accordance with the terms of the equity distribution agreement, an aggregate offering price of up to $500,000,000 of our common shares, as of the date of this prospectus supplement, may from time to time be offered and sold to or through the Agents as our sales agents or, if applicable, as forward sellers. Prior to the May 7, 2021 amendment, we had sold common shares under the equity distribution agreement having an aggregate offering price of $95,642,284, including common shares currently subject to outstanding forward sales agreements as discussed herein. The May 7, 2021 amendment increased the amount of common shares we may sell under the equity distribution agreement such that an aggregate offering price of $500,000,000 of our common shares remain available, as of the date of this prospectus supplement, for sale pursuant to the terms thereof. Unless the context otherwise requires, references in this prospectus supplement to the equity distribution agreement mean the equity distribution agreement as amended by the May 7, 2021 amendment.</w:t>
      </w:r>
    </w:p>
    <w:p>
      <w:pPr>
        <w:spacing w:after="0" w:line="17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common shares are listed on the New York Stock Exchange, or the NYSE, under the symbol “FRT.” On May 6, 2021, the last reported sale price of our common shares on the NYSE was $113.98 per share.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Sales of our common shares, if any, under this prospectus supplement and the accompanying prospectus may be made in transactions that are deemed to be “at the market” offerings, including sales made directly on the NYSE or sales made to or through a market maker other than on an exchange, or in negotiated transactions, which may include block trades. The Agents are not required to sell any specific number or dollar amount of common shares, but as instructed by us will make all sales using commercially reasonable efforts, as our sales agents or as forward sellers and subject to the terms of the equity distribution agreement. Our common shares to which this prospectus supplement relates will be sold through only one Agent on any given day. The offering of common shares pursuant to the equity distribution agreement will terminate upon the earlier of (1) the sale of common shares having an aggregate offering price of $500,000,000, from the date of this prospectus supplement, and (2) the termination of the equity distribution agreement.</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equity distribution agreement contemplates that, in addition to the issuance and sale by us of common shares to or through the Agents as our sales agents, we may enter into separate forward sale agreements with any one of the Agents, or one of their respective affiliates, whom we refer to as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refer to an Agent when acting as sales agent for the relevant forward purchaser as a forward seller. Unless otherwise expressly stated or the context otherwise requires, references herein to the “related” or “relevant” forward purchaser mean, with respect to any Agent, the affiliate of such Agent that is acting as forward purchaser or, if applicable, such Agent acting in its capacity as forward purchaser. We will not initially receive any proceeds from any sale of common shares borrowed by a forward purchaser (or its affiliate) and sold through a forward seller.</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currently expect to fully physically settle each forward sale agreement, if any, with the relevant forward purchaser on one or more dates specified by us on or prior to the maturity date of such forward sale agreement, in which case we expect to receive aggregate net cash proceeds at settlement equal to the number of common shares specified in such forward sale agreement multiplied by the relevant forward price per share. However, subject to certain exceptions, we may also elect, in our sole discretion, to cash settle or net share settle all or any portion of our obligations under any forward sale agreement, in which case we may not (in the case of cash settlement) or will not (in the case of net share settlement) receive any proceeds, and we may owe cash (in the case of cash settlement) or common shares (in the case of net share settlement) to the relevant forward purchaser. See “Plan of Distribution” in this prospectus supplement.</w:t>
      </w:r>
    </w:p>
    <w:p>
      <w:pPr>
        <w:spacing w:after="0" w:line="17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120" w:firstLine="440"/>
        <w:spacing w:after="0" w:line="300"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shares involves risks. See the information under the caption “</w:t>
      </w:r>
      <w:hyperlink w:anchor="page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in this prospectus supplement, our most recent Annual Report on Form 10-K filed with the Securities and Exchange Commission, or the SEC, and subsequent filings that we make with the SEC that are incorporated by reference herein.</w:t>
      </w:r>
    </w:p>
    <w:p>
      <w:pPr>
        <w:spacing w:after="0" w:line="13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120" w:right="1300"/>
        <w:spacing w:after="0" w:line="354" w:lineRule="auto"/>
        <w:rPr>
          <w:sz w:val="20"/>
          <w:szCs w:val="20"/>
          <w:color w:val="auto"/>
        </w:rPr>
      </w:pPr>
      <w:r>
        <w:rPr>
          <w:rFonts w:ascii="Arial" w:cs="Arial" w:eastAsia="Arial" w:hAnsi="Arial"/>
          <w:sz w:val="25"/>
          <w:szCs w:val="25"/>
          <w:b w:val="1"/>
          <w:bCs w:val="1"/>
          <w:color w:val="auto"/>
        </w:rPr>
        <w:t>Wells Fargo Securities 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7"/>
          <w:szCs w:val="27"/>
          <w:b w:val="1"/>
          <w:bCs w:val="1"/>
          <w:color w:val="auto"/>
        </w:rPr>
        <w:t>Citigroup</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Jefferies</w:t>
      </w:r>
    </w:p>
    <w:p>
      <w:pPr>
        <w:spacing w:after="0" w:line="215" w:lineRule="exact"/>
        <w:rPr>
          <w:sz w:val="20"/>
          <w:szCs w:val="20"/>
          <w:color w:val="auto"/>
        </w:rPr>
      </w:pPr>
    </w:p>
    <w:p>
      <w:pPr>
        <w:sectPr>
          <w:pgSz w:w="11900" w:h="16838" w:orient="portrait"/>
          <w:cols w:equalWidth="0" w:num="3">
            <w:col w:w="4160" w:space="720"/>
            <w:col w:w="4340" w:space="720"/>
            <w:col w:w="12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The date of this prospectus supplement is May 7, 2021.</w:t>
      </w:r>
    </w:p>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80" w:type="dxa"/>
            <w:vAlign w:val="bottom"/>
            <w:gridSpan w:val="11"/>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 Supplement</w:t>
              </w:r>
            </w:hyperlink>
          </w:p>
        </w:tc>
        <w:tc>
          <w:tcPr>
            <w:tcW w:w="2360" w:type="dxa"/>
            <w:vAlign w:val="bottom"/>
            <w:gridSpan w:val="6"/>
            <w:vMerge w:val="restart"/>
          </w:tcPr>
          <w:p>
            <w:pPr>
              <w:spacing w:after="0"/>
              <w:rPr>
                <w:sz w:val="14"/>
                <w:szCs w:val="14"/>
                <w:color w:val="auto"/>
              </w:rPr>
            </w:pPr>
          </w:p>
        </w:tc>
        <w:tc>
          <w:tcPr>
            <w:tcW w:w="5720" w:type="dxa"/>
            <w:vAlign w:val="bottom"/>
          </w:tcPr>
          <w:p>
            <w:pPr>
              <w:spacing w:after="0"/>
              <w:rPr>
                <w:sz w:val="14"/>
                <w:szCs w:val="14"/>
                <w:color w:val="auto"/>
              </w:rPr>
            </w:pPr>
          </w:p>
        </w:tc>
        <w:tc>
          <w:tcPr>
            <w:tcW w:w="420" w:type="dxa"/>
            <w:vAlign w:val="bottom"/>
            <w:gridSpan w:val="3"/>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480" w:type="dxa"/>
            <w:vAlign w:val="bottom"/>
            <w:tcBorders>
              <w:bottom w:val="single" w:sz="8" w:color="0000EE"/>
            </w:tcBorders>
            <w:gridSpan w:val="11"/>
            <w:vMerge w:val="continue"/>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840" w:type="dxa"/>
            <w:vAlign w:val="bottom"/>
            <w:gridSpan w:val="1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Cautionary Statement Concerning Forward-Looking Statements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304"/>
        </w:trPr>
        <w:tc>
          <w:tcPr>
            <w:tcW w:w="460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tcBorders>
            <w:gridSpan w:val="1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2420" w:type="dxa"/>
            <w:vAlign w:val="bottom"/>
            <w:gridSpan w:val="7"/>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4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4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Plan of Distribution (Conflicts of Interest)</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304"/>
        </w:trPr>
        <w:tc>
          <w:tcPr>
            <w:tcW w:w="3020" w:type="dxa"/>
            <w:vAlign w:val="bottom"/>
            <w:tcBorders>
              <w:top w:val="single" w:sz="8" w:color="0000EE"/>
            </w:tcBorders>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Experts</w:t>
              </w:r>
            </w:hyperlink>
          </w:p>
        </w:tc>
        <w:tc>
          <w:tcPr>
            <w:tcW w:w="1820" w:type="dxa"/>
            <w:vAlign w:val="bottom"/>
            <w:gridSpan w:val="4"/>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4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gridSpan w:val="4"/>
          </w:tcPr>
          <w:p>
            <w:pPr>
              <w:jc w:val="center"/>
              <w:ind w:right="4820"/>
              <w:spacing w:after="0"/>
              <w:rPr>
                <w:sz w:val="20"/>
                <w:szCs w:val="20"/>
                <w:color w:val="auto"/>
              </w:rPr>
            </w:pPr>
            <w:r>
              <w:rPr>
                <w:rFonts w:ascii="Arial" w:cs="Arial" w:eastAsia="Arial" w:hAnsi="Arial"/>
                <w:sz w:val="18"/>
                <w:szCs w:val="18"/>
                <w:b w:val="1"/>
                <w:bCs w:val="1"/>
                <w:color w:val="auto"/>
                <w:w w:val="85"/>
              </w:rPr>
              <w:t>Prospectus</w:t>
            </w:r>
          </w:p>
        </w:tc>
        <w:tc>
          <w:tcPr>
            <w:tcW w:w="0" w:type="dxa"/>
            <w:vAlign w:val="bottom"/>
          </w:tcPr>
          <w:p>
            <w:pPr>
              <w:spacing w:after="0"/>
              <w:rPr>
                <w:sz w:val="1"/>
                <w:szCs w:val="1"/>
                <w:color w:val="auto"/>
              </w:rPr>
            </w:pPr>
          </w:p>
        </w:tc>
      </w:tr>
      <w:tr>
        <w:trPr>
          <w:trHeight w:val="391"/>
        </w:trPr>
        <w:tc>
          <w:tcPr>
            <w:tcW w:w="1580" w:type="dxa"/>
            <w:vAlign w:val="bottom"/>
            <w:gridSpan w:val="7"/>
            <w:vMerge w:val="restart"/>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About this Prospectus</w:t>
              </w:r>
            </w:hyperlink>
          </w:p>
        </w:tc>
        <w:tc>
          <w:tcPr>
            <w:tcW w:w="3260" w:type="dxa"/>
            <w:vAlign w:val="bottom"/>
            <w:gridSpan w:val="10"/>
            <w:vMerge w:val="restart"/>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7"/>
            <w:vMerge w:val="continue"/>
          </w:tcPr>
          <w:p>
            <w:pPr>
              <w:spacing w:after="0"/>
              <w:rPr>
                <w:sz w:val="14"/>
                <w:szCs w:val="14"/>
                <w:color w:val="auto"/>
              </w:rPr>
            </w:pPr>
          </w:p>
        </w:tc>
        <w:tc>
          <w:tcPr>
            <w:tcW w:w="3260" w:type="dxa"/>
            <w:vAlign w:val="bottom"/>
            <w:gridSpan w:val="10"/>
            <w:vMerge w:val="continue"/>
          </w:tcPr>
          <w:p>
            <w:pPr>
              <w:spacing w:after="0"/>
              <w:rPr>
                <w:sz w:val="14"/>
                <w:szCs w:val="14"/>
                <w:color w:val="auto"/>
              </w:rPr>
            </w:pPr>
          </w:p>
        </w:tc>
        <w:tc>
          <w:tcPr>
            <w:tcW w:w="5820" w:type="dxa"/>
            <w:vAlign w:val="bottom"/>
            <w:gridSpan w:val="2"/>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84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Forward-Looking Statements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100" w:type="dxa"/>
            <w:vAlign w:val="bottom"/>
            <w:tcBorders>
              <w:top w:val="single" w:sz="8" w:color="0000EE"/>
            </w:tcBorders>
            <w:gridSpan w:val="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Prospectus Summary</w:t>
              </w:r>
            </w:hyperlink>
          </w:p>
        </w:tc>
        <w:tc>
          <w:tcPr>
            <w:tcW w:w="2740" w:type="dxa"/>
            <w:vAlign w:val="bottom"/>
            <w:gridSpan w:val="9"/>
          </w:tcPr>
          <w:p>
            <w:pPr>
              <w:spacing w:after="0"/>
              <w:rPr>
                <w:sz w:val="24"/>
                <w:szCs w:val="24"/>
                <w:color w:val="auto"/>
              </w:rPr>
            </w:pPr>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52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3320" w:type="dxa"/>
            <w:vAlign w:val="bottom"/>
            <w:gridSpan w:val="11"/>
          </w:tcPr>
          <w:p>
            <w:pPr>
              <w:spacing w:after="0"/>
              <w:rPr>
                <w:sz w:val="24"/>
                <w:szCs w:val="24"/>
                <w:color w:val="auto"/>
              </w:rPr>
            </w:pPr>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4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Description of Debt Securities</w:t>
              </w:r>
            </w:hyperlink>
          </w:p>
        </w:tc>
        <w:tc>
          <w:tcPr>
            <w:tcW w:w="2660" w:type="dxa"/>
            <w:vAlign w:val="bottom"/>
            <w:gridSpan w:val="8"/>
          </w:tcPr>
          <w:p>
            <w:pPr>
              <w:spacing w:after="0"/>
              <w:rPr>
                <w:sz w:val="24"/>
                <w:szCs w:val="24"/>
                <w:color w:val="auto"/>
              </w:rPr>
            </w:pPr>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Description of Shares of Beneficial Interest</w:t>
              </w:r>
            </w:hyperlink>
          </w:p>
        </w:tc>
        <w:tc>
          <w:tcPr>
            <w:tcW w:w="1720" w:type="dxa"/>
            <w:vAlign w:val="bottom"/>
            <w:gridSpan w:val="3"/>
          </w:tcPr>
          <w:p>
            <w:pPr>
              <w:spacing w:after="0"/>
              <w:rPr>
                <w:sz w:val="24"/>
                <w:szCs w:val="24"/>
                <w:color w:val="auto"/>
              </w:rPr>
            </w:pPr>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32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Material Federal Income Tax Considerations</w:t>
              </w:r>
            </w:hyperlink>
          </w:p>
        </w:tc>
        <w:tc>
          <w:tcPr>
            <w:tcW w:w="1620" w:type="dxa"/>
            <w:vAlign w:val="bottom"/>
            <w:gridSpan w:val="2"/>
          </w:tcPr>
          <w:p>
            <w:pPr>
              <w:spacing w:after="0"/>
              <w:rPr>
                <w:sz w:val="24"/>
                <w:szCs w:val="24"/>
                <w:color w:val="auto"/>
              </w:rPr>
            </w:pPr>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840" w:type="dxa"/>
            <w:vAlign w:val="bottom"/>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tcBorders>
            <w:gridSpan w:val="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Legal Matters</w:t>
              </w:r>
            </w:hyperlink>
          </w:p>
        </w:tc>
        <w:tc>
          <w:tcPr>
            <w:tcW w:w="3420" w:type="dxa"/>
            <w:vAlign w:val="bottom"/>
            <w:gridSpan w:val="12"/>
          </w:tcPr>
          <w:p>
            <w:pPr>
              <w:spacing w:after="0"/>
              <w:rPr>
                <w:sz w:val="24"/>
                <w:szCs w:val="24"/>
                <w:color w:val="auto"/>
              </w:rPr>
            </w:pPr>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3840" w:type="dxa"/>
            <w:vAlign w:val="bottom"/>
            <w:gridSpan w:val="14"/>
          </w:tcPr>
          <w:p>
            <w:pPr>
              <w:spacing w:after="0"/>
              <w:rPr>
                <w:sz w:val="24"/>
                <w:szCs w:val="24"/>
                <w:color w:val="auto"/>
              </w:rPr>
            </w:pPr>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40" w:type="dxa"/>
            <w:vAlign w:val="bottom"/>
            <w:gridSpan w:val="1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Where You Can Find More Information</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8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gridSpan w:val="4"/>
          </w:tcPr>
          <w:p>
            <w:pPr>
              <w:jc w:val="center"/>
              <w:ind w:right="4820"/>
              <w:spacing w:after="0"/>
              <w:rPr>
                <w:sz w:val="20"/>
                <w:szCs w:val="20"/>
                <w:color w:val="auto"/>
              </w:rPr>
            </w:pPr>
            <w:r>
              <w:rPr>
                <w:rFonts w:ascii="Arial" w:cs="Arial" w:eastAsia="Arial" w:hAnsi="Arial"/>
                <w:sz w:val="18"/>
                <w:szCs w:val="18"/>
                <w:color w:val="auto"/>
                <w:w w:val="98"/>
              </w:rPr>
              <w:t>i</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78"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4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Agents or the forward purchasers, authorized any other person to provide you with additional or different information. If anyone provides you with additional or different information, you should not rely on it. We are not, nor are the Agents or the forward purchasers,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or incorporated by reference into this prospectus supplement and the accompanying prospectus describe forward-looking information. The risk factors contained herein, in our most recent Annual Report on Form 10-K filed with the Securities and Exchange Commission, or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91" w:lineRule="exact"/>
        <w:rPr>
          <w:sz w:val="20"/>
          <w:szCs w:val="20"/>
          <w:color w:val="auto"/>
        </w:rPr>
      </w:pPr>
    </w:p>
    <w:p>
      <w:pPr>
        <w:ind w:left="1080" w:right="15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1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 See “Where You Can Find More Information” in the accompanying prospectus.</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an equity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March 31, 2021, we owned or had a majority interest in community and neighborhood shopping centers and mixed- use properties which are operated as 101 predominantly retail real estate projects comprising approximately 23.3 million square feet. In total, the real estate projects were 91.8% leased and 89.5% occupied at March 31, 2021. Our revenue is primarily generated from lease agreements with tenants. We have paid quarterly dividends to our shareholders continuously since our founding in 1962 and have increased our dividends per common share for 53 consecutive years.</w:t>
      </w:r>
    </w:p>
    <w:p>
      <w:pPr>
        <w:spacing w:after="0" w:line="177" w:lineRule="exact"/>
        <w:rPr>
          <w:sz w:val="20"/>
          <w:szCs w:val="20"/>
          <w:color w:val="auto"/>
        </w:rPr>
      </w:pPr>
    </w:p>
    <w:p>
      <w:pPr>
        <w:jc w:val="both"/>
        <w:ind w:left="120" w:right="260" w:firstLine="440"/>
        <w:spacing w:after="0" w:line="287"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909 Rose Avenue, Suite 200, North Bethesda, Maryland 20852. Our telephone number is (301)</w:t>
      </w:r>
    </w:p>
    <w:p>
      <w:pPr>
        <w:spacing w:after="0" w:line="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998-8100. Our website address is www.federalrealty.com. The information contained on our website is not a part of this prospectus supplement or the accompanying prospectus and is not incorporated herein or therein by reference.</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For a more complete description of the terms of the common shares being offered by this prospectus supplement and the accompanying prospectus, see “Description of Shares of Beneficial Interest” in the accompanying prospectus.</w:t>
      </w:r>
    </w:p>
    <w:p>
      <w:pPr>
        <w:spacing w:after="0" w:line="197" w:lineRule="exact"/>
        <w:rPr>
          <w:sz w:val="20"/>
          <w:szCs w:val="20"/>
          <w:color w:val="auto"/>
        </w:rPr>
      </w:pPr>
    </w:p>
    <w:p>
      <w:pPr>
        <w:ind w:left="400"/>
        <w:spacing w:after="0"/>
        <w:tabs>
          <w:tab w:leader="none" w:pos="3420" w:val="left"/>
        </w:tabs>
        <w:rPr>
          <w:sz w:val="20"/>
          <w:szCs w:val="20"/>
          <w:color w:val="auto"/>
        </w:rPr>
      </w:pPr>
      <w:r>
        <w:rPr>
          <w:rFonts w:ascii="Arial" w:cs="Arial" w:eastAsia="Arial" w:hAnsi="Arial"/>
          <w:sz w:val="18"/>
          <w:szCs w:val="18"/>
          <w:color w:val="auto"/>
        </w:rPr>
        <w:t>Common shares offered</w:t>
      </w:r>
      <w:r>
        <w:rPr>
          <w:sz w:val="20"/>
          <w:szCs w:val="20"/>
          <w:color w:val="auto"/>
        </w:rPr>
        <w:tab/>
      </w:r>
      <w:r>
        <w:rPr>
          <w:rFonts w:ascii="Arial" w:cs="Arial" w:eastAsia="Arial" w:hAnsi="Arial"/>
          <w:sz w:val="16"/>
          <w:szCs w:val="16"/>
          <w:color w:val="auto"/>
        </w:rPr>
        <w:t>Common shares with an aggregate offering price of up to $500,000,000.</w:t>
      </w:r>
    </w:p>
    <w:p>
      <w:pPr>
        <w:spacing w:after="0" w:line="225" w:lineRule="exact"/>
        <w:rPr>
          <w:sz w:val="20"/>
          <w:szCs w:val="20"/>
          <w:color w:val="auto"/>
        </w:rPr>
      </w:pPr>
    </w:p>
    <w:p>
      <w:pPr>
        <w:ind w:left="400"/>
        <w:spacing w:after="0"/>
        <w:tabs>
          <w:tab w:leader="none" w:pos="3420" w:val="left"/>
        </w:tabs>
        <w:rPr>
          <w:sz w:val="20"/>
          <w:szCs w:val="20"/>
          <w:color w:val="auto"/>
        </w:rPr>
      </w:pPr>
      <w:r>
        <w:rPr>
          <w:rFonts w:ascii="Arial" w:cs="Arial" w:eastAsia="Arial" w:hAnsi="Arial"/>
          <w:sz w:val="18"/>
          <w:szCs w:val="18"/>
          <w:color w:val="auto"/>
        </w:rPr>
        <w:t>New York Stock Exchange symbol</w:t>
      </w:r>
      <w:r>
        <w:rPr>
          <w:sz w:val="20"/>
          <w:szCs w:val="20"/>
          <w:color w:val="auto"/>
        </w:rPr>
        <w:tab/>
      </w:r>
      <w:r>
        <w:rPr>
          <w:rFonts w:ascii="Arial" w:cs="Arial" w:eastAsia="Arial" w:hAnsi="Arial"/>
          <w:sz w:val="15"/>
          <w:szCs w:val="15"/>
          <w:color w:val="auto"/>
        </w:rPr>
        <w:t>FRT</w:t>
      </w:r>
    </w:p>
    <w:p>
      <w:pPr>
        <w:spacing w:after="0" w:line="225" w:lineRule="exact"/>
        <w:rPr>
          <w:sz w:val="20"/>
          <w:szCs w:val="20"/>
          <w:color w:val="auto"/>
        </w:rPr>
      </w:pPr>
    </w:p>
    <w:p>
      <w:pPr>
        <w:ind w:left="400"/>
        <w:spacing w:after="0"/>
        <w:tabs>
          <w:tab w:leader="none" w:pos="34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and any forward sale agreement to fund potential</w:t>
      </w:r>
    </w:p>
    <w:p>
      <w:pPr>
        <w:spacing w:after="0" w:line="23" w:lineRule="exact"/>
        <w:rPr>
          <w:sz w:val="20"/>
          <w:szCs w:val="20"/>
          <w:color w:val="auto"/>
        </w:rPr>
      </w:pPr>
    </w:p>
    <w:p>
      <w:pPr>
        <w:ind w:left="3440" w:right="380"/>
        <w:spacing w:after="0" w:line="323" w:lineRule="auto"/>
        <w:rPr>
          <w:sz w:val="20"/>
          <w:szCs w:val="20"/>
          <w:color w:val="auto"/>
        </w:rPr>
      </w:pPr>
      <w:r>
        <w:rPr>
          <w:rFonts w:ascii="Arial" w:cs="Arial" w:eastAsia="Arial" w:hAnsi="Arial"/>
          <w:sz w:val="16"/>
          <w:szCs w:val="16"/>
          <w:color w:val="auto"/>
        </w:rPr>
        <w:t>acquisition opportunities, to fund our development or redevelopment pipeline, to repay indebtedness and/or for general corporate purposes. See “Use of Proceeds” on page S-3 for more information.</w:t>
      </w:r>
    </w:p>
    <w:p>
      <w:pPr>
        <w:sectPr>
          <w:pgSz w:w="11900" w:h="16838" w:orient="portrait"/>
          <w:cols w:equalWidth="0" w:num="1">
            <w:col w:w="11040"/>
          </w:cols>
          <w:pgMar w:left="320" w:top="459" w:right="539" w:bottom="1440" w:gutter="0" w:footer="0" w:header="0"/>
        </w:sectPr>
      </w:pPr>
    </w:p>
    <w:p>
      <w:pPr>
        <w:spacing w:after="0" w:line="138"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Material U.S. federal income tax considerations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For a description of material U.S. federal income tax considerations of an investment in our common shares, please review the disclosure in the accompanying prospectus under “Material Federal Income Tax Considerations,” as may be updated from time to time in filings we make with the SEC that are incorporated by reference in the accompanying prospectus.</w:t>
      </w:r>
    </w:p>
    <w:p>
      <w:pPr>
        <w:spacing w:after="0" w:line="10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S-1</w:t>
      </w:r>
    </w:p>
    <w:p>
      <w:pPr>
        <w:sectPr>
          <w:pgSz w:w="11900" w:h="16838" w:orient="portrait"/>
          <w:cols w:equalWidth="0" w:num="2">
            <w:col w:w="2760" w:space="680"/>
            <w:col w:w="7600"/>
          </w:cols>
          <w:pgMar w:left="320" w:top="459" w:right="5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9460" w:type="dxa"/>
            <w:vAlign w:val="bottom"/>
          </w:tcPr>
          <w:p>
            <w:pPr>
              <w:spacing w:after="0"/>
              <w:rPr>
                <w:sz w:val="17"/>
                <w:szCs w:val="17"/>
                <w:color w:val="auto"/>
              </w:rPr>
            </w:pPr>
          </w:p>
        </w:tc>
      </w:tr>
      <w:tr>
        <w:trPr>
          <w:trHeight w:val="519"/>
        </w:trPr>
        <w:tc>
          <w:tcPr>
            <w:tcW w:w="1360" w:type="dxa"/>
            <w:vAlign w:val="bottom"/>
          </w:tcPr>
          <w:p>
            <w:pPr>
              <w:ind w:left="400"/>
              <w:spacing w:after="0"/>
              <w:rPr>
                <w:sz w:val="20"/>
                <w:szCs w:val="20"/>
                <w:color w:val="auto"/>
              </w:rPr>
            </w:pPr>
            <w:r>
              <w:rPr>
                <w:rFonts w:ascii="Arial" w:cs="Arial" w:eastAsia="Arial" w:hAnsi="Arial"/>
                <w:sz w:val="18"/>
                <w:szCs w:val="18"/>
                <w:color w:val="auto"/>
                <w:w w:val="99"/>
              </w:rPr>
              <w:t>Risk factors</w:t>
            </w:r>
          </w:p>
        </w:tc>
        <w:tc>
          <w:tcPr>
            <w:tcW w:w="9460" w:type="dxa"/>
            <w:vAlign w:val="bottom"/>
          </w:tcPr>
          <w:p>
            <w:pPr>
              <w:ind w:left="2080"/>
              <w:spacing w:after="0"/>
              <w:rPr>
                <w:sz w:val="20"/>
                <w:szCs w:val="20"/>
                <w:color w:val="auto"/>
              </w:rPr>
            </w:pPr>
            <w:r>
              <w:rPr>
                <w:rFonts w:ascii="Arial" w:cs="Arial" w:eastAsia="Arial" w:hAnsi="Arial"/>
                <w:sz w:val="18"/>
                <w:szCs w:val="18"/>
                <w:color w:val="auto"/>
                <w:w w:val="89"/>
              </w:rPr>
              <w:t>Investing in our common shares involves risks. Please review the risk factors discussed on page S-3 of</w:t>
            </w:r>
          </w:p>
        </w:tc>
      </w:tr>
      <w:tr>
        <w:trPr>
          <w:trHeight w:val="216"/>
        </w:trPr>
        <w:tc>
          <w:tcPr>
            <w:tcW w:w="1360" w:type="dxa"/>
            <w:vAlign w:val="bottom"/>
          </w:tcPr>
          <w:p>
            <w:pPr>
              <w:spacing w:after="0"/>
              <w:rPr>
                <w:sz w:val="18"/>
                <w:szCs w:val="18"/>
                <w:color w:val="auto"/>
              </w:rPr>
            </w:pPr>
          </w:p>
        </w:tc>
        <w:tc>
          <w:tcPr>
            <w:tcW w:w="9460" w:type="dxa"/>
            <w:vAlign w:val="bottom"/>
          </w:tcPr>
          <w:p>
            <w:pPr>
              <w:ind w:left="2080"/>
              <w:spacing w:after="0"/>
              <w:rPr>
                <w:sz w:val="20"/>
                <w:szCs w:val="20"/>
                <w:color w:val="auto"/>
              </w:rPr>
            </w:pPr>
            <w:r>
              <w:rPr>
                <w:rFonts w:ascii="Arial" w:cs="Arial" w:eastAsia="Arial" w:hAnsi="Arial"/>
                <w:sz w:val="18"/>
                <w:szCs w:val="18"/>
                <w:color w:val="auto"/>
                <w:w w:val="90"/>
              </w:rPr>
              <w:t>this prospectus supplement, in our most recent Annual Report on Form 10-K filed with the SEC and in</w:t>
            </w:r>
          </w:p>
        </w:tc>
      </w:tr>
      <w:tr>
        <w:trPr>
          <w:trHeight w:val="216"/>
        </w:trPr>
        <w:tc>
          <w:tcPr>
            <w:tcW w:w="1360" w:type="dxa"/>
            <w:vAlign w:val="bottom"/>
          </w:tcPr>
          <w:p>
            <w:pPr>
              <w:spacing w:after="0"/>
              <w:rPr>
                <w:sz w:val="18"/>
                <w:szCs w:val="18"/>
                <w:color w:val="auto"/>
              </w:rPr>
            </w:pPr>
          </w:p>
        </w:tc>
        <w:tc>
          <w:tcPr>
            <w:tcW w:w="9460" w:type="dxa"/>
            <w:vAlign w:val="bottom"/>
          </w:tcPr>
          <w:p>
            <w:pPr>
              <w:ind w:left="2080"/>
              <w:spacing w:after="0"/>
              <w:rPr>
                <w:sz w:val="20"/>
                <w:szCs w:val="20"/>
                <w:color w:val="auto"/>
              </w:rPr>
            </w:pPr>
            <w:r>
              <w:rPr>
                <w:rFonts w:ascii="Arial" w:cs="Arial" w:eastAsia="Arial" w:hAnsi="Arial"/>
                <w:sz w:val="18"/>
                <w:szCs w:val="18"/>
                <w:color w:val="auto"/>
                <w:w w:val="90"/>
              </w:rPr>
              <w:t>subsequent filings that we make with the SEC that are incorporated by reference herein, as well as the</w:t>
            </w:r>
          </w:p>
        </w:tc>
      </w:tr>
      <w:tr>
        <w:trPr>
          <w:trHeight w:val="216"/>
        </w:trPr>
        <w:tc>
          <w:tcPr>
            <w:tcW w:w="1360" w:type="dxa"/>
            <w:vAlign w:val="bottom"/>
          </w:tcPr>
          <w:p>
            <w:pPr>
              <w:spacing w:after="0"/>
              <w:rPr>
                <w:sz w:val="18"/>
                <w:szCs w:val="18"/>
                <w:color w:val="auto"/>
              </w:rPr>
            </w:pPr>
          </w:p>
        </w:tc>
        <w:tc>
          <w:tcPr>
            <w:tcW w:w="9460" w:type="dxa"/>
            <w:vAlign w:val="bottom"/>
          </w:tcPr>
          <w:p>
            <w:pPr>
              <w:ind w:left="2080"/>
              <w:spacing w:after="0"/>
              <w:rPr>
                <w:sz w:val="20"/>
                <w:szCs w:val="20"/>
                <w:color w:val="auto"/>
              </w:rPr>
            </w:pPr>
            <w:r>
              <w:rPr>
                <w:rFonts w:ascii="Arial" w:cs="Arial" w:eastAsia="Arial" w:hAnsi="Arial"/>
                <w:sz w:val="18"/>
                <w:szCs w:val="18"/>
                <w:color w:val="auto"/>
                <w:w w:val="92"/>
              </w:rPr>
              <w:t>other information contained in or incorporated by reference into this prospectus supplement and the</w:t>
            </w:r>
          </w:p>
        </w:tc>
      </w:tr>
      <w:tr>
        <w:trPr>
          <w:trHeight w:val="216"/>
        </w:trPr>
        <w:tc>
          <w:tcPr>
            <w:tcW w:w="1360" w:type="dxa"/>
            <w:vAlign w:val="bottom"/>
          </w:tcPr>
          <w:p>
            <w:pPr>
              <w:spacing w:after="0"/>
              <w:rPr>
                <w:sz w:val="18"/>
                <w:szCs w:val="18"/>
                <w:color w:val="auto"/>
              </w:rPr>
            </w:pPr>
          </w:p>
        </w:tc>
        <w:tc>
          <w:tcPr>
            <w:tcW w:w="9460" w:type="dxa"/>
            <w:vAlign w:val="bottom"/>
          </w:tcPr>
          <w:p>
            <w:pPr>
              <w:ind w:left="2080"/>
              <w:spacing w:after="0"/>
              <w:rPr>
                <w:sz w:val="20"/>
                <w:szCs w:val="20"/>
                <w:color w:val="auto"/>
              </w:rPr>
            </w:pPr>
            <w:r>
              <w:rPr>
                <w:rFonts w:ascii="Arial" w:cs="Arial" w:eastAsia="Arial" w:hAnsi="Arial"/>
                <w:sz w:val="18"/>
                <w:szCs w:val="18"/>
                <w:color w:val="auto"/>
                <w:w w:val="96"/>
              </w:rPr>
              <w:t>accompanying prospectus for a discussion of factors you should consider before investing in our</w:t>
            </w:r>
          </w:p>
        </w:tc>
      </w:tr>
      <w:tr>
        <w:trPr>
          <w:trHeight w:val="216"/>
        </w:trPr>
        <w:tc>
          <w:tcPr>
            <w:tcW w:w="1360" w:type="dxa"/>
            <w:vAlign w:val="bottom"/>
          </w:tcPr>
          <w:p>
            <w:pPr>
              <w:spacing w:after="0"/>
              <w:rPr>
                <w:sz w:val="18"/>
                <w:szCs w:val="18"/>
                <w:color w:val="auto"/>
              </w:rPr>
            </w:pPr>
          </w:p>
        </w:tc>
        <w:tc>
          <w:tcPr>
            <w:tcW w:w="9460" w:type="dxa"/>
            <w:vAlign w:val="bottom"/>
          </w:tcPr>
          <w:p>
            <w:pPr>
              <w:ind w:left="2080"/>
              <w:spacing w:after="0"/>
              <w:rPr>
                <w:sz w:val="20"/>
                <w:szCs w:val="20"/>
                <w:color w:val="auto"/>
              </w:rPr>
            </w:pPr>
            <w:r>
              <w:rPr>
                <w:rFonts w:ascii="Arial" w:cs="Arial" w:eastAsia="Arial" w:hAnsi="Arial"/>
                <w:sz w:val="18"/>
                <w:szCs w:val="18"/>
                <w:color w:val="auto"/>
                <w:w w:val="90"/>
              </w:rPr>
              <w:t>common shares. You may obtain a copy of our Annual Report on Form 10-K and the other documents</w:t>
            </w:r>
          </w:p>
        </w:tc>
      </w:tr>
      <w:tr>
        <w:trPr>
          <w:trHeight w:val="216"/>
        </w:trPr>
        <w:tc>
          <w:tcPr>
            <w:tcW w:w="1360" w:type="dxa"/>
            <w:vAlign w:val="bottom"/>
          </w:tcPr>
          <w:p>
            <w:pPr>
              <w:spacing w:after="0"/>
              <w:rPr>
                <w:sz w:val="18"/>
                <w:szCs w:val="18"/>
                <w:color w:val="auto"/>
              </w:rPr>
            </w:pPr>
          </w:p>
        </w:tc>
        <w:tc>
          <w:tcPr>
            <w:tcW w:w="9460" w:type="dxa"/>
            <w:vAlign w:val="bottom"/>
          </w:tcPr>
          <w:p>
            <w:pPr>
              <w:ind w:left="2080"/>
              <w:spacing w:after="0"/>
              <w:rPr>
                <w:sz w:val="20"/>
                <w:szCs w:val="20"/>
                <w:color w:val="auto"/>
              </w:rPr>
            </w:pPr>
            <w:r>
              <w:rPr>
                <w:rFonts w:ascii="Arial" w:cs="Arial" w:eastAsia="Arial" w:hAnsi="Arial"/>
                <w:sz w:val="18"/>
                <w:szCs w:val="18"/>
                <w:color w:val="auto"/>
                <w:w w:val="96"/>
              </w:rPr>
              <w:t>incorporated by reference into this prospectus supplement and the accompanying prospectus by</w:t>
            </w:r>
          </w:p>
        </w:tc>
      </w:tr>
      <w:tr>
        <w:trPr>
          <w:trHeight w:val="216"/>
        </w:trPr>
        <w:tc>
          <w:tcPr>
            <w:tcW w:w="1360" w:type="dxa"/>
            <w:vAlign w:val="bottom"/>
          </w:tcPr>
          <w:p>
            <w:pPr>
              <w:spacing w:after="0"/>
              <w:rPr>
                <w:sz w:val="18"/>
                <w:szCs w:val="18"/>
                <w:color w:val="auto"/>
              </w:rPr>
            </w:pPr>
          </w:p>
        </w:tc>
        <w:tc>
          <w:tcPr>
            <w:tcW w:w="9460" w:type="dxa"/>
            <w:vAlign w:val="bottom"/>
          </w:tcPr>
          <w:p>
            <w:pPr>
              <w:ind w:left="2080"/>
              <w:spacing w:after="0"/>
              <w:rPr>
                <w:sz w:val="20"/>
                <w:szCs w:val="20"/>
                <w:color w:val="auto"/>
              </w:rPr>
            </w:pPr>
            <w:r>
              <w:rPr>
                <w:rFonts w:ascii="Arial" w:cs="Arial" w:eastAsia="Arial" w:hAnsi="Arial"/>
                <w:sz w:val="18"/>
                <w:szCs w:val="18"/>
                <w:color w:val="auto"/>
                <w:w w:val="91"/>
              </w:rPr>
              <w:t>following the procedures described under “Where You Can Find More Information” on page 55 of the</w:t>
            </w:r>
          </w:p>
        </w:tc>
      </w:tr>
      <w:tr>
        <w:trPr>
          <w:trHeight w:val="230"/>
        </w:trPr>
        <w:tc>
          <w:tcPr>
            <w:tcW w:w="1360" w:type="dxa"/>
            <w:vAlign w:val="bottom"/>
          </w:tcPr>
          <w:p>
            <w:pPr>
              <w:spacing w:after="0"/>
              <w:rPr>
                <w:sz w:val="20"/>
                <w:szCs w:val="20"/>
                <w:color w:val="auto"/>
              </w:rPr>
            </w:pPr>
          </w:p>
        </w:tc>
        <w:tc>
          <w:tcPr>
            <w:tcW w:w="9460" w:type="dxa"/>
            <w:vAlign w:val="bottom"/>
          </w:tcPr>
          <w:p>
            <w:pPr>
              <w:ind w:left="2080"/>
              <w:spacing w:after="0"/>
              <w:rPr>
                <w:sz w:val="20"/>
                <w:szCs w:val="20"/>
                <w:color w:val="auto"/>
              </w:rPr>
            </w:pPr>
            <w:r>
              <w:rPr>
                <w:rFonts w:ascii="Arial" w:cs="Arial" w:eastAsia="Arial" w:hAnsi="Arial"/>
                <w:sz w:val="18"/>
                <w:szCs w:val="18"/>
                <w:color w:val="auto"/>
              </w:rPr>
              <w:t>accompanying prospectus.</w:t>
            </w:r>
          </w:p>
        </w:tc>
      </w:tr>
      <w:tr>
        <w:trPr>
          <w:trHeight w:val="364"/>
        </w:trPr>
        <w:tc>
          <w:tcPr>
            <w:tcW w:w="1360" w:type="dxa"/>
            <w:vAlign w:val="bottom"/>
          </w:tcPr>
          <w:p>
            <w:pPr>
              <w:spacing w:after="0"/>
              <w:rPr>
                <w:sz w:val="24"/>
                <w:szCs w:val="24"/>
                <w:color w:val="auto"/>
              </w:rPr>
            </w:pPr>
          </w:p>
        </w:tc>
        <w:tc>
          <w:tcPr>
            <w:tcW w:w="9460" w:type="dxa"/>
            <w:vAlign w:val="bottom"/>
          </w:tcPr>
          <w:p>
            <w:pPr>
              <w:ind w:left="4140"/>
              <w:spacing w:after="0"/>
              <w:rPr>
                <w:sz w:val="20"/>
                <w:szCs w:val="20"/>
                <w:color w:val="auto"/>
              </w:rPr>
            </w:pPr>
            <w:r>
              <w:rPr>
                <w:rFonts w:ascii="Arial" w:cs="Arial" w:eastAsia="Arial" w:hAnsi="Arial"/>
                <w:sz w:val="18"/>
                <w:szCs w:val="18"/>
                <w:color w:val="auto"/>
              </w:rPr>
              <w:t>S-2</w:t>
            </w:r>
          </w:p>
        </w:tc>
      </w:tr>
    </w:tbl>
    <w:p>
      <w:pPr>
        <w:ind w:left="4140"/>
        <w:spacing w:after="0"/>
        <w:rPr>
          <w:sz w:val="20"/>
          <w:szCs w:val="20"/>
          <w:color w:val="auto"/>
        </w:rPr>
        <w:sectPr>
          <w:pgSz w:w="11900" w:h="16838" w:orient="portrait"/>
          <w:cols w:equalWidth="0" w:num="1">
            <w:col w:w="10820"/>
          </w:cols>
          <w:pgMar w:left="320" w:top="446" w:right="7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Investing in our common shares involves risks. Before you decide to purchase our common shares, you should carefully consider the following risk factors, together with all of the other information contained in or incorporated by reference herein, including the additional risk factors in our most recent Annual Report on Form 10-K filed with the SEC and in subsequent filings that we make with the SEC that are incorporated by reference herein.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w:t>
      </w:r>
    </w:p>
    <w:p>
      <w:pPr>
        <w:spacing w:after="0" w:line="299"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You may experience significant dilution as a result of this offering and additional issuances of our securities, including pursuant to any forward sale agreement, which could harm the market price of our common shares.</w:t>
      </w:r>
    </w:p>
    <w:p>
      <w:pPr>
        <w:spacing w:after="0" w:line="5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to or through the Agents or through a forward sale agreement, based on market conditions and other factors that may be beyond our control.</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offering and sales of our common shares pursuant to a forward sale agreement may have a dilutive effect on our earnings per share and funds from operations per share after giving effect to the issuance of our common shares and the receipt of the expected net proceeds. The actual amount of dilution from this offering, from sales pursuant to a forward sale agreement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a forward sale agreement, or otherwise, or as a result of the perception or expectation that such sales could occur.</w:t>
      </w:r>
    </w:p>
    <w:p>
      <w:pPr>
        <w:spacing w:after="0" w:line="268"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3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As of March 31, 2021, we had approximately $4.3 billion of debt outstanding, 399,896 of our 5.417% Series 1 Cumulative Convertible Preferred Shares, or the Series 1 Preferred Shares, with an aggregate liquidation preference of $10 million, were issued and outstanding, and 6,000 of our 5.000% Series C Cumulative Redeemable Preferred Shares, or Series C Preferred Shares, with an aggregate liquidation preference of $150 million,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and Series C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provisions contained in any forward sale agreement subject us to certain risks.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Each forward purchaser will have the right to accelerate its forward sale agreement with respect to all or any portion of the transaction under such forward sale agreement (except with respect to events specified in (1) and (3) below, where accelerated settlement is limited to the portion of shares whose settlement would address the relevant event or that is affected by the relevant event) that it enters into with us and require us to physically settle such shares on a date specified by such forward purchaser if: (1) in such forward purchaser’s commercially reasonable judgment, it or its affiliate is unable to hedge (or maintain a hedge of) its exposure in a commercially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7" w:lineRule="auto"/>
        <w:rPr>
          <w:sz w:val="20"/>
          <w:szCs w:val="20"/>
          <w:color w:val="auto"/>
        </w:rPr>
      </w:pPr>
      <w:r>
        <w:rPr>
          <w:rFonts w:ascii="Arial" w:cs="Arial" w:eastAsia="Arial" w:hAnsi="Arial"/>
          <w:sz w:val="16"/>
          <w:szCs w:val="16"/>
          <w:color w:val="auto"/>
        </w:rPr>
        <w:t>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w:t>
      </w:r>
    </w:p>
    <w:p>
      <w:pPr>
        <w:spacing w:after="0" w:line="2" w:lineRule="exact"/>
        <w:rPr>
          <w:sz w:val="20"/>
          <w:szCs w:val="20"/>
          <w:color w:val="auto"/>
        </w:rPr>
      </w:pPr>
    </w:p>
    <w:p>
      <w:pPr>
        <w:ind w:left="120" w:right="20" w:hanging="4"/>
        <w:spacing w:after="0" w:line="251" w:lineRule="auto"/>
        <w:tabs>
          <w:tab w:leader="none" w:pos="36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19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 forward purchaser’s decision to exercise its right to accelerate all or a portion of the settlement of any forward sale agreement and to require us to physically settle the relevant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physically settle a forward sale agreement, the forward price we expect to receive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shares during the term of such forward sale agreement.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Except under certain circumstances, 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we would expect the relevant forward purchaser or one of its affiliates to purchase common shares in secondary market transactions over an unwind period to:</w:t>
      </w:r>
    </w:p>
    <w:p>
      <w:pPr>
        <w:spacing w:after="0" w:line="214" w:lineRule="exact"/>
        <w:rPr>
          <w:sz w:val="20"/>
          <w:szCs w:val="20"/>
          <w:color w:val="auto"/>
        </w:rPr>
      </w:pPr>
    </w:p>
    <w:p>
      <w:pPr>
        <w:ind w:left="1080" w:right="1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in the case of net share settlement, deliver common shares to us to the extent required upon settlement of such forward sale agreement.</w:t>
      </w:r>
    </w:p>
    <w:p>
      <w:pPr>
        <w:spacing w:after="0" w:line="170"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If the price of our common shares at which these purchases by such forward purchaser (or its affiliate) are made is below the relevant forward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price,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 See “Plan of Distribution—Sales Through Forward Sellers.”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decrease the amount of cash (in the case of cash settlement) or the number of common shares (in the case of net share settlement) that such forward purchaser would owe us upon settlement of the applicable forward sale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In case of our bankruptcy or insolvency, any forward sale agreement will automatically terminate, and we would not receive the expected net proceeds from any forward sales of our shares under those agreements.</w:t>
      </w:r>
    </w:p>
    <w:p>
      <w:pPr>
        <w:spacing w:after="0" w:line="5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any forward sale agreement that is then in effect will automatically terminate. If any such forward sale agreement so terminates under these circumstances, we would not be obligated to deliver to the relevant forward purchaser any common shares not previously delivered, and the relevant forward purchaser would be discharged from its obligation to pay the applicable forward price per share in respect of any common shares not previously settled under the applicable forward sale agreement. Therefore, to the extent that there are any common shares with respect to which any forward sale agreement has not been settled at the time of the commencement of any such bankruptcy or insolvency proceedings, we would not receive the relevant forward price per share in respect of those common shares.</w:t>
      </w:r>
    </w:p>
    <w:p>
      <w:pPr>
        <w:spacing w:after="0" w:line="269"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The federal income tax treatment of the cash that we might receive from cash settlement of any forward sale agreement is unclear and could jeopardize our ability to meet the REIT qualification requirements.</w:t>
      </w:r>
    </w:p>
    <w:p>
      <w:pPr>
        <w:spacing w:after="0" w:line="5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event that we elect to settle any forward sale agreement for cash and the settlement price is below the applicable forward price, we would be entitled to receive a cash payment from the applicable forward purchaser.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would qualify for the exemption under Section 1032 of the Code, because it is not entirely clear whether a forward sale agreement qualifies as a “securities futures contract,” the federal income tax treatment of any cash settlement payment we receive is uncertain. In the event that we recognize a significant gain from the cash settlement of any forward sale agreement, we might not be able to satisfy the gross income requirements applicable to REITs under the Code. In that case, we may be able to rely upon the relief provisions under the Code in order to avoid the loss of our REIT status. Even if the relief provisions apply, we will be subject to a 100% tax on the greater of (i) the excess of 75% of our gross income (excluding gross income from prohibited transactions) over the amount of such income attributable to sources that qualify under the 75% test or (ii) the excess of 95% of our gross income (excluding gross income from prohibited transactions) over the amount of such gross income attributable to sources that qualify under the 95% test, as discussed in the accompanying prospectus under “Material Federal Income Tax Considerations—Taxation of the Company,” multiplied in either case by a fraction intended to reflect our profitability. In the event that these relief provisions were not available, we could lose our REIT status under the Code.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intend to use the net proceeds from this offering and any forward sale agreement to fund potential acquisition opportunities, to fund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development or redevelopment pipeline, to repay indebtedness, which may include amounts outstanding under our revolving credit facility or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 million unsecured term loan, and/or for general corporate purposes. As of March 31, 2021, our revolving credit facility, the interest rate of which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 tied to our credit rating, bears interest at LIBOR plus 77.5 basis points and matures on January 19, 2024, subject to two six-month extensions at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option, and our unsecured term loan, the interest rate of which is tied to our credit rating, bears interest at LIBOR plus 80 basis points and matures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16, 2024, subject to two one-year extensions at our option.</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Affiliates of the Agents are lenders under our revolving credit facility and/or our unsecured term loan and will receive a pro rata portion of any proceeds used to repay amounts outstanding thereunder.</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 (CONFLICTS OF INTEREST)</w:t>
      </w:r>
    </w:p>
    <w:p>
      <w:pPr>
        <w:spacing w:after="0" w:line="22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We have entered into an equity distribution agreement, dated as of February 24, 2021, as amended on May 7, 2021, with the Agents and the forward purchasers under which an aggregate offering price of up to $500,000,000 of our common shares, as of the date of this prospectus supplement, may from time to time be offered and sold to or through the Agents. Sales of our common shares, if any, under this prospectus supplement and the accompanying prospectus may be made in transactions that are deemed to be “at the market” offerings, including sales made directly on the NYSE or sales made to or through a market maker other than on an exchange, or in negotiated transactions, which may include block trades. As our sales agents or, if applicable, forward sellers, the Agents will not engage in any transactions that stabilize the price of our common shares.</w:t>
      </w:r>
    </w:p>
    <w:p>
      <w:pPr>
        <w:spacing w:after="0" w:line="16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Upon its acceptance of written instructions from us, an Agent will use its commercially reasonable efforts, consistent with its sales and trading practices, to solicit offers to purchase our common shares under the terms and subject to the conditions set forth in the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 will be sold through only one of the Agents on any given day. We or the Agents may suspend the offering of common shares upon proper notice and subject to other conditions.</w:t>
      </w:r>
    </w:p>
    <w:p>
      <w:pPr>
        <w:spacing w:after="0" w:line="19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relevant Agent will provide written confirmation to us and, if applicable, the related forward purchaser no later than the opening of the NYSE on the trading day following the trading day on which common shares were sold under the equity distribution agreement. Each confirmation will include the number of common shares sold on the preceding day, the net proceeds and the compensation payable to the Agent in connection with the sales.</w:t>
      </w:r>
    </w:p>
    <w:p>
      <w:pPr>
        <w:spacing w:after="0" w:line="14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equity distribution agreement contemplates that, in addition to the issuance and sale by us of common shares to or through the Agents as our sales agents, we may enter into separate forward sale agreements with a forward purchaser. 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We will not initially receive any proceeds from any sale of common shares borrowed by a forward purchaser (or its affiliate) and sold through a forward seller.</w:t>
      </w:r>
    </w:p>
    <w:p>
      <w:pPr>
        <w:spacing w:after="0" w:line="16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will pay each of the Agents a commission that will not exceed, but may be lower than, 2.0% of the gross sales price per common share sold through it under the equity distribution agreement. In connection with each forward sale agreement, we will pay the applicable Agent, acting as forward seller in connection with such forward sale agreement, a commission in the form of a reduction to the initial forward price under the related forward sale agreement, at a mutually agreed rate that will not exceed, but may be lower than, 2.0% of the gross sales price per share of the borrowed common shares sold through such Agent, as forward seller, during the applicable forward selling period for such shares (subject to certain possible adjustments to such gross sales price for daily accruals and any quarterly dividends having an “ex-dividend” date during such forward selling period).</w:t>
      </w:r>
    </w:p>
    <w:p>
      <w:pPr>
        <w:spacing w:after="0" w:line="16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estimate that the total expenses for the offering, excluding compensation payable to the Agents under the terms of the equity distribution agreement, will be approximately $1,000,000. In connection with the sale of common shares, the Agents may be deemed to be “underwriters” within the meaning of the Securities Act, and the compensation paid to the Agents may be deemed to be underwriting commissions and discounts.</w:t>
      </w:r>
    </w:p>
    <w:p>
      <w:pPr>
        <w:spacing w:after="0" w:line="14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Settlement of sales of common shares (other than pursuant to a forward sale agreement) will occur on the second business day following the date on which such sales are made, or on some other date that is agreed upon by us and the applicable Agent in connection with a particular transaction, in return for payment of the net proceeds to us. There is no arrangement for funds to be received in an escrow, trust or similar arrangement.</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will report at least quarterly the number of common shares sold through the Agents under the equity distribution agreement, the net proceeds to us and the compensation paid by us to the Agents in connection with the sales of common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Agents have determined that our common shares are “actively-traded securities” excepted from the requirements of Rule 101 of Regulation M under the Exchange Act by Rule 101(c)(1) under the Exchange Act. If an Agent has, or we have, reason to believe that the exemptive provisions set forth in Rule 101(c)(1) of Regulation M under the Exchange Act are not satisfied, the party will promptly notify the other parties, and sales of common shares under the equity distribution agreement will be suspended until that or other exemptive provisions have been satisfied in the judgment of the Agents and us.</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offering of common shares pursuant to the equity distribution agreement will terminate upon the earlier of (1) the sale of common shares having an aggregate offering price of $500,000,000, from the date of this prospectus supplement, pursuant to this offering and (2) the termination of the equity distribution agreement. The equity distribution agreement may be terminated by an Agent, a forward purchaser or us at any time upon three days’ notice. An Agent or a forward purchaser may terminate the equity distribution agreement earlier in certain circumstances, including our failure to maintain a listing of our common shares on the NYSE or the occurrence of a material adverse change in our company.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Through Forward Sellers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connection with any forward sale agreement, we will deliver instructions to the relevant Agent directing such Agent, as forward seller, to sell the applicable borrowed common shares on behalf of the relevant forward purchaser. Upon its acceptance of such instructions, such Agent has agreed to use its commercially reasonable efforts consistent with its normal trading and sales practices to sell such common shares, as forward seller on behalf of such forward purchaser, on the terms and subject to the conditions set forth in the equity distribution agreement. We may instruct such Agent as to the amount of common shares to be sold by it as forward seller and may also instruct such Agent not to sell such common shares if the sales cannot be effected at or above a price designated by us. We or the applicable Agent may at any time immediately suspend the offering of common shares through such Agent, as forward seller, upon notice to the other parties.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each forward sale agreement, if any, we will have the right to issue and deliver to the forward purchaser party thereto a specified number of common shares on the terms and subject to the conditions set forth therein, or, alternatively, to elect cash settlement or net share settlement, for all or any portion of such shares. The initial forward price per share under each forward sale agreement will equal the product of (1) an amount equal to one minus the applicable forward selling commission and (2) the volume weighted average price per share at which the borrowed common shares were sold pursuant to the equity distribution agreement by the relevant Agent, acting as forward seller, during the applicable forward selling period for such shares to hedge the relevant forward purchaser’s exposure under such forward sale agreement (subject to certain possible adjustments to such gross sales price for daily accruals and any quarterly dividends having an “ex-dividend” date during such forward selling period). Thereafter, the forward price will be subject to the price adjustment provisions of the applicable forward sale agreement. We will not initially receive any proceeds from any sale of borrowed common shares through an Agent, acting as forward seller, and all of such net proceeds will be paid to the relevant forward purchaser (or one or more of its affiliates).</w:t>
      </w:r>
    </w:p>
    <w:p>
      <w:pPr>
        <w:spacing w:after="0" w:line="185"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currently expect to fully physically settle each forward sale agreement, if any, with the relevant forward purchaser on one or more dates specified by us on or prior to the maturity date of such forward sale agreement. Although, we will generally have the right, subject to certain exceptions, to elect cash settlement or net share settlement instead of physical settlement for any of the shares we have agreed to sell under such forward sale agreement. If we elect or are deemed to have elected to physically settle any forward sale agreement by delivering common shares, we will receive an amount of cash from the relevant forward purchaser equal to the product of (1) the forward price per share under such forward sale agreement and</w:t>
      </w:r>
    </w:p>
    <w:p>
      <w:pPr>
        <w:spacing w:after="0" w:line="2" w:lineRule="exact"/>
        <w:rPr>
          <w:sz w:val="20"/>
          <w:szCs w:val="20"/>
          <w:color w:val="auto"/>
        </w:rPr>
      </w:pPr>
    </w:p>
    <w:p>
      <w:pPr>
        <w:ind w:left="120" w:hanging="4"/>
        <w:spacing w:after="0" w:line="252"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common shares as to which we have elected or are deemed to have elected physical settlement, subject to the price adjustment and other provisions of such forward sale agreement. Each forward sale agreement will provide that the forward price will be subject to adjustment on a daily basis based on a floating interest rate factor equal to a specified daily rate less a spread. If the specified daily rate is less than the applicable spread on any day, the interest rate factor will result in a daily reduction of the forward price. In addition, the forward price will be subject to decrease on certain dates specified in the relevant forward sale agreement by the amount per share of quarterly dividends we expect to declare on our common shares during the term of such forward sale agreement.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expect that, before any issuance of common shares upon physical settlement or net share settlement of any forward sale agreement, the shares issuable upon settlement of such forward sale agreement will be reflected in our diluted earnings per share calculations using the treasury stock method. Under this method, the number of common shares used in calculating diluted earnings per share and funds from operations per share will be deemed to be increased by the excess, if any, of the number of shares that would be issued upon physical settlement of such forward sale agreement over the number of shares that could be purchased by us in the market (based on the average market price during the relevant period) using the proceeds receivable upon physical settlement (based on the adjusted forward price at the end of the relevant reporting period). Consequently, prior to physical or net share settlement of the forward sale agreement and subject to the occurrence of certain events, we anticipate there will be no dilutive effect on our earnings per share or funds from operations per share as a result of such forward sale agreement except during periods when the average market price of our common shares is above the per share adjusted forward price of such forward sale agreement, subject to increase or decrease based on a specified daily rate less a spread, and subject to decrease by amounts related to expected dividends on our common shares during the term of that particular forward sale agreement. However, if we decide to physically or net share settle any forward sale agreement, delivery of common shares by us will result in dilution to our earnings per share and funds from operations per share.</w:t>
      </w:r>
    </w:p>
    <w:p>
      <w:pPr>
        <w:spacing w:after="0" w:line="16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Except under certain circumstances, 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we would expect the relevant forward purchaser or one of its affiliates to purchase common shares in secondary market transactions over an unwind period to:</w:t>
      </w:r>
    </w:p>
    <w:p>
      <w:pPr>
        <w:spacing w:after="0" w:line="92" w:lineRule="exact"/>
        <w:rPr>
          <w:sz w:val="20"/>
          <w:szCs w:val="20"/>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in the case of net share settlement, deliver common shares to us to the extent required upon settlement of such forward sale agreement.</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the price of our common shares at which these purchases by such forward purchaser (or its affiliate) are made is below the relevant forward price, such forward purchaser will pay us such difference in cash (if we elect to cash settle) or deliver to us a number of common shares having a market value equal to such difference (if we elect to net share settle). If the price of our common shares at which these purchases are made by such forward purchaser (or its affiliate) exceeds the applicable forward price, we will pay such forward purchaser an amount in cash equal to such difference (if we elect to cash settle) or we will deliver to such forward purchaser a number of common shares having a market value equal to such difference (if we elect to net share settle). Any such difference could be significant and could result in our receipt of a significant amount of cash or number of common shares from such forward purchaser or require us to pay a significant amount of cash or deliver a significant number of common shares to such forward purchaser.</w:t>
      </w:r>
    </w:p>
    <w:p>
      <w:pPr>
        <w:spacing w:after="0" w:line="19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addition, the purchase of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common shares (in the case of net share settlement) that we would owe such forward purchaser upon settlement of the applicable forward sale agreement or decrease the amount of cash (in the case of cash settlement) or the number of common shares (in the case of net share settlement) that such forward purchaser would owe us upon settlement of the applicable forward sale agreement.</w:t>
      </w:r>
    </w:p>
    <w:p>
      <w:pPr>
        <w:spacing w:after="0" w:line="19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Each forward purchaser will have the right to accelerate its forward sale agreement with respect to all or any portion of the transaction under such forward sale agreement (except with respect to events specified in (1) and (3) below, where accelerated settlement is limited to the portion of shares whose settlement would address the relevant event or that is affected by the relevant event) that it enters into with us and require us to physically settle such shares on a date specified by such forward purchaser if: (1) in such forward purchaser’s commercially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reasonable judgment, it or its affiliate is unable to hedge (or maintain a hedge of) its exposure in a commercially reasonable manner under such forward sale agreement because (a) insufficient common shares have been made available for borrowing by securities lenders or (b) such forward purchaser or any of its affiliates would incur a share borrow cost in excess of a specified threshold; (2) we declare any dividend, issue or distribution on our common shares that constitutes an extraordinary dividend under the forward sale agreement or is payable in (a) 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as well as certain events involving our nationalization, our insolvency or a delisting of our common shares) or (b) 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17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 forward purchaser’s decision to exercise its right to accelerate all or a portion of the settlement of any forward sale agreement and to require us to physically settle the relevant shares will be made irrespective of our interests, including our need for capital. In such cases, we could be required to issue and deliver common shares under the terms of the physical settlement provisions of the applicable forward sale agreement irrespective of our capital needs, which would result in dilution to our earnings per share and funds from operations per share.</w:t>
      </w:r>
    </w:p>
    <w:p>
      <w:pPr>
        <w:spacing w:after="0" w:line="17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upon certain events of bankruptcy or insolvency relating to us, the forward sale agreements will terminate without further liability of the parties thereto. Following any such termination, we would not issue any common shares pursuant to such forward sale agreement agreements, and we would not receive any proceeds pursuant to the forward sale agreements.</w:t>
      </w:r>
    </w:p>
    <w:p>
      <w:pPr>
        <w:spacing w:after="0" w:line="184"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descriptions of certain provisions of the forward sale agreements appearing above and elsewhere in this prospectus supplement are not complete and are subject to, and qualified in their entirety by reference to, the terms and provisions of such forward sale agreements. A form of the forward sale agreement is included as an exhibit to the sales agreement, and the sales agreement has been or will be filed as an exhibit to a document incorporated by reference in the accompanying prospectus and may be obtained as described under “Where You Can Find More Information” in the accompanying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 of Interest</w:t>
      </w:r>
    </w:p>
    <w:p>
      <w:pPr>
        <w:spacing w:after="0" w:line="121"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As described above under “Use of Proceeds,” some of the net proceeds of this offering and sales pursuant to a forward sale agreement may be used to repay amounts outstanding under our revolving credit facility and/or unsecured term loan. Affiliates of the Agents are lenders under our revolving credit facility and/or unsecured term loan; therefore, the Agents or affiliates of the Agents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addition, in the ordinary course of their business activities, the Agents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enter into a forward sale agreement with any forward purchaser, we expect that such forward purchaser (or its affiliate) will attempt to borrow from third parties and sell, through the relevant Agent, acting as sales agent for such forward purchaser, common shares to hedge such forward purchaser’s exposure under such forward sale agreement. All of the net proceeds from the sale of any such borrowed shares will be paid to the applicable forward purchaser (or one or more of its affiliates). Each forward purchaser will be either an Agent or an affiliate of an Agent. As a result, an Agent or its affiliate will receive the net proceeds from any sale of borrowed common shares made in connection with any forward sale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shares are listed on the NYSE under the symbol “FRT.”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Pursuant to the equity distribution agreement, we have agreed to indemnify the Agents and the forward purchasers against certain liabilities, including liabilities under the Securities Act, or to contribute to payments the Agents may be required to make because of any of those liabilities.</w:t>
      </w: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audited consolidated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legality of the common shares offered by this prospectus supplement will be passed upon for us by Pillsbury Winthrop Shaw Pittman LLP, Washington, DC. In addition, the descriptions of material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Agents and the forward purchasers.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171450</wp:posOffset>
            </wp:positionV>
            <wp:extent cx="2537460" cy="814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3746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500" w:right="160"/>
        <w:spacing w:after="0" w:line="282" w:lineRule="auto"/>
        <w:rPr>
          <w:sz w:val="20"/>
          <w:szCs w:val="20"/>
          <w:color w:val="auto"/>
        </w:rPr>
      </w:pPr>
      <w:r>
        <w:rPr>
          <w:rFonts w:ascii="Arial" w:cs="Arial" w:eastAsia="Arial" w:hAnsi="Arial"/>
          <w:sz w:val="25"/>
          <w:szCs w:val="25"/>
          <w:b w:val="1"/>
          <w:bCs w:val="1"/>
          <w:color w:val="auto"/>
        </w:rPr>
        <w:t>Debt Securities, Common Shares, Preferred Shares, Depositary Shares, Share Purchase Contracts, Warrants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from time to time offer, in one or more classes or series, separately or together, the following:</w:t>
      </w:r>
    </w:p>
    <w:p>
      <w:pPr>
        <w:spacing w:after="0" w:line="131"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depositary shares (and associated depositary receipts) representing interests in our preferred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 purchase contracts to purchase or sell our common shares of beneficial interest or preferred shares of beneficial interest;</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 to purchase our common, preferred shares or depositary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units consisting of two or more securities described in this prospectus.</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common shares of beneficial interest and depositary shares representing interests in our Series C preferred shares of beneficial interest are listed on the New York Stock Exchange under the symbols “FRT” and “FRTPRC,” respectively.</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class or series of securities, we prepare a prospectus supplement describing the offering and the terms of that class or series of securities. Such terms may include limitations on direct or beneficial ownership and restrictions on transfer that we believe are appropriate to preserve our status as a real estate investment trust for federal income tax purposes.</w:t>
      </w:r>
    </w:p>
    <w:p>
      <w:pPr>
        <w:spacing w:after="0" w:line="18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2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May 7, 2021.</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40" w:type="dxa"/>
            <w:vAlign w:val="bottom"/>
            <w:gridSpan w:val="2"/>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580" w:type="dxa"/>
            <w:vAlign w:val="bottom"/>
            <w:gridSpan w:val="7"/>
            <w:vMerge w:val="restart"/>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About this Prospectus</w:t>
              </w:r>
            </w:hyperlink>
          </w:p>
        </w:tc>
        <w:tc>
          <w:tcPr>
            <w:tcW w:w="9080" w:type="dxa"/>
            <w:vAlign w:val="bottom"/>
            <w:gridSpan w:val="10"/>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580" w:type="dxa"/>
            <w:vAlign w:val="bottom"/>
            <w:tcBorders>
              <w:bottom w:val="single" w:sz="8" w:color="0000EE"/>
            </w:tcBorders>
            <w:gridSpan w:val="7"/>
            <w:vMerge w:val="continue"/>
          </w:tcPr>
          <w:p>
            <w:pPr>
              <w:spacing w:after="0"/>
              <w:rPr>
                <w:sz w:val="13"/>
                <w:szCs w:val="13"/>
                <w:color w:val="auto"/>
              </w:rPr>
            </w:pPr>
          </w:p>
        </w:tc>
        <w:tc>
          <w:tcPr>
            <w:tcW w:w="908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6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100" w:type="dxa"/>
            <w:vAlign w:val="bottom"/>
            <w:tcBorders>
              <w:top w:val="single" w:sz="8" w:color="0000EE"/>
            </w:tcBorders>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Prospectus Summary</w:t>
              </w:r>
            </w:hyperlink>
          </w:p>
        </w:tc>
        <w:tc>
          <w:tcPr>
            <w:tcW w:w="856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52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91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Description of Debt Securities</w:t>
              </w:r>
            </w:hyperlink>
          </w:p>
        </w:tc>
        <w:tc>
          <w:tcPr>
            <w:tcW w:w="848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Description of Shares of Beneficial Interest</w:t>
              </w:r>
            </w:hyperlink>
          </w:p>
        </w:tc>
        <w:tc>
          <w:tcPr>
            <w:tcW w:w="754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Description of Depositary Shares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Description of Share Purchase Contracts</w:t>
              </w:r>
            </w:hyperlink>
          </w:p>
        </w:tc>
        <w:tc>
          <w:tcPr>
            <w:tcW w:w="77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894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Certain Provisions of Maryland Law and Our Declaration of Trust and Bylaws</w:t>
              </w:r>
            </w:hyperlink>
          </w:p>
        </w:tc>
        <w:tc>
          <w:tcPr>
            <w:tcW w:w="50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32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Material Federal Income Tax Considerations</w:t>
              </w:r>
            </w:hyperlink>
          </w:p>
        </w:tc>
        <w:tc>
          <w:tcPr>
            <w:tcW w:w="74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tcBorders>
            <w:gridSpan w:val="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Legal Matters</w:t>
              </w:r>
            </w:hyperlink>
          </w:p>
        </w:tc>
        <w:tc>
          <w:tcPr>
            <w:tcW w:w="920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966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78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1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85"/>
        </w:trPr>
        <w:tc>
          <w:tcPr>
            <w:tcW w:w="2860" w:type="dxa"/>
            <w:vAlign w:val="bottom"/>
            <w:tcBorders>
              <w:top w:val="single" w:sz="8" w:color="0000EE"/>
            </w:tcBorders>
            <w:gridSpan w:val="12"/>
          </w:tcPr>
          <w:p>
            <w:pPr>
              <w:spacing w:after="0"/>
              <w:rPr>
                <w:sz w:val="24"/>
                <w:szCs w:val="24"/>
                <w:color w:val="auto"/>
              </w:rPr>
            </w:pPr>
          </w:p>
        </w:tc>
        <w:tc>
          <w:tcPr>
            <w:tcW w:w="2800" w:type="dxa"/>
            <w:vAlign w:val="bottom"/>
            <w:gridSpan w:val="4"/>
          </w:tcPr>
          <w:p>
            <w:pPr>
              <w:jc w:val="right"/>
              <w:ind w:right="30"/>
              <w:spacing w:after="0"/>
              <w:rPr>
                <w:sz w:val="20"/>
                <w:szCs w:val="20"/>
                <w:color w:val="auto"/>
              </w:rPr>
            </w:pPr>
            <w:r>
              <w:rPr>
                <w:rFonts w:ascii="Arial" w:cs="Arial" w:eastAsia="Arial" w:hAnsi="Arial"/>
                <w:sz w:val="18"/>
                <w:szCs w:val="18"/>
                <w:color w:val="auto"/>
              </w:rPr>
              <w:t>1</w:t>
            </w:r>
          </w:p>
        </w:tc>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9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1" w:lineRule="exact"/>
        <w:rPr>
          <w:sz w:val="20"/>
          <w:szCs w:val="20"/>
          <w:color w:val="auto"/>
        </w:rPr>
      </w:pPr>
    </w:p>
    <w:p>
      <w:pPr>
        <w:ind w:left="1080" w:right="150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160" w:hanging="532"/>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8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March 31, 2021, we owned or had a majority interest in community and neighborhood shopping centers and mixed-use properties which are operated as 101 predominantly retail real estate projects comprising approximately 23.3 million square feet. In total, the real estate projects were 91.8% leased and 89.5% occupied at March 31, 2021. We have paid quarterly dividends to our shareholders continuously since our founding in 1962 and have increased our dividends per common share for 53 consecutive years.</w:t>
      </w:r>
    </w:p>
    <w:p>
      <w:pPr>
        <w:spacing w:after="0" w:line="19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909 Rose Ave., Suite 200, North Bethesda, MD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class or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As described above, the terms of a particular class or series of debt securities we offer through this prospectus will be established by our Board of Trustees, or any committee thereof, when we issue the series. We will describe the terms of the class or series in a prospectus supplement. Unless we say otherwise in a prospectus supplement, each indenture provides or will provide that the terms that may be established include the following:</w:t>
      </w:r>
    </w:p>
    <w:p>
      <w:pPr>
        <w:spacing w:after="0" w:line="5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class or series of debt securities offered.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calculating such rate or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Accrual. </w:t>
      </w:r>
      <w:r>
        <w:rPr>
          <w:rFonts w:ascii="Arial" w:cs="Arial" w:eastAsia="Arial" w:hAnsi="Arial"/>
          <w:sz w:val="17"/>
          <w:szCs w:val="17"/>
          <w:color w:val="auto"/>
        </w:rPr>
        <w:t>The date or dates from which interest will accrue or the method by which such date or dates will be determined.</w:t>
      </w:r>
    </w:p>
    <w:p>
      <w:pPr>
        <w:spacing w:after="0" w:line="142"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provisions or upon the happening of a specified event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1080" w:right="180" w:hanging="532"/>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80" w:right="340" w:hanging="532"/>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Indexed Principal. </w:t>
      </w:r>
      <w:r>
        <w:rPr>
          <w:rFonts w:ascii="Arial" w:cs="Arial" w:eastAsia="Arial" w:hAnsi="Arial"/>
          <w:sz w:val="17"/>
          <w:szCs w:val="17"/>
          <w:color w:val="auto"/>
        </w:rPr>
        <w:t>If the amount of principal of, or premium, if any, or interest on, the offered debt securities may be determined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 to an index or pursuant to a formula or other method, the manner in which such amounts will be determined.</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53"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for taxes, assessments or similar charges.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1080" w:right="460" w:hanging="532"/>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class or series.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Securities. </w:t>
      </w:r>
      <w:r>
        <w:rPr>
          <w:rFonts w:ascii="Arial" w:cs="Arial" w:eastAsia="Arial" w:hAnsi="Arial"/>
          <w:sz w:val="17"/>
          <w:szCs w:val="17"/>
          <w:color w:val="auto"/>
        </w:rPr>
        <w:t>Whether the offered debt securities are to be issued in whole or in part in the form of one or more temporary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Payees. </w:t>
      </w:r>
      <w:r>
        <w:rPr>
          <w:rFonts w:ascii="Arial" w:cs="Arial" w:eastAsia="Arial" w:hAnsi="Arial"/>
          <w:sz w:val="18"/>
          <w:szCs w:val="18"/>
          <w:color w:val="auto"/>
        </w:rPr>
        <w:t>If other than as provided in the applicable indenture, the person to whom any interest on any registered security of the class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will be payable and the manner in which, or the person to whom, any interest on any bearer securities of the class or series will be payable.</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Any definitions for the offered debt securities of that class or series that are different from or in addition to the 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the applicable indenture, including, without limitation, the definition of “unrestricted subsidiary” to be used for such class or series.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any subordinated indenture that we may enter into, the relative degree to which the offered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senior to or junior to other debt securities, whether currently outstanding or to be offered in the future, and to other debt, in right of payment.</w:t>
      </w:r>
    </w:p>
    <w:p>
      <w:pPr>
        <w:spacing w:after="0" w:line="89" w:lineRule="exact"/>
        <w:rPr>
          <w:rFonts w:ascii="Arial" w:cs="Arial" w:eastAsia="Arial" w:hAnsi="Arial"/>
          <w:sz w:val="18"/>
          <w:szCs w:val="18"/>
          <w:color w:val="auto"/>
        </w:rPr>
      </w:pPr>
    </w:p>
    <w:p>
      <w:pPr>
        <w:ind w:left="1080" w:right="520" w:hanging="532"/>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guarantees (including whether and the extent to which the guarantees are subordinated to other debt of the guarantors).</w:t>
      </w:r>
    </w:p>
    <w:p>
      <w:pPr>
        <w:spacing w:after="0" w:line="29" w:lineRule="exact"/>
        <w:rPr>
          <w:rFonts w:ascii="Arial" w:cs="Arial" w:eastAsia="Arial" w:hAnsi="Arial"/>
          <w:sz w:val="16"/>
          <w:szCs w:val="16"/>
          <w:color w:val="auto"/>
        </w:rPr>
      </w:pPr>
    </w:p>
    <w:p>
      <w:pPr>
        <w:ind w:left="1080" w:right="20" w:hanging="532"/>
        <w:spacing w:after="0" w:line="31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Terms. </w:t>
      </w:r>
      <w:r>
        <w:rPr>
          <w:rFonts w:ascii="Arial" w:cs="Arial" w:eastAsia="Arial" w:hAnsi="Arial"/>
          <w:sz w:val="18"/>
          <w:szCs w:val="18"/>
          <w:color w:val="auto"/>
        </w:rPr>
        <w:t>Any other terms not inconsistent with the terms of the applicable indenture pertaining to the offered debt securities 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or advisable under U.S. laws or regulations or advisable, as we determine, in connection with marketing of securities of the class or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80" w:right="6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w:t>
      </w:r>
    </w:p>
    <w:p>
      <w:pPr>
        <w:spacing w:after="0" w:line="34" w:lineRule="exact"/>
        <w:rPr>
          <w:sz w:val="20"/>
          <w:szCs w:val="20"/>
          <w:color w:val="auto"/>
        </w:rPr>
      </w:pPr>
    </w:p>
    <w:p>
      <w:pPr>
        <w:jc w:val="both"/>
        <w:ind w:left="120" w:right="140"/>
        <w:spacing w:after="0" w:line="325" w:lineRule="auto"/>
        <w:rPr>
          <w:sz w:val="20"/>
          <w:szCs w:val="20"/>
          <w:color w:val="auto"/>
        </w:rPr>
      </w:pPr>
      <w:r>
        <w:rPr>
          <w:rFonts w:ascii="Arial" w:cs="Arial" w:eastAsia="Arial" w:hAnsi="Arial"/>
          <w:sz w:val="16"/>
          <w:szCs w:val="16"/>
          <w:color w:val="auto"/>
        </w:rPr>
        <w:t>amounts on the debt securities is U.S. Bank National Association, 214 North Tryon Street, 27</w:t>
      </w:r>
      <w:r>
        <w:rPr>
          <w:rFonts w:ascii="Arial" w:cs="Arial" w:eastAsia="Arial" w:hAnsi="Arial"/>
          <w:sz w:val="13"/>
          <w:szCs w:val="13"/>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4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class or series of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may issue debt securities of a class or series in the form of one or more fully registered global securities. Each registered global security will:</w:t>
      </w:r>
    </w:p>
    <w:p>
      <w:pPr>
        <w:spacing w:after="0" w:line="154"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Payment of Taxes and Other Claims. </w:t>
      </w:r>
      <w:r>
        <w:rPr>
          <w:rFonts w:ascii="Arial" w:cs="Arial" w:eastAsia="Arial" w:hAnsi="Arial"/>
          <w:sz w:val="17"/>
          <w:szCs w:val="17"/>
          <w:color w:val="auto"/>
        </w:rPr>
        <w:t>We will pay or discharge or cause to be paid or discharged, before they shall become delinquent:</w:t>
      </w:r>
    </w:p>
    <w:p>
      <w:pPr>
        <w:spacing w:after="0" w:line="14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Provision of Financial Information. </w:t>
      </w:r>
      <w:r>
        <w:rPr>
          <w:rFonts w:ascii="Arial" w:cs="Arial" w:eastAsia="Arial" w:hAnsi="Arial"/>
          <w:sz w:val="18"/>
          <w:szCs w:val="18"/>
          <w:color w:val="auto"/>
        </w:rPr>
        <w:t>Whether or not we are subject to Section 13 or 15(d) of the Exchange Act, we will, within 15 days of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respective dates by which we would have been required to file annual reports, quarterly reports and other documents with the SEC if we were so subject:</w:t>
      </w:r>
    </w:p>
    <w:p>
      <w:pPr>
        <w:spacing w:after="0" w:line="89" w:lineRule="exact"/>
        <w:rPr>
          <w:sz w:val="20"/>
          <w:szCs w:val="20"/>
          <w:color w:val="auto"/>
        </w:rPr>
      </w:pPr>
    </w:p>
    <w:p>
      <w:pPr>
        <w:ind w:left="1080" w:right="4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540" w:right="60" w:hanging="439"/>
        <w:spacing w:after="0" w:line="263"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540" w:right="320" w:hanging="439"/>
        <w:spacing w:after="0" w:line="259"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2"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we say otherwise in a prospectus supplement, there will be no restrictions in any subordinated indenture upon the creation of additional senior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we may not:</w:t>
      </w:r>
    </w:p>
    <w:p>
      <w:pPr>
        <w:spacing w:after="0" w:line="7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5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9" w:lineRule="exact"/>
        <w:rPr>
          <w:sz w:val="20"/>
          <w:szCs w:val="20"/>
          <w:color w:val="auto"/>
        </w:rPr>
      </w:pPr>
    </w:p>
    <w:p>
      <w:pPr>
        <w:ind w:left="1080" w:right="6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the default and all other similar defaults as to which notice has been given shall have been cured, waived or shall have ceased to exist;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the applicable senior debt (and all other senior debt as to which notice has been given) shall have been discharged or paid in full; and</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left="120" w:right="300" w:firstLine="436"/>
        <w:spacing w:after="0" w:line="277" w:lineRule="auto"/>
        <w:tabs>
          <w:tab w:leader="none" w:pos="7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left="120" w:right="160" w:firstLine="436"/>
        <w:spacing w:after="0" w:line="277" w:lineRule="auto"/>
        <w:tabs>
          <w:tab w:leader="none" w:pos="7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720" w:hanging="16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class or series.</w:t>
      </w:r>
    </w:p>
    <w:p>
      <w:pPr>
        <w:spacing w:after="0" w:line="225" w:lineRule="exact"/>
        <w:rPr>
          <w:rFonts w:ascii="Arial" w:cs="Arial" w:eastAsia="Arial" w:hAnsi="Arial"/>
          <w:sz w:val="18"/>
          <w:szCs w:val="18"/>
          <w:color w:val="auto"/>
        </w:rPr>
      </w:pPr>
    </w:p>
    <w:p>
      <w:pPr>
        <w:ind w:left="120" w:firstLine="436"/>
        <w:spacing w:after="0" w:line="263" w:lineRule="auto"/>
        <w:tabs>
          <w:tab w:leader="none" w:pos="7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4" w:lineRule="exact"/>
        <w:rPr>
          <w:sz w:val="20"/>
          <w:szCs w:val="20"/>
          <w:color w:val="auto"/>
        </w:rPr>
      </w:pPr>
    </w:p>
    <w:p>
      <w:pPr>
        <w:ind w:left="800" w:hanging="244"/>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class or series.</w:t>
      </w:r>
    </w:p>
    <w:p>
      <w:pPr>
        <w:spacing w:after="0" w:line="248" w:lineRule="exact"/>
        <w:rPr>
          <w:sz w:val="20"/>
          <w:szCs w:val="20"/>
          <w:color w:val="auto"/>
        </w:rPr>
      </w:pPr>
    </w:p>
    <w:p>
      <w:pPr>
        <w:ind w:left="120" w:right="160" w:firstLine="436"/>
        <w:spacing w:after="0" w:line="290" w:lineRule="auto"/>
        <w:tabs>
          <w:tab w:leader="none" w:pos="73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65" w:lineRule="exact"/>
        <w:rPr>
          <w:rFonts w:ascii="Arial" w:cs="Arial" w:eastAsia="Arial" w:hAnsi="Arial"/>
          <w:sz w:val="16"/>
          <w:szCs w:val="16"/>
          <w:color w:val="auto"/>
        </w:rPr>
      </w:pPr>
    </w:p>
    <w:p>
      <w:pPr>
        <w:ind w:left="740" w:hanging="184"/>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800" w:hanging="24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800" w:hanging="24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left="120" w:right="260" w:firstLine="436"/>
        <w:spacing w:after="0" w:line="277"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820" w:hanging="2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 Any other event of default provided with respect to the debt securities of that class or series.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class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may waive any past default except for:</w:t>
      </w:r>
    </w:p>
    <w:p>
      <w:pPr>
        <w:spacing w:after="0" w:line="76"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or will provide that if an event of default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92"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class or series and any related coupons,</w:t>
      </w:r>
    </w:p>
    <w:p>
      <w:pPr>
        <w:spacing w:after="0" w:line="75" w:lineRule="exact"/>
        <w:rPr>
          <w:rFonts w:ascii="Arial" w:cs="Arial" w:eastAsia="Arial" w:hAnsi="Arial"/>
          <w:sz w:val="18"/>
          <w:szCs w:val="18"/>
          <w:color w:val="auto"/>
        </w:rPr>
      </w:pPr>
    </w:p>
    <w:p>
      <w:pPr>
        <w:ind w:left="1540" w:right="260" w:hanging="439"/>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540" w:right="640" w:hanging="439"/>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Notices of Default. </w:t>
      </w:r>
      <w:r>
        <w:rPr>
          <w:rFonts w:ascii="Arial" w:cs="Arial" w:eastAsia="Arial" w:hAnsi="Arial"/>
          <w:sz w:val="18"/>
          <w:szCs w:val="18"/>
          <w:color w:val="auto"/>
        </w:rPr>
        <w:t>Unless we say otherwise in a prospectus supplement, we are required to deliver to the trustee, on or before a date not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120 days after the end of each fiscal year, a certificate of compliance with the indenture, and, in the event of any noncompliance, specifying such noncompliance, including whether or not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8"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9" w:lineRule="exact"/>
        <w:rPr>
          <w:sz w:val="20"/>
          <w:szCs w:val="20"/>
          <w:color w:val="auto"/>
        </w:rPr>
      </w:pPr>
    </w:p>
    <w:p>
      <w:pPr>
        <w:ind w:left="1080" w:right="44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class or series:</w:t>
      </w:r>
    </w:p>
    <w:p>
      <w:pPr>
        <w:spacing w:after="0" w:line="76" w:lineRule="exact"/>
        <w:rPr>
          <w:sz w:val="20"/>
          <w:szCs w:val="20"/>
          <w:color w:val="auto"/>
        </w:rPr>
      </w:pPr>
    </w:p>
    <w:p>
      <w:pPr>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18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7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9" w:lineRule="exact"/>
        <w:rPr>
          <w:sz w:val="20"/>
          <w:szCs w:val="20"/>
          <w:color w:val="auto"/>
        </w:rPr>
      </w:pPr>
    </w:p>
    <w:p>
      <w:pPr>
        <w:ind w:left="10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jc w:val="both"/>
        <w:ind w:left="1080" w:right="140" w:hanging="532"/>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 securities of all class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92" w:lineRule="exact"/>
        <w:rPr>
          <w:sz w:val="20"/>
          <w:szCs w:val="20"/>
          <w:color w:val="auto"/>
        </w:rPr>
      </w:pPr>
    </w:p>
    <w:p>
      <w:pPr>
        <w:ind w:left="5540" w:right="3020" w:hanging="4992"/>
        <w:spacing w:after="0" w:line="449" w:lineRule="auto"/>
        <w:tabs>
          <w:tab w:leader="none" w:pos="10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 14</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class or series of outstanding debt security;</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9"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80" w:right="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class or series;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adds to our covenants for the benefit of the holders of all or any class or series of debt securities or surrenders any of our rights or powers;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class or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secures the debt securities of any class or series;</w:t>
      </w:r>
    </w:p>
    <w:p>
      <w:pPr>
        <w:spacing w:after="0" w:line="130"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class or series not yet issued;</w:t>
      </w:r>
    </w:p>
    <w:p>
      <w:pPr>
        <w:spacing w:after="0" w:line="130" w:lineRule="exact"/>
        <w:rPr>
          <w:rFonts w:ascii="Arial" w:cs="Arial" w:eastAsia="Arial" w:hAnsi="Arial"/>
          <w:sz w:val="18"/>
          <w:szCs w:val="18"/>
          <w:color w:val="auto"/>
        </w:rPr>
      </w:pPr>
    </w:p>
    <w:p>
      <w:pPr>
        <w:ind w:left="1080" w:right="520" w:hanging="532"/>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92"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2"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declaration of trust allows us to issue up to 100,000,000 common shares of beneficial interest, par value $0.01 per share, and 15,000,000 preferred shares of beneficial interest, par value $0.01 per share. As of May 5, 2021, we had issued and outstanding 77,759,995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take the following actions without approval by you or any shareholder:</w:t>
      </w:r>
    </w:p>
    <w:p>
      <w:pPr>
        <w:spacing w:after="0" w:line="76" w:lineRule="exact"/>
        <w:rPr>
          <w:sz w:val="20"/>
          <w:szCs w:val="20"/>
          <w:color w:val="auto"/>
        </w:rPr>
      </w:pPr>
    </w:p>
    <w:p>
      <w:pPr>
        <w:ind w:left="1080" w:right="62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amend the declaration of trust to change the authorized number of shares of any class or series of shares of beneficial interest.</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5540" w:right="1800" w:hanging="4992"/>
        <w:spacing w:after="0" w:line="449" w:lineRule="auto"/>
        <w:tabs>
          <w:tab w:leader="none" w:pos="10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 17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71" w:lineRule="exact"/>
        <w:rPr>
          <w:sz w:val="20"/>
          <w:szCs w:val="20"/>
          <w:color w:val="auto"/>
        </w:rPr>
      </w:pPr>
    </w:p>
    <w:p>
      <w:pPr>
        <w:ind w:left="1080" w:right="80" w:hanging="532"/>
        <w:spacing w:after="0" w:line="279"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76" w:lineRule="exact"/>
        <w:rPr>
          <w:rFonts w:ascii="Arial" w:cs="Arial" w:eastAsia="Arial" w:hAnsi="Arial"/>
          <w:sz w:val="17"/>
          <w:szCs w:val="17"/>
          <w:color w:val="auto"/>
        </w:rPr>
      </w:pPr>
    </w:p>
    <w:p>
      <w:pPr>
        <w:ind w:left="1080" w:right="40" w:hanging="532"/>
        <w:spacing w:after="0" w:line="279"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76" w:lineRule="exact"/>
        <w:rPr>
          <w:rFonts w:ascii="Arial" w:cs="Arial" w:eastAsia="Arial" w:hAnsi="Arial"/>
          <w:sz w:val="17"/>
          <w:szCs w:val="17"/>
          <w:color w:val="auto"/>
        </w:rPr>
      </w:pPr>
    </w:p>
    <w:p>
      <w:pPr>
        <w:ind w:left="1080" w:right="100" w:hanging="532"/>
        <w:spacing w:after="0" w:line="311"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4"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1 preferred shares rank pari pasu with the Series C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1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5.417% of the liquidation price of $25, which is equivalent to $1.35425 per annum.</w:t>
      </w:r>
    </w:p>
    <w:p>
      <w:pPr>
        <w:spacing w:after="0" w:line="18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 per share, plus all accrued and unpaid dividends, before any distribution shall be made with respect to the common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Conversion Rights. </w:t>
      </w:r>
      <w:r>
        <w:rPr>
          <w:rFonts w:ascii="Arial" w:cs="Arial" w:eastAsia="Arial" w:hAnsi="Arial"/>
          <w:sz w:val="17"/>
          <w:szCs w:val="17"/>
          <w:color w:val="auto"/>
        </w:rPr>
        <w:t>Subject to other applicable provisions within the articles supplementary for the Series 1 preferred shares, from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C preferred shares rank pari pasu with the Series 1 preferred shares and senior to the common shares with respect to the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dividends and the distribution of assets upon our liquidation,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5.000% of the liquidation price of $25,000, which is equivalent to $1,250 per annum.</w:t>
      </w:r>
    </w:p>
    <w:p>
      <w:pPr>
        <w:spacing w:after="0" w:line="184"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C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$25,000 per share, plus all accrued and unpaid dividends, before any distribution shall be made with respect to the common shares.</w:t>
      </w:r>
    </w:p>
    <w:p>
      <w:pPr>
        <w:spacing w:after="0" w:line="124"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The Series C preferred shares generally have no voting rights. However, if and whenever dividends payable on the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are in arrears for six or more dividend periods, whether or not declared or consecutive, holders of the depositary shares representing Series C preferred shares (voting together as a class with holders of any other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Stock Exchange Listing. </w:t>
      </w:r>
      <w:r>
        <w:rPr>
          <w:rFonts w:ascii="Arial" w:cs="Arial" w:eastAsia="Arial" w:hAnsi="Arial"/>
          <w:sz w:val="16"/>
          <w:szCs w:val="16"/>
          <w:color w:val="auto"/>
        </w:rPr>
        <w:t>The Series C depositary shares are traded on the New York Stock Exchange under the trading symbol “FRTPRC.”</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Terms. </w:t>
      </w:r>
      <w:r>
        <w:rPr>
          <w:rFonts w:ascii="Arial" w:cs="Arial" w:eastAsia="Arial" w:hAnsi="Arial"/>
          <w:sz w:val="18"/>
          <w:szCs w:val="18"/>
          <w:color w:val="auto"/>
        </w:rPr>
        <w:t>You should refer to the prospectus supplement relating to the offering of any preferred shares for specific terms, including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w:t>
      </w:r>
    </w:p>
    <w:p>
      <w:pPr>
        <w:spacing w:after="0" w:line="76"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rights upon our liquidation, dissolution or winding up, rank:</w:t>
      </w:r>
    </w:p>
    <w:p>
      <w:pPr>
        <w:spacing w:after="0" w:line="76"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any preferential rights of any outstanding shares or series of shares and to the provisions of our declaration of trust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mandatory redemption or redemption at our option, in whole or in part, in each case upon the terms, at the times and at the redemption prices set forth in that supplement.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7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prospectus supplement relating to the offering of those preferred shares. These terms typically will include:</w:t>
      </w:r>
    </w:p>
    <w:p>
      <w:pPr>
        <w:spacing w:after="0" w:line="76"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108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1"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i w:val="1"/>
          <w:iCs w:val="1"/>
          <w:color w:val="auto"/>
        </w:rPr>
        <w:t>Automatic Transfer of Shares to Trust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certain exceptions described below, if any purported transfer of shares would violate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5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4"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issue receipts for depositary shares, each of which will represent a fractional interest of a share of a particular series of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5, 2021, we had 6,000,000 depositary shares issued and outstanding, each representing a 1/1000th fractional interest in a Series C preferred share. See “—Series C Preferred Shares.”</w:t>
      </w:r>
    </w:p>
    <w:p>
      <w:pPr>
        <w:spacing w:after="0" w:line="17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9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holder of depositary shares, to the fraction of the liquidation preference accorded each applicable preferred share, as has been set forth in a prospectus supplement.</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Charges of Depositary. </w:t>
      </w:r>
      <w:r>
        <w:rPr>
          <w:rFonts w:ascii="Arial" w:cs="Arial" w:eastAsia="Arial" w:hAnsi="Arial"/>
          <w:sz w:val="17"/>
          <w:szCs w:val="17"/>
          <w:color w:val="auto"/>
        </w:rPr>
        <w:t>We will pay all transfer and other taxes and governmental charges arising solely from the existence of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Miscellaneous. </w:t>
      </w:r>
      <w:r>
        <w:rPr>
          <w:rFonts w:ascii="Arial" w:cs="Arial" w:eastAsia="Arial" w:hAnsi="Arial"/>
          <w:sz w:val="17"/>
          <w:szCs w:val="17"/>
          <w:color w:val="auto"/>
        </w:rPr>
        <w:t>The depositary will forward to you all reports and communications from us that we are required, or otherwise determine,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i w:val="1"/>
          <w:iCs w:val="1"/>
          <w:color w:val="auto"/>
        </w:rPr>
        <w:t>Share Purchase Contracts</w:t>
      </w:r>
      <w:r>
        <w:rPr>
          <w:rFonts w:ascii="Arial" w:cs="Arial" w:eastAsia="Arial" w:hAnsi="Arial"/>
          <w:sz w:val="17"/>
          <w:szCs w:val="17"/>
          <w:color w:val="auto"/>
        </w:rPr>
        <w:t>. We may issue share purchase contracts, which are contracts obligating holders to purchase from or sell to us,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 The following are some of the share purchase contract terms that could be described in a prospectus supplement:</w:t>
      </w:r>
    </w:p>
    <w:p>
      <w:pPr>
        <w:spacing w:after="0" w:line="84" w:lineRule="exact"/>
        <w:rPr>
          <w:sz w:val="20"/>
          <w:szCs w:val="20"/>
          <w:color w:val="auto"/>
        </w:rPr>
      </w:pPr>
    </w:p>
    <w:p>
      <w:pPr>
        <w:ind w:left="108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share purchase contracts are to be prepaid or not</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share purchase contracts;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share purchase contracts;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shares, preferred shares or depositary shares representing interests in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number and terms of the common shares, preferred shares or depository shares representing interests in preferred shares that may be purchased on exercise of the warrant;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any series of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description of the terms of any unit agreement to be entered into between us and a bank or trust company, as unit agent, governing the units;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units;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units will be listed on any securities exchange;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of certain provisions of the Maryland General Corporation Law and our declaration of trust and bylaws is not complete.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the Maryland General Corporation Law and our declaration of trust and bylaws for more complete information.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9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2"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61"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Number of Trustees. </w:t>
      </w:r>
      <w:r>
        <w:rPr>
          <w:rFonts w:ascii="Arial" w:cs="Arial" w:eastAsia="Arial" w:hAnsi="Arial"/>
          <w:sz w:val="17"/>
          <w:szCs w:val="17"/>
          <w:color w:val="auto"/>
        </w:rPr>
        <w:t>The number of trustees may be increased or decreased pursuant to the bylaws, provided that the total number of trustees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less than five or more than 10. Under Maryland law and our declaration of trust, trustees are elected for one-year terms.</w:t>
      </w:r>
    </w:p>
    <w:p>
      <w:pPr>
        <w:spacing w:after="0" w:line="142"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5" w:lineRule="exact"/>
        <w:rPr>
          <w:sz w:val="20"/>
          <w:szCs w:val="20"/>
          <w:color w:val="auto"/>
        </w:rPr>
      </w:pPr>
    </w:p>
    <w:p>
      <w:pPr>
        <w:ind w:left="1080" w:right="26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80"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i w:val="1"/>
          <w:iCs w:val="1"/>
          <w:color w:val="auto"/>
        </w:rPr>
        <w:t>Advance Notice for Shareholder Nominations and Shareholder New Business Proposals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require advance written notice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4"/>
          <w:szCs w:val="14"/>
          <w:color w:val="auto"/>
        </w:rPr>
        <w:t>th</w:t>
      </w:r>
      <w:r>
        <w:rPr>
          <w:rFonts w:ascii="Arial" w:cs="Arial" w:eastAsia="Arial" w:hAnsi="Arial"/>
          <w:sz w:val="17"/>
          <w:szCs w:val="17"/>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88"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Shareholder Liability and Indemnification. </w:t>
      </w:r>
      <w:r>
        <w:rPr>
          <w:rFonts w:ascii="Arial" w:cs="Arial" w:eastAsia="Arial" w:hAnsi="Arial"/>
          <w:sz w:val="16"/>
          <w:szCs w:val="16"/>
          <w:color w:val="auto"/>
        </w:rPr>
        <w:t>Under Maryland law, you will not be personally liable for any obligation of ours solely because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5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4" w:lineRule="exact"/>
        <w:rPr>
          <w:sz w:val="20"/>
          <w:szCs w:val="20"/>
          <w:color w:val="auto"/>
        </w:rPr>
      </w:pPr>
    </w:p>
    <w:p>
      <w:pPr>
        <w:jc w:val="both"/>
        <w:ind w:left="120" w:right="3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shares pursuant to share purchase contracts, or warrants to purchase debt or equity securities, the prospectus supplement would include information about additional material U.S. federal income tax considerations relevant to any of the offered securities.</w:t>
      </w:r>
    </w:p>
    <w:p>
      <w:pPr>
        <w:spacing w:after="0" w:line="18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84"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2020;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42" w:lineRule="exact"/>
        <w:rPr>
          <w:rFonts w:ascii="Arial" w:cs="Arial" w:eastAsia="Arial" w:hAnsi="Arial"/>
          <w:sz w:val="17"/>
          <w:szCs w:val="17"/>
          <w:color w:val="auto"/>
        </w:rPr>
      </w:pPr>
    </w:p>
    <w:p>
      <w:pPr>
        <w:ind w:left="1080" w:right="10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20" w:hanging="532"/>
        <w:spacing w:after="0" w:line="286"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70" w:lineRule="exact"/>
        <w:rPr>
          <w:rFonts w:ascii="Arial" w:cs="Arial" w:eastAsia="Arial" w:hAnsi="Arial"/>
          <w:sz w:val="17"/>
          <w:szCs w:val="17"/>
          <w:color w:val="auto"/>
        </w:rPr>
      </w:pPr>
    </w:p>
    <w:p>
      <w:pPr>
        <w:ind w:left="1080" w:right="2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8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7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7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generally intend to control any partnerships in which we hold an interest and we intend to operate them in a manner consistent with the requirements for our qualification as a REIT. We may from time to time be a limited partner or non-managing member in some of our partnerships. If a partnership in which we own an interest but do not have control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80" w:hanging="532"/>
        <w:spacing w:after="0" w:line="290"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20" w:hanging="532"/>
        <w:spacing w:after="0" w:line="273"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 property that we own and lease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20" w:hanging="532"/>
        <w:spacing w:after="0" w:line="255"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93"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60" w:hanging="532"/>
        <w:spacing w:after="0" w:line="270"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86" w:lineRule="exact"/>
        <w:rPr>
          <w:rFonts w:ascii="Arial" w:cs="Arial" w:eastAsia="Arial" w:hAnsi="Arial"/>
          <w:sz w:val="17"/>
          <w:szCs w:val="17"/>
          <w:color w:val="auto"/>
        </w:rPr>
      </w:pPr>
    </w:p>
    <w:p>
      <w:pPr>
        <w:ind w:left="1080" w:hanging="532"/>
        <w:spacing w:after="0" w:line="269"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142" w:lineRule="exact"/>
        <w:rPr>
          <w:sz w:val="20"/>
          <w:szCs w:val="20"/>
          <w:color w:val="auto"/>
        </w:rPr>
      </w:pPr>
    </w:p>
    <w:p>
      <w:pPr>
        <w:ind w:left="1080" w:right="280" w:hanging="532"/>
        <w:spacing w:after="0" w:line="34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jc w:val="both"/>
        <w:ind w:left="120" w:right="2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1" w:lineRule="exact"/>
        <w:rPr>
          <w:sz w:val="20"/>
          <w:szCs w:val="20"/>
          <w:color w:val="auto"/>
        </w:rPr>
      </w:pPr>
    </w:p>
    <w:p>
      <w:pPr>
        <w:ind w:left="120" w:right="20" w:hanging="4"/>
        <w:spacing w:after="0" w:line="285" w:lineRule="auto"/>
        <w:tabs>
          <w:tab w:leader="none" w:pos="435" w:val="left"/>
        </w:tabs>
        <w:numPr>
          <w:ilvl w:val="0"/>
          <w:numId w:val="77"/>
        </w:numPr>
        <w:rPr>
          <w:rFonts w:ascii="Arial" w:cs="Arial" w:eastAsia="Arial" w:hAnsi="Arial"/>
          <w:sz w:val="16"/>
          <w:szCs w:val="16"/>
          <w:color w:val="auto"/>
        </w:rPr>
      </w:pPr>
      <w:r>
        <w:rPr>
          <w:rFonts w:ascii="Arial" w:cs="Arial" w:eastAsia="Arial" w:hAnsi="Arial"/>
          <w:sz w:val="16"/>
          <w:szCs w:val="16"/>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7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300" w:hanging="532"/>
        <w:spacing w:after="0" w:line="308"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60" w:hanging="331"/>
        <w:spacing w:after="0" w:line="279" w:lineRule="auto"/>
        <w:tabs>
          <w:tab w:leader="none" w:pos="15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76" w:lineRule="exact"/>
        <w:rPr>
          <w:rFonts w:ascii="Arial" w:cs="Arial" w:eastAsia="Arial" w:hAnsi="Arial"/>
          <w:sz w:val="17"/>
          <w:szCs w:val="17"/>
          <w:color w:val="auto"/>
        </w:rPr>
      </w:pPr>
    </w:p>
    <w:p>
      <w:pPr>
        <w:ind w:left="1540" w:right="180" w:hanging="331"/>
        <w:spacing w:after="0" w:line="263"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w:t>
      </w:r>
    </w:p>
    <w:p>
      <w:pPr>
        <w:spacing w:after="0" w:line="2" w:lineRule="exact"/>
        <w:rPr>
          <w:rFonts w:ascii="Arial" w:cs="Arial" w:eastAsia="Arial" w:hAnsi="Arial"/>
          <w:sz w:val="16"/>
          <w:szCs w:val="16"/>
          <w:color w:val="auto"/>
        </w:rPr>
      </w:pPr>
    </w:p>
    <w:p>
      <w:pPr>
        <w:ind w:left="1080" w:right="120"/>
        <w:spacing w:after="0" w:line="281"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w:t>
      </w:r>
    </w:p>
    <w:p>
      <w:pPr>
        <w:spacing w:after="0" w:line="1" w:lineRule="exact"/>
        <w:rPr>
          <w:rFonts w:ascii="Arial" w:cs="Arial" w:eastAsia="Arial" w:hAnsi="Arial"/>
          <w:sz w:val="16"/>
          <w:szCs w:val="16"/>
          <w:color w:val="auto"/>
        </w:rPr>
      </w:pPr>
    </w:p>
    <w:p>
      <w:pPr>
        <w:ind w:left="1080" w:right="20"/>
        <w:spacing w:after="0" w:line="253" w:lineRule="auto"/>
        <w:rPr>
          <w:rFonts w:ascii="Arial" w:cs="Arial" w:eastAsia="Arial" w:hAnsi="Arial"/>
          <w:sz w:val="16"/>
          <w:szCs w:val="16"/>
          <w:color w:val="auto"/>
        </w:rPr>
      </w:pPr>
      <w:r>
        <w:rPr>
          <w:rFonts w:ascii="Arial" w:cs="Arial" w:eastAsia="Arial" w:hAnsi="Arial"/>
          <w:sz w:val="18"/>
          <w:szCs w:val="18"/>
          <w:color w:val="auto"/>
        </w:rPr>
        <w:t>(v)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8" w:lineRule="exact"/>
        <w:rPr>
          <w:rFonts w:ascii="Arial" w:cs="Arial" w:eastAsia="Arial" w:hAnsi="Arial"/>
          <w:sz w:val="16"/>
          <w:szCs w:val="16"/>
          <w:color w:val="auto"/>
        </w:rPr>
      </w:pPr>
    </w:p>
    <w:p>
      <w:pPr>
        <w:ind w:left="1080" w:right="10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Asset Tests. </w:t>
      </w:r>
      <w:r>
        <w:rPr>
          <w:rFonts w:ascii="Arial" w:cs="Arial" w:eastAsia="Arial" w:hAnsi="Arial"/>
          <w:sz w:val="17"/>
          <w:szCs w:val="17"/>
          <w:color w:val="auto"/>
        </w:rPr>
        <w:t>If we fail to satisfy one or more of the asset tests for any quarter of a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21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8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320" w:hanging="532"/>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6"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8"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6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Redemption of Preferred Shares for Cash. </w:t>
      </w:r>
      <w:r>
        <w:rPr>
          <w:rFonts w:ascii="Arial" w:cs="Arial" w:eastAsia="Arial" w:hAnsi="Arial"/>
          <w:sz w:val="18"/>
          <w:szCs w:val="18"/>
          <w:color w:val="auto"/>
        </w:rPr>
        <w:t>The treatment accorded to any redemption by us for cash (as distinguished from a sale, exchange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disposition) of preferred shares can only be determined on the basis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 U.S. shareholder’s basis in that share and any excess after the basis is reduced to zero would result in taxable gain. If the holder had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6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Redemption or Conversion of Preferred Shares to Common Shares. </w:t>
      </w:r>
      <w:r>
        <w:rPr>
          <w:rFonts w:ascii="Arial" w:cs="Arial" w:eastAsia="Arial" w:hAnsi="Arial"/>
          <w:sz w:val="18"/>
          <w:szCs w:val="18"/>
          <w:color w:val="auto"/>
        </w:rPr>
        <w:t>Assuming that preferred shares will not be redeemed or converted at a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84"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Adjustments to Conversion Price. </w:t>
      </w:r>
      <w:r>
        <w:rPr>
          <w:rFonts w:ascii="Arial" w:cs="Arial" w:eastAsia="Arial" w:hAnsi="Arial"/>
          <w:sz w:val="18"/>
          <w:szCs w:val="18"/>
          <w:color w:val="auto"/>
        </w:rPr>
        <w:t>Under Section 305 of the Code, holders of preferred shares may be deemed to have received a constructive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8"/>
          <w:szCs w:val="18"/>
          <w:i w:val="1"/>
          <w:iCs w:val="1"/>
          <w:color w:val="auto"/>
        </w:rPr>
        <w:t>bona fide</w:t>
      </w:r>
      <w:r>
        <w:rPr>
          <w:rFonts w:ascii="Arial" w:cs="Arial" w:eastAsia="Arial" w:hAnsi="Arial"/>
          <w:sz w:val="18"/>
          <w:szCs w:val="18"/>
          <w:color w:val="auto"/>
        </w:rPr>
        <w:t>, reasonable adjustment formula. In such a case, if a nonqualifying adjustment were made, the holders of preferred shares might be deemed to have received a taxable share dividend.</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87"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6"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7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7"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5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Sale of Shares</w:t>
      </w:r>
      <w:r>
        <w:rPr>
          <w:rFonts w:ascii="Arial" w:cs="Arial" w:eastAsia="Arial" w:hAnsi="Arial"/>
          <w:sz w:val="18"/>
          <w:szCs w:val="18"/>
          <w:color w:val="auto"/>
        </w:rPr>
        <w:t>. A non-U.S. shareholder generally will not incur tax under FIRPTA on gain from the sale of its common or preferred shares as long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are a “domestically controlled REIT.” A “domestically controlled REIT” is a REIT in which at all times during a specified testing 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4"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4"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i w:val="1"/>
          <w:iCs w:val="1"/>
          <w:color w:val="auto"/>
        </w:rPr>
        <w:t xml:space="preserve">Wash Sales. </w:t>
      </w:r>
      <w:r>
        <w:rPr>
          <w:rFonts w:ascii="Arial" w:cs="Arial" w:eastAsia="Arial" w:hAnsi="Arial"/>
          <w:sz w:val="17"/>
          <w:szCs w:val="17"/>
          <w:color w:val="auto"/>
        </w:rPr>
        <w:t>In general, special wash sale rules apply if a shareholder owning more than 5% of our common or preferred shares avoids a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Conversion of Preferred Shares to Common Shares. </w:t>
      </w:r>
      <w:r>
        <w:rPr>
          <w:rFonts w:ascii="Arial" w:cs="Arial" w:eastAsia="Arial" w:hAnsi="Arial"/>
          <w:sz w:val="17"/>
          <w:szCs w:val="17"/>
          <w:color w:val="auto"/>
        </w:rPr>
        <w:t>The conversion of preferred shares into our common shares may be a taxable exchange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w:t>
      </w:r>
      <w:r>
        <w:rPr>
          <w:rFonts w:ascii="Arial" w:cs="Arial" w:eastAsia="Arial" w:hAnsi="Arial"/>
          <w:sz w:val="17"/>
          <w:szCs w:val="17"/>
          <w:b w:val="1"/>
          <w:bCs w:val="1"/>
          <w:color w:val="auto"/>
        </w:rPr>
        <w:t>c</w:t>
      </w:r>
      <w:r>
        <w:rPr>
          <w:rFonts w:ascii="Arial" w:cs="Arial" w:eastAsia="Arial" w:hAnsi="Arial"/>
          <w:sz w:val="17"/>
          <w:szCs w:val="17"/>
          <w:color w:val="auto"/>
        </w:rPr>
        <w:t>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4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54"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derives 50% or more of its gross income for a specified three-year period from the conduct of a trade or business in the United States;</w:t>
      </w:r>
    </w:p>
    <w:p>
      <w:pPr>
        <w:spacing w:after="0" w:line="153" w:lineRule="exact"/>
        <w:rPr>
          <w:rFonts w:ascii="Arial" w:cs="Arial" w:eastAsia="Arial" w:hAnsi="Arial"/>
          <w:sz w:val="16"/>
          <w:szCs w:val="16"/>
          <w:color w:val="auto"/>
        </w:rPr>
      </w:pPr>
    </w:p>
    <w:p>
      <w:pPr>
        <w:ind w:left="1080" w:right="22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Under sections 1471 through 1474 of the Code, Treasury regulations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Treasury regulations proposed in December 2018 (and upon which taxpayers and withholding agents are entitled to rely) would, when finalized, eliminate FATCA withholding on the gross proceeds from a sale or other disposition of instruments, such as the shares, that produce withholdable payments.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Changes to Tax Laws and Regulations. </w:t>
      </w:r>
      <w:r>
        <w:rPr>
          <w:rFonts w:ascii="Arial" w:cs="Arial" w:eastAsia="Arial" w:hAnsi="Arial"/>
          <w:sz w:val="17"/>
          <w:szCs w:val="17"/>
          <w:color w:val="auto"/>
        </w:rPr>
        <w:t>The rules dealing with federal income taxation are subject to revision by the U.S. Congress, the IRS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Series C depository shares, which are quoted on the New York Stock Exchange). No assurance can be given as to the liquidity of the trading market for any such securities.</w:t>
      </w:r>
    </w:p>
    <w:p>
      <w:pPr>
        <w:spacing w:after="0" w:line="18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72"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Our Annual Report on Form 10-K for the fiscal year ended December 31, 2020, filed with the SEC on February 11, 2021;</w:t>
        </w:r>
      </w:hyperlink>
    </w:p>
    <w:p>
      <w:pPr>
        <w:spacing w:after="0" w:line="130"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86"/>
        </w:numPr>
        <w:rPr>
          <w:rFonts w:ascii="Arial" w:cs="Arial" w:eastAsia="Arial" w:hAnsi="Arial"/>
          <w:sz w:val="18"/>
          <w:szCs w:val="18"/>
          <w:color w:val="0000EE"/>
        </w:rPr>
      </w:pPr>
      <w:hyperlink r:id="rId92">
        <w:r>
          <w:rPr>
            <w:rFonts w:ascii="Arial" w:cs="Arial" w:eastAsia="Arial" w:hAnsi="Arial"/>
            <w:sz w:val="18"/>
            <w:szCs w:val="18"/>
            <w:u w:val="single" w:color="auto"/>
            <w:color w:val="0000EE"/>
          </w:rPr>
          <w:t>Our Definitive Proxy Statement for our 2021 Annual Meeting of Shareholders, filed with the SEC on March 25, 2021</w:t>
        </w:r>
      </w:hyperlink>
      <w:r>
        <w:rPr>
          <w:rFonts w:ascii="Arial" w:cs="Arial" w:eastAsia="Arial" w:hAnsi="Arial"/>
          <w:sz w:val="18"/>
          <w:szCs w:val="18"/>
          <w:color w:val="000000"/>
        </w:rPr>
        <w:t>;</w:t>
      </w:r>
    </w:p>
    <w:p>
      <w:pPr>
        <w:spacing w:after="0" w:line="130" w:lineRule="exact"/>
        <w:rPr>
          <w:rFonts w:ascii="Arial" w:cs="Arial" w:eastAsia="Arial" w:hAnsi="Arial"/>
          <w:sz w:val="18"/>
          <w:szCs w:val="18"/>
          <w:color w:val="0000EE"/>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9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2021, filed with the SEC on May 5, 2021;</w:t>
      </w:r>
    </w:p>
    <w:p>
      <w:pPr>
        <w:spacing w:after="0" w:line="131" w:lineRule="exact"/>
        <w:rPr>
          <w:rFonts w:ascii="Arial" w:cs="Arial" w:eastAsia="Arial" w:hAnsi="Arial"/>
          <w:sz w:val="18"/>
          <w:szCs w:val="18"/>
          <w:color w:val="auto"/>
        </w:rPr>
      </w:pPr>
    </w:p>
    <w:p>
      <w:pPr>
        <w:ind w:left="540"/>
        <w:spacing w:after="0"/>
        <w:tabs>
          <w:tab w:leader="none" w:pos="1060" w:val="left"/>
        </w:tabs>
        <w:rPr>
          <w:rFonts w:ascii="Arial" w:cs="Arial" w:eastAsia="Arial" w:hAnsi="Arial"/>
          <w:sz w:val="17"/>
          <w:szCs w:val="17"/>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xml:space="preserve">Our Current Reports on Form 8-K filed with the SEC on </w:t>
      </w:r>
      <w:hyperlink r:id="rId94">
        <w:r>
          <w:rPr>
            <w:rFonts w:ascii="Arial" w:cs="Arial" w:eastAsia="Arial" w:hAnsi="Arial"/>
            <w:sz w:val="17"/>
            <w:szCs w:val="17"/>
            <w:u w:val="single" w:color="auto"/>
            <w:color w:val="0000EE"/>
          </w:rPr>
          <w:t>February 12</w:t>
        </w:r>
      </w:hyperlink>
      <w:r>
        <w:rPr>
          <w:rFonts w:ascii="Arial" w:cs="Arial" w:eastAsia="Arial" w:hAnsi="Arial"/>
          <w:sz w:val="17"/>
          <w:szCs w:val="17"/>
          <w:color w:val="auto"/>
        </w:rPr>
        <w:t xml:space="preserve">, 2021, </w:t>
      </w:r>
      <w:hyperlink r:id="rId95">
        <w:r>
          <w:rPr>
            <w:rFonts w:ascii="Arial" w:cs="Arial" w:eastAsia="Arial" w:hAnsi="Arial"/>
            <w:sz w:val="17"/>
            <w:szCs w:val="17"/>
            <w:u w:val="single" w:color="auto"/>
            <w:color w:val="0000EE"/>
          </w:rPr>
          <w:t>February 24, 2021</w:t>
        </w:r>
      </w:hyperlink>
      <w:r>
        <w:rPr>
          <w:rFonts w:ascii="Arial" w:cs="Arial" w:eastAsia="Arial" w:hAnsi="Arial"/>
          <w:sz w:val="17"/>
          <w:szCs w:val="17"/>
          <w:color w:val="auto"/>
        </w:rPr>
        <w:t xml:space="preserve">, </w:t>
      </w:r>
      <w:hyperlink r:id="rId96">
        <w:r>
          <w:rPr>
            <w:rFonts w:ascii="Arial" w:cs="Arial" w:eastAsia="Arial" w:hAnsi="Arial"/>
            <w:sz w:val="17"/>
            <w:szCs w:val="17"/>
            <w:u w:val="single" w:color="auto"/>
            <w:color w:val="0000EE"/>
          </w:rPr>
          <w:t>April 19, 2021</w:t>
        </w:r>
      </w:hyperlink>
      <w:r>
        <w:rPr>
          <w:rFonts w:ascii="Arial" w:cs="Arial" w:eastAsia="Arial" w:hAnsi="Arial"/>
          <w:sz w:val="17"/>
          <w:szCs w:val="17"/>
          <w:color w:val="auto"/>
        </w:rPr>
        <w:t xml:space="preserve">, and </w:t>
      </w:r>
      <w:hyperlink r:id="rId97">
        <w:r>
          <w:rPr>
            <w:rFonts w:ascii="Arial" w:cs="Arial" w:eastAsia="Arial" w:hAnsi="Arial"/>
            <w:sz w:val="17"/>
            <w:szCs w:val="17"/>
            <w:u w:val="single" w:color="auto"/>
            <w:color w:val="0000EE"/>
          </w:rPr>
          <w:t>May 6</w:t>
        </w:r>
      </w:hyperlink>
      <w:r>
        <w:rPr>
          <w:rFonts w:ascii="Arial" w:cs="Arial" w:eastAsia="Arial" w:hAnsi="Arial"/>
          <w:sz w:val="17"/>
          <w:szCs w:val="17"/>
          <w:color w:val="auto"/>
        </w:rPr>
        <w:t>, 2021;</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7"/>
        </w:numPr>
        <w:rPr>
          <w:rFonts w:ascii="Arial" w:cs="Arial" w:eastAsia="Arial" w:hAnsi="Arial"/>
          <w:sz w:val="17"/>
          <w:szCs w:val="17"/>
          <w:u w:val="single" w:color="auto"/>
          <w:color w:val="0000EE"/>
        </w:rPr>
      </w:pPr>
      <w:hyperlink r:id="rId98">
        <w:r>
          <w:rPr>
            <w:rFonts w:ascii="Arial" w:cs="Arial" w:eastAsia="Arial" w:hAnsi="Arial"/>
            <w:sz w:val="17"/>
            <w:szCs w:val="17"/>
            <w:u w:val="single" w:color="auto"/>
            <w:color w:val="0000EE"/>
          </w:rPr>
          <w:t>Description of our common shares contained in the Registration Statement on Form 8-A/A, filed with the SEC on June 6, 2002; and</w:t>
        </w:r>
      </w:hyperlink>
    </w:p>
    <w:p>
      <w:pPr>
        <w:spacing w:after="0" w:line="142" w:lineRule="exact"/>
        <w:rPr>
          <w:rFonts w:ascii="Arial" w:cs="Arial" w:eastAsia="Arial" w:hAnsi="Arial"/>
          <w:sz w:val="17"/>
          <w:szCs w:val="17"/>
          <w:u w:val="single" w:color="auto"/>
          <w:color w:val="0000EE"/>
        </w:rPr>
      </w:pPr>
    </w:p>
    <w:p>
      <w:pPr>
        <w:ind w:left="1080" w:right="180" w:hanging="532"/>
        <w:spacing w:after="0" w:line="277" w:lineRule="auto"/>
        <w:tabs>
          <w:tab w:leader="none" w:pos="1080" w:val="left"/>
        </w:tabs>
        <w:numPr>
          <w:ilvl w:val="0"/>
          <w:numId w:val="87"/>
        </w:numPr>
        <w:rPr>
          <w:rFonts w:ascii="Arial" w:cs="Arial" w:eastAsia="Arial" w:hAnsi="Arial"/>
          <w:sz w:val="18"/>
          <w:szCs w:val="18"/>
          <w:color w:val="0000EE"/>
        </w:rPr>
      </w:pPr>
      <w:hyperlink r:id="rId99">
        <w:r>
          <w:rPr>
            <w:rFonts w:ascii="Arial" w:cs="Arial" w:eastAsia="Arial" w:hAnsi="Arial"/>
            <w:sz w:val="18"/>
            <w:szCs w:val="18"/>
            <w:u w:val="single" w:color="auto"/>
            <w:color w:val="0000EE"/>
          </w:rPr>
          <w:t>Description of our Series C depositary shares contained in the Registration Statement on Form 8-A, filed with the SEC on September 29,</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2017</w:t>
        </w:r>
        <w:r>
          <w:rPr>
            <w:rFonts w:ascii="Arial" w:cs="Arial" w:eastAsia="Arial" w:hAnsi="Arial"/>
            <w:sz w:val="18"/>
            <w:szCs w:val="18"/>
            <w:color w:val="000000"/>
          </w:rPr>
          <w:t>.</w:t>
        </w:r>
      </w:hyperlink>
    </w:p>
    <w:p>
      <w:pPr>
        <w:spacing w:after="0" w:line="170" w:lineRule="exact"/>
        <w:rPr>
          <w:rFonts w:ascii="Arial" w:cs="Arial" w:eastAsia="Arial" w:hAnsi="Arial"/>
          <w:sz w:val="18"/>
          <w:szCs w:val="18"/>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5" w:lineRule="exact"/>
        <w:rPr>
          <w:rFonts w:ascii="Arial" w:cs="Arial" w:eastAsia="Arial" w:hAnsi="Arial"/>
          <w:sz w:val="18"/>
          <w:szCs w:val="18"/>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1"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909 Rose Ave. Suite 200</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North Bethesda, Maryland 20852</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ind w:left="1100"/>
        <w:spacing w:after="0"/>
        <w:rPr>
          <w:sz w:val="20"/>
          <w:szCs w:val="20"/>
          <w:color w:val="auto"/>
        </w:rPr>
      </w:pPr>
      <w:r>
        <w:rPr>
          <w:rFonts w:ascii="Arial" w:cs="Arial" w:eastAsia="Arial" w:hAnsi="Arial"/>
          <w:sz w:val="18"/>
          <w:szCs w:val="18"/>
          <w:color w:val="auto"/>
        </w:rPr>
        <w:t>(301) 998-8100</w:t>
      </w:r>
    </w:p>
    <w:p>
      <w:pPr>
        <w:spacing w:after="0" w:line="14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3760" w:type="dxa"/>
            <w:vAlign w:val="bottom"/>
          </w:tcPr>
          <w:p>
            <w:pPr>
              <w:spacing w:after="0"/>
              <w:rPr>
                <w:sz w:val="20"/>
                <w:szCs w:val="20"/>
                <w:color w:val="auto"/>
              </w:rPr>
            </w:pPr>
            <w:r>
              <w:rPr>
                <w:rFonts w:ascii="Arial" w:cs="Arial" w:eastAsia="Arial" w:hAnsi="Arial"/>
                <w:sz w:val="29"/>
                <w:szCs w:val="29"/>
                <w:b w:val="1"/>
                <w:bCs w:val="1"/>
                <w:color w:val="auto"/>
              </w:rPr>
              <w:t>Wells Fargo Securities</w:t>
            </w:r>
          </w:p>
        </w:tc>
        <w:tc>
          <w:tcPr>
            <w:tcW w:w="4480" w:type="dxa"/>
            <w:vAlign w:val="bottom"/>
          </w:tcPr>
          <w:p>
            <w:pPr>
              <w:ind w:left="1000"/>
              <w:spacing w:after="0"/>
              <w:rPr>
                <w:sz w:val="20"/>
                <w:szCs w:val="20"/>
                <w:color w:val="auto"/>
              </w:rPr>
            </w:pPr>
            <w:r>
              <w:rPr>
                <w:rFonts w:ascii="Arial" w:cs="Arial" w:eastAsia="Arial" w:hAnsi="Arial"/>
                <w:sz w:val="29"/>
                <w:szCs w:val="29"/>
                <w:b w:val="1"/>
                <w:bCs w:val="1"/>
                <w:color w:val="auto"/>
              </w:rPr>
              <w:t>BofA Securities</w:t>
            </w:r>
          </w:p>
        </w:tc>
        <w:tc>
          <w:tcPr>
            <w:tcW w:w="2780" w:type="dxa"/>
            <w:vAlign w:val="bottom"/>
          </w:tcPr>
          <w:p>
            <w:pPr>
              <w:jc w:val="right"/>
              <w:spacing w:after="0"/>
              <w:rPr>
                <w:sz w:val="20"/>
                <w:szCs w:val="20"/>
                <w:color w:val="auto"/>
              </w:rPr>
            </w:pPr>
            <w:r>
              <w:rPr>
                <w:rFonts w:ascii="Arial" w:cs="Arial" w:eastAsia="Arial" w:hAnsi="Arial"/>
                <w:sz w:val="29"/>
                <w:szCs w:val="29"/>
                <w:b w:val="1"/>
                <w:bCs w:val="1"/>
                <w:color w:val="auto"/>
              </w:rPr>
              <w:t>Citigroup</w:t>
            </w:r>
          </w:p>
        </w:tc>
      </w:tr>
      <w:tr>
        <w:trPr>
          <w:trHeight w:val="445"/>
        </w:trPr>
        <w:tc>
          <w:tcPr>
            <w:tcW w:w="3760" w:type="dxa"/>
            <w:vAlign w:val="bottom"/>
          </w:tcPr>
          <w:p>
            <w:pPr>
              <w:spacing w:after="0"/>
              <w:rPr>
                <w:sz w:val="20"/>
                <w:szCs w:val="20"/>
                <w:color w:val="auto"/>
              </w:rPr>
            </w:pPr>
            <w:r>
              <w:rPr>
                <w:rFonts w:ascii="Arial" w:cs="Arial" w:eastAsia="Arial" w:hAnsi="Arial"/>
                <w:sz w:val="29"/>
                <w:szCs w:val="29"/>
                <w:b w:val="1"/>
                <w:bCs w:val="1"/>
                <w:color w:val="auto"/>
              </w:rPr>
              <w:t>J.P. Morgan</w:t>
            </w:r>
          </w:p>
        </w:tc>
        <w:tc>
          <w:tcPr>
            <w:tcW w:w="448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29"/>
                <w:szCs w:val="29"/>
                <w:b w:val="1"/>
                <w:bCs w:val="1"/>
                <w:color w:val="auto"/>
              </w:rPr>
              <w:t>Jefferies</w:t>
            </w:r>
          </w:p>
        </w:tc>
      </w:tr>
      <w:tr>
        <w:trPr>
          <w:trHeight w:val="427"/>
        </w:trPr>
        <w:tc>
          <w:tcPr>
            <w:tcW w:w="3760" w:type="dxa"/>
            <w:vAlign w:val="bottom"/>
          </w:tcPr>
          <w:p>
            <w:pPr>
              <w:spacing w:after="0"/>
              <w:rPr>
                <w:sz w:val="24"/>
                <w:szCs w:val="24"/>
                <w:color w:val="auto"/>
              </w:rPr>
            </w:pPr>
          </w:p>
        </w:tc>
        <w:tc>
          <w:tcPr>
            <w:tcW w:w="4480" w:type="dxa"/>
            <w:vAlign w:val="bottom"/>
          </w:tcPr>
          <w:p>
            <w:pPr>
              <w:ind w:left="1280"/>
              <w:spacing w:after="0"/>
              <w:rPr>
                <w:sz w:val="20"/>
                <w:szCs w:val="20"/>
                <w:color w:val="auto"/>
              </w:rPr>
            </w:pPr>
            <w:r>
              <w:rPr>
                <w:rFonts w:ascii="Arial" w:cs="Arial" w:eastAsia="Arial" w:hAnsi="Arial"/>
                <w:sz w:val="18"/>
                <w:szCs w:val="18"/>
                <w:b w:val="1"/>
                <w:bCs w:val="1"/>
                <w:color w:val="auto"/>
              </w:rPr>
              <w:t>May 7, 2021</w:t>
            </w:r>
          </w:p>
        </w:tc>
        <w:tc>
          <w:tcPr>
            <w:tcW w:w="2780" w:type="dxa"/>
            <w:vAlign w:val="bottom"/>
          </w:tcPr>
          <w:p>
            <w:pPr>
              <w:spacing w:after="0"/>
              <w:rPr>
                <w:sz w:val="24"/>
                <w:szCs w:val="24"/>
                <w:color w:val="auto"/>
              </w:rPr>
            </w:pPr>
          </w:p>
        </w:tc>
      </w:tr>
      <w:tr>
        <w:trPr>
          <w:trHeight w:val="648"/>
        </w:trPr>
        <w:tc>
          <w:tcPr>
            <w:tcW w:w="3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r>
        <w:trPr>
          <w:trHeight w:val="95"/>
        </w:trPr>
        <w:tc>
          <w:tcPr>
            <w:tcW w:w="3760" w:type="dxa"/>
            <w:vAlign w:val="bottom"/>
            <w:tcBorders>
              <w:bottom w:val="single" w:sz="8" w:color="auto"/>
            </w:tcBorders>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2"/>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lvl w:ilvl="1">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lvl w:ilvl="1">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decimal"/>
      <w:start w:val="5"/>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lvl w:ilvl="1">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lvl w:ilvl="1">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lvl w:ilvl="1">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1)"/>
      <w:numFmt w:val="lowerRoman"/>
      <w:start w:val="3"/>
    </w:lvl>
  </w:abstractNum>
  <w:abstractNum w:abstractNumId="77">
    <w:nsid w:val="7FFFCA11"/>
    <w:multiLevelType w:val="hybridMultilevel"/>
    <w:lvl w:ilvl="0">
      <w:lvlJc w:val="left"/>
      <w:lvlText w:val="•"/>
      <w:numFmt w:val="bullet"/>
      <w:start w:val="1"/>
    </w:lvl>
    <w:lvl w:ilvl="1">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2"/>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91" Type="http://schemas.openxmlformats.org/officeDocument/2006/relationships/hyperlink" Target="http://www.sec.gov/ix?doc=/Archives/edgar/data/34903/000003490321000020/frt-20201231.htm" TargetMode="External"/><Relationship Id="rId92" Type="http://schemas.openxmlformats.org/officeDocument/2006/relationships/hyperlink" Target="http://www.sec.gov/Archives/edgar/data/34903/000119312521093583/d112637ddef14a.htm" TargetMode="External"/><Relationship Id="rId93" Type="http://schemas.openxmlformats.org/officeDocument/2006/relationships/hyperlink" Target="http://www.sec.gov/ix?doc=/Archives/edgar/data/34903/000003490321000049/frt-20210331.htm" TargetMode="External"/><Relationship Id="rId94" Type="http://schemas.openxmlformats.org/officeDocument/2006/relationships/hyperlink" Target="http://www.sec.gov/ix?doc=/Archives/edgar/data/34903/000003490321000032/frt-20210210.htm" TargetMode="External"/><Relationship Id="rId95" Type="http://schemas.openxmlformats.org/officeDocument/2006/relationships/hyperlink" Target="http://www.sec.gov/ix?doc=/Archives/edgar/data/34903/000119312521053567/d121275d8k.htm" TargetMode="External"/><Relationship Id="rId96" Type="http://schemas.openxmlformats.org/officeDocument/2006/relationships/hyperlink" Target="http://www.sec.gov/ix?doc=/Archives/edgar/data/34903/000119312521121313/d126788d8k.htm" TargetMode="External"/><Relationship Id="rId97" Type="http://schemas.openxmlformats.org/officeDocument/2006/relationships/hyperlink" Target="http://www.sec.gov/ix?doc=/Archives/edgar/data/34903/000003490321000051/frt-20210505.htm" TargetMode="External"/><Relationship Id="rId98" Type="http://schemas.openxmlformats.org/officeDocument/2006/relationships/hyperlink" Target="http://www.sec.gov/Archives/edgar/data/34903/000092838502002234/d8a12ba.txt" TargetMode="External"/><Relationship Id="rId99"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2021-05-07T07:03:57Z</dcterms:created>
  <dcterms:modified xsi:type="dcterms:W3CDTF">2021-05-07T07:03:57Z</dcterms:modified>
</cp:coreProperties>
</file>