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30, 2013</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1, 2013, Federal Realty Investment Trust issued supplemental data pertaining to its operations, as well as a press release, to report its financial results for the quarter ended June 30, 2013.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2013 (including press release dated August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August 1, 2013</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2013</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2013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2013 Significant Acquisition</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13</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49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2200" w:type="dxa"/>
            <w:vAlign w:val="bottom"/>
            <w:gridSpan w:val="2"/>
          </w:tcPr>
          <w:p>
            <w:pPr>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2200" w:type="dxa"/>
            <w:vAlign w:val="bottom"/>
            <w:gridSpan w:val="2"/>
          </w:tcPr>
          <w:p>
            <w:pPr>
              <w:spacing w:after="0"/>
              <w:rPr>
                <w:sz w:val="20"/>
                <w:szCs w:val="20"/>
                <w:color w:val="auto"/>
              </w:rPr>
            </w:pPr>
            <w:r>
              <w:rPr>
                <w:rFonts w:ascii="Arial" w:cs="Arial" w:eastAsia="Arial" w:hAnsi="Arial"/>
                <w:sz w:val="18"/>
                <w:szCs w:val="18"/>
                <w:color w:val="auto"/>
                <w:w w:val="99"/>
              </w:rPr>
              <w:t>Investor Relations Manager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4900" w:type="dxa"/>
            <w:vAlign w:val="bottom"/>
          </w:tcPr>
          <w:p>
            <w:pPr>
              <w:spacing w:after="0"/>
              <w:rPr>
                <w:sz w:val="22"/>
                <w:szCs w:val="22"/>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301/998-8265</w:t>
            </w:r>
          </w:p>
        </w:tc>
        <w:tc>
          <w:tcPr>
            <w:tcW w:w="84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w w:val="99"/>
              </w:rPr>
              <w:t>klennox@federalrealty.com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 xml:space="preserve">FEDERAL REALTY INVESTMENT TRUST ANNOUNCES SECOND QUARTER 2013 OPERATING RESULTS </w:t>
      </w:r>
      <w:r>
        <w:rPr>
          <w:rFonts w:ascii="Arial" w:cs="Arial" w:eastAsia="Arial" w:hAnsi="Arial"/>
          <w:sz w:val="18"/>
          <w:szCs w:val="18"/>
          <w:i w:val="1"/>
          <w:iCs w:val="1"/>
          <w:color w:val="auto"/>
        </w:rPr>
        <w:t xml:space="preserve">- FFO per share, as adjusted, increases 9.6% to $1.14 for the quarter - </w:t>
      </w:r>
      <w:r>
        <w:rPr>
          <w:rFonts w:ascii="Arial" w:cs="Arial" w:eastAsia="Arial" w:hAnsi="Arial"/>
          <w:sz w:val="18"/>
          <w:szCs w:val="18"/>
          <w:color w:val="auto"/>
        </w:rPr>
        <w:t xml:space="preserve">- </w:t>
      </w:r>
      <w:r>
        <w:rPr>
          <w:rFonts w:ascii="Arial" w:cs="Arial" w:eastAsia="Arial" w:hAnsi="Arial"/>
          <w:sz w:val="18"/>
          <w:szCs w:val="18"/>
          <w:i w:val="1"/>
          <w:iCs w:val="1"/>
          <w:color w:val="auto"/>
        </w:rPr>
        <w:t>Common dividend increased for record 46</w:t>
      </w:r>
      <w:r>
        <w:rPr>
          <w:rFonts w:ascii="Arial" w:cs="Arial" w:eastAsia="Arial" w:hAnsi="Arial"/>
          <w:sz w:val="21"/>
          <w:szCs w:val="21"/>
          <w:i w:val="1"/>
          <w:i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i w:val="1"/>
          <w:iCs w:val="1"/>
          <w:color w:val="auto"/>
        </w:rPr>
        <w:t>consecutive year -</w:t>
      </w:r>
    </w:p>
    <w:p>
      <w:pPr>
        <w:spacing w:after="0" w:line="18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ROCKVILLE, Md. (August 1, 2013)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second quarter ended June 30,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In the second quarter 2013, Federal Realty generated funds from operations available for common shareholders (FFO) of $71.1 million or $1.08 per diluted share. This compares to FFO of $66.8 million, or $1.04 per diluted share, in second quarter 2012. For the six months ended June 30, 2013, Federal Realty reported FFO of $145.2 million, or $2.22 per diluted share, compared to $133.4 million, or $2.08 per diluted share for the same six-month period in 2012. The Trust's reported results include a $3.4 million charge related to the make-whole premium for prepaying the Trust's 5.40% senior notes from the proceeds of the new 2.75% senior notes issuance completed in the second quarter. Excluding this charge, FFO per diluted share increased 9.6% to $1.14 in second quarter 2013 and 9.1% to $2.27 for the six months ended June 30, 2013.</w:t>
      </w:r>
    </w:p>
    <w:p>
      <w:pPr>
        <w:spacing w:after="0" w:line="300"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$37.4 million and earnings per diluted share was $0.57 for the quarter ended June 30, 2013 versus $32.5 million and $0.51, respectively, for second quarter 2012. Year-to-date, Federal Realty reported net income available for common shareholders of $71.9 million and earnings per diluted share of $1.10. This compares to net income available for common shareholders of $75.3 million and earnings per diluted share of $1.18 for the six months ended June 30, 2012.</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net income to FFO is attached to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ind w:right="760"/>
        <w:spacing w:after="0" w:line="365" w:lineRule="auto"/>
        <w:rPr>
          <w:sz w:val="20"/>
          <w:szCs w:val="20"/>
          <w:color w:val="auto"/>
        </w:rPr>
      </w:pPr>
      <w:r>
        <w:rPr>
          <w:rFonts w:ascii="Arial" w:cs="Arial" w:eastAsia="Arial" w:hAnsi="Arial"/>
          <w:sz w:val="18"/>
          <w:szCs w:val="18"/>
          <w:color w:val="auto"/>
        </w:rPr>
        <w:t>In second quarter 2013, same-center property operating income increased 5.0% over second quarter 2012. When redevelopment and expansion properties are excluded from same-center results, property operating income for second quarter 2013 increased 5.2% compared to second quarter 2012.</w:t>
      </w:r>
    </w:p>
    <w:p>
      <w:pPr>
        <w:spacing w:after="0" w:line="204"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95.3% leased as of June 30, 2013, compared to 95.1% on March 31, 2013 and 94.2% on June 30, 2012. Federal Realty's same-center portfolio was 95.3% leased on June 30, 2013, compared to 95.1% on March 31, 2013 and 95.0% on June 30, 2012.</w:t>
      </w:r>
    </w:p>
    <w:p>
      <w:pPr>
        <w:spacing w:after="0" w:line="197"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the second quarter of 2013, Federal Realty signed 111 leases for 504,605 square feet of retail space. On a comparable space basis (i.e., spaces for which there was a former tenant), the Trust leased 470,832 square feet at an average cash-basis contractual rent increase per square foot (i.e., excluding the impact of straight-line rents) of 15%. The average contractual rent on this comparable space for the first year of the new leases is $31.10 per square foot, compared to the average contractual rent of $27.00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29% for second quarter 2013. As of June 30, 2013, Federal Realty's average contractual, cash basis minimum rent for retail and commercial space in its portfolio was $24.29 per square foot.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 also announced today that its Board of Trustees increased the dividend rate on its common shares, declaring a regular quarterly cash dividend of $0.78 per share, resulting in an indicated annual rate of $3.12 per share, an increase of 6.8%. The regular common dividend will be payable on October 15, 2013, to common shareholders of record as of September 23, 2013. This increase represents the 46th consecutive year that Federal Realty has increased its common dividend, the longest record of consecutive annual dividend increases in the REIT sector, and amongst the longest such records for publicly traded companies in the US.</w:t>
      </w:r>
    </w:p>
    <w:p>
      <w:pPr>
        <w:spacing w:after="0" w:line="298" w:lineRule="exact"/>
        <w:rPr>
          <w:sz w:val="20"/>
          <w:szCs w:val="20"/>
          <w:color w:val="auto"/>
        </w:rPr>
      </w:pPr>
    </w:p>
    <w:p>
      <w:pPr>
        <w:ind w:right="200"/>
        <w:spacing w:after="0" w:line="345" w:lineRule="auto"/>
        <w:rPr>
          <w:sz w:val="20"/>
          <w:szCs w:val="20"/>
          <w:color w:val="auto"/>
        </w:rPr>
      </w:pPr>
      <w:r>
        <w:rPr>
          <w:rFonts w:ascii="Arial" w:cs="Arial" w:eastAsia="Arial" w:hAnsi="Arial"/>
          <w:sz w:val="18"/>
          <w:szCs w:val="18"/>
          <w:color w:val="auto"/>
        </w:rPr>
        <w:t>“Our portfolio continues to outperform expectations and our leasing activity, which produced rollover growth in excess of 15%, sets us up well for the future. We are also pleased with the progress and momentum in our development pipeline and the value creation we expect it to deliver,” said Don Wood, president and chief executive officer of Federal Realty Investment Trust. “Finally, we are proud to increase our dividend for the 46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the only REIT to have such record.”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Federal Realty increased guidance, excluding the $3.4 million debt prepayment charge, for 2013 FFO per diluted share to a range of $4.56 to $4.60, and provided 2013 earnings per diluted share guidance of $2.41 to $2.45.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240" w:hanging="232"/>
        <w:spacing w:after="0" w:line="352"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9, 2013 - Federal Realty announced the closing of its public offering of $275 million aggregate principal amount of 2.75% senior unsecured notes due June 1, 2023.</w:t>
      </w:r>
    </w:p>
    <w:p>
      <w:pPr>
        <w:spacing w:after="0" w:line="14" w:lineRule="exact"/>
        <w:rPr>
          <w:rFonts w:ascii="Arial" w:cs="Arial" w:eastAsia="Arial" w:hAnsi="Arial"/>
          <w:sz w:val="18"/>
          <w:szCs w:val="18"/>
          <w:color w:val="auto"/>
        </w:rPr>
      </w:pPr>
    </w:p>
    <w:p>
      <w:pPr>
        <w:jc w:val="both"/>
        <w:ind w:left="240" w:hanging="232"/>
        <w:spacing w:after="0" w:line="354"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June 10, 2013 - Federal Realty announced the redemption of its 5.40% Senior Unsecured notes due December 1, 2013 (the "Notes") for aggregate principal of $135 million. The redemption price was approximately $138.5 million, including $0.2 million of accrued and unpaid interest.</w:t>
      </w:r>
    </w:p>
    <w:p>
      <w:pPr>
        <w:spacing w:after="0" w:line="15" w:lineRule="exact"/>
        <w:rPr>
          <w:rFonts w:ascii="Arial" w:cs="Arial" w:eastAsia="Arial" w:hAnsi="Arial"/>
          <w:sz w:val="18"/>
          <w:szCs w:val="18"/>
          <w:color w:val="auto"/>
        </w:rPr>
      </w:pPr>
    </w:p>
    <w:p>
      <w:pPr>
        <w:jc w:val="both"/>
        <w:ind w:left="240" w:hanging="232"/>
        <w:spacing w:after="0" w:line="364"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July 22, 2013 - Federal Realty closed on the sale of its 5th Avenue asset in San Diego, and entered into an agreement to sell its Forest Hills asset in Long Island, New York. The total sales price for the two assets is $36 million. The Forest Hills sale is still subject to buyer's due diligence. These asset sales are part of a reverse 1031 exchange in connection with the acquisition of our shopping center in Darien, Connecticut in April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second quarter 2013 earnings conference call, which is scheduled for August 2, 2013, at 11 a.m. Eastern Daylight Time. To participate, please call (800) 447-0521 five to ten minutes prior to the call start time and use the passcode 35097821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September 1, 2013, by dialing (888) 843-7419 and using the passcode 35097821.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95.3% leased to national, regional, and local retailers as of June 30, 2013, with no single tenant accounting for more than approximately 3.4% of annualized base rent. Federal Realty has paid quarterly dividends to its shareholders continuously since its founding in 1962, and has increased its dividend rate for 46 consecutive years, the longest record in the REIT industry. Federal Realty is an S&amp;P MidCap 400 company and its shares are traded on the NYSE under the symbol FRT.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179" w:lineRule="exact"/>
        <w:rPr>
          <w:sz w:val="20"/>
          <w:szCs w:val="20"/>
          <w:color w:val="auto"/>
        </w:rPr>
      </w:pPr>
    </w:p>
    <w:p>
      <w:pPr>
        <w:ind w:left="660" w:hanging="652"/>
        <w:spacing w:after="0" w:line="279" w:lineRule="auto"/>
        <w:tabs>
          <w:tab w:leader="none" w:pos="6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90" w:lineRule="exact"/>
        <w:rPr>
          <w:sz w:val="20"/>
          <w:szCs w:val="20"/>
          <w:color w:val="auto"/>
        </w:rPr>
      </w:pPr>
    </w:p>
    <w:p>
      <w:pPr>
        <w:ind w:left="660" w:right="2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0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50"/>
        </w:trPr>
        <w:tc>
          <w:tcPr>
            <w:tcW w:w="65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44"/>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153,769</w:t>
            </w:r>
          </w:p>
        </w:tc>
        <w:tc>
          <w:tcPr>
            <w:tcW w:w="10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141,796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306,988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282,457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8,840</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2,552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315,699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293,849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53,016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32,594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14,143</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35,199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80,477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71,770</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188,881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171,523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63,913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126,818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122,326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65,858</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11,860</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77,718</w:t>
            </w:r>
          </w:p>
        </w:tc>
      </w:tr>
      <w:tr>
        <w:trPr>
          <w:trHeight w:val="243"/>
        </w:trPr>
        <w:tc>
          <w:tcPr>
            <w:tcW w:w="65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75,589</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37,404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32,468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71,856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75,318</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0.99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143"/>
        </w:trPr>
        <w:tc>
          <w:tcPr>
            <w:tcW w:w="6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304"/>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65,149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63,700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64,922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63,556</w:t>
            </w:r>
          </w:p>
        </w:tc>
      </w:tr>
      <w:tr>
        <w:trPr>
          <w:trHeight w:val="217"/>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65,311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63,880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65,080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63,732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$264,821 and $264,506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4,550,534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4,490,960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288,714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4,951,919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4,779,674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$15,579 and $12,024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(1,286,923)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(1,224,295)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3,664,996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3,555,379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84,103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73,861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55,648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33,029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143,520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4,085,203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$204,055 and $205,299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796,666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832,482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299,575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1,213,333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1,076,545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297,288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2,607,266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2,493,552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1,350,720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1,276,815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1,286,812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1,383,787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1,310,593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4,085,203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(in thousands, except per share data)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09"/>
        </w:trPr>
        <w:tc>
          <w:tcPr>
            <w:tcW w:w="65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38,797</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33,596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74,639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77,718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63,772</w:t>
            </w: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5,606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r>
      <w:tr>
        <w:trPr>
          <w:trHeight w:val="237"/>
        </w:trPr>
        <w:tc>
          <w:tcPr>
            <w:tcW w:w="40" w:type="dxa"/>
            <w:vAlign w:val="bottom"/>
          </w:tcPr>
          <w:p>
            <w:pPr>
              <w:spacing w:after="0"/>
              <w:rPr>
                <w:sz w:val="20"/>
                <w:szCs w:val="20"/>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71,388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67,005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145,682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133,863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471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37"/>
        </w:trPr>
        <w:tc>
          <w:tcPr>
            <w:tcW w:w="40" w:type="dxa"/>
            <w:vAlign w:val="bottom"/>
          </w:tcPr>
          <w:p>
            <w:pPr>
              <w:spacing w:after="0"/>
              <w:rPr>
                <w:sz w:val="20"/>
                <w:szCs w:val="20"/>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FFO</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71,148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145,197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133,432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0" w:type="dxa"/>
            <w:vAlign w:val="bottom"/>
            <w:tcBorders>
              <w:bottom w:val="single" w:sz="8" w:color="CCEEFF"/>
            </w:tcBorders>
          </w:tcPr>
          <w:p>
            <w:pPr>
              <w:spacing w:after="0"/>
              <w:rPr>
                <w:sz w:val="24"/>
                <w:szCs w:val="24"/>
                <w:color w:val="auto"/>
              </w:rPr>
            </w:pPr>
          </w:p>
        </w:tc>
        <w:tc>
          <w:tcPr>
            <w:tcW w:w="650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 excluding early extinguishment of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74,531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66,778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148,580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133,432</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Weighted average number of common shares, 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64,074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6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03"/>
        </w:trPr>
        <w:tc>
          <w:tcPr>
            <w:tcW w:w="6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47,461</w:t>
            </w:r>
          </w:p>
        </w:tc>
      </w:tr>
      <w:tr>
        <w:trPr>
          <w:trHeight w:val="243"/>
        </w:trPr>
        <w:tc>
          <w:tcPr>
            <w:tcW w:w="40" w:type="dxa"/>
            <w:vAlign w:val="bottom"/>
          </w:tcPr>
          <w:p>
            <w:pPr>
              <w:spacing w:after="0"/>
              <w:rPr>
                <w:sz w:val="21"/>
                <w:szCs w:val="21"/>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14,811</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62,272</w:t>
            </w:r>
          </w:p>
        </w:tc>
      </w:tr>
      <w:tr>
        <w:trPr>
          <w:trHeight w:val="243"/>
        </w:trPr>
        <w:tc>
          <w:tcPr>
            <w:tcW w:w="40" w:type="dxa"/>
            <w:vAlign w:val="bottom"/>
          </w:tcPr>
          <w:p>
            <w:pPr>
              <w:spacing w:after="0"/>
              <w:rPr>
                <w:sz w:val="21"/>
                <w:szCs w:val="21"/>
                <w:color w:val="auto"/>
              </w:rPr>
            </w:pPr>
          </w:p>
        </w:tc>
        <w:tc>
          <w:tcPr>
            <w:tcW w:w="650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6,727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40,416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141,404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68,999</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03"/>
        </w:trPr>
        <w:tc>
          <w:tcPr>
            <w:tcW w:w="654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47,948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44,225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95,455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88,318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54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60" w:type="dxa"/>
            <w:vAlign w:val="bottom"/>
          </w:tcPr>
          <w:p>
            <w:pPr>
              <w:spacing w:after="0"/>
              <w:rPr>
                <w:sz w:val="21"/>
                <w:szCs w:val="21"/>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66%</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250"/>
        </w:trPr>
        <w:tc>
          <w:tcPr>
            <w:tcW w:w="8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65,687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64,100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103.68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104.09</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6,810,428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6,672,169</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6,820,428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6,682,169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2,309,978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2,110,321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9,130,406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8,792,490</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do not include 286,032 and 324,140 Operating Partnership Units outstanding at June 30, 2013 and 2012,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160" w:hanging="652"/>
        <w:spacing w:after="0" w:line="30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$17.1 million and $17.2 million at June 30, 2013 and 2012, which is the Trust's 30% share of the total mortgages payable of $57.0 million and $57.3 million at June 30, 2013 and 2012,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113,167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104,455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w w:val="92"/>
              </w:rPr>
              <w:t>223,715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207,590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28,717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26,475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59,631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53,432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4,584</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153,769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141,796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2"/>
              </w:rPr>
              <w:t>306,988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282,457</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$1.8 million and $1.5 million for the three months ended June 30, 2013 and 2012, and $2.6 million and $2.1 million for the six months ended June 30, 2013 and 2012, respectively, to recognize minimum rents on a straight-line basis. In addition, minimum rents include $0.8 million and $0.3 million for the three months ended June 30, 2013 and 2012, and $1.5 million and $0.5 million for the six months ended June 30, 2013 and 2012,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w w:val="90"/>
              </w:rPr>
              <w:t>As of June 30, 2013</w:t>
            </w:r>
          </w:p>
        </w:tc>
        <w:tc>
          <w:tcPr>
            <w:tcW w:w="1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maturity date</w:t>
            </w:r>
          </w:p>
        </w:tc>
        <w:tc>
          <w:tcPr>
            <w:tcW w:w="1880" w:type="dxa"/>
            <w:vAlign w:val="bottom"/>
            <w:gridSpan w:val="4"/>
            <w:vMerge w:val="restart"/>
          </w:tcPr>
          <w:p>
            <w:pPr>
              <w:jc w:val="center"/>
              <w:ind w:right="239"/>
              <w:spacing w:after="0"/>
              <w:rPr>
                <w:sz w:val="20"/>
                <w:szCs w:val="20"/>
                <w:color w:val="auto"/>
              </w:rPr>
            </w:pPr>
            <w:r>
              <w:rPr>
                <w:rFonts w:ascii="Arial" w:cs="Arial" w:eastAsia="Arial" w:hAnsi="Arial"/>
                <w:sz w:val="14"/>
                <w:szCs w:val="14"/>
                <w:b w:val="1"/>
                <w:bCs w:val="1"/>
                <w:color w:val="auto"/>
                <w:w w:val="91"/>
              </w:rPr>
              <w:t>Stated interest rate</w:t>
            </w:r>
          </w:p>
        </w:tc>
        <w:tc>
          <w:tcPr>
            <w:tcW w:w="12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80" w:type="dxa"/>
            <w:vAlign w:val="bottom"/>
          </w:tcPr>
          <w:p>
            <w:pPr>
              <w:spacing w:after="0"/>
              <w:rPr>
                <w:sz w:val="13"/>
                <w:szCs w:val="13"/>
                <w:color w:val="auto"/>
              </w:rPr>
            </w:pPr>
          </w:p>
        </w:tc>
        <w:tc>
          <w:tcPr>
            <w:tcW w:w="140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9"/>
              </w:rPr>
              <w:t>(in thousands)</w:t>
            </w:r>
          </w:p>
        </w:tc>
        <w:tc>
          <w:tcPr>
            <w:tcW w:w="128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20" w:type="dxa"/>
            <w:vAlign w:val="bottom"/>
            <w:tcBorders>
              <w:bottom w:val="single" w:sz="8" w:color="CCEEFF"/>
            </w:tcBorders>
            <w:gridSpan w:val="3"/>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Idylwood Plaza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7.50%</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15,835</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Leesburg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7.50%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27,553</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Loehmann's Plaza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7.50%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35,628</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Pentagon Row</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7.50%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51,147</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Melville Mall (2)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5.25%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21,126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AVENUE at White Marsh</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1/1/2015</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5.46%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54,787</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Barracks Road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7.95%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37,580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Hauppauge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7.95%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14,167</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Lawrence Park</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7.95%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26,637</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Wildwood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7.95%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23,413</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Wynnewood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7.95%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27,146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Brick Plaza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7.42%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27,650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East Bay Bridge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5.13%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62,465</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Plaza El Segundo</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6.33%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175,000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Rollingwood Apartments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5.54%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22,706</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29th Place (Shoppers' World)</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5.91%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5,204</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Montrose Crossing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4.20%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78,055</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5.36%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7,361</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713,460</w:t>
            </w:r>
          </w:p>
        </w:tc>
        <w:tc>
          <w:tcPr>
            <w:tcW w:w="1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11,524</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724,984</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(3)</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November 21, 2018</w:t>
            </w:r>
          </w:p>
        </w:tc>
        <w:tc>
          <w:tcPr>
            <w:tcW w:w="134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96"/>
              </w:rPr>
              <w:t>LIBOR + 1.30%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Various (4)</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Various through 2028</w:t>
            </w: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5.43%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15,579</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Escondido (municipal bonds) (5)</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0.17%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Revolving credit facility (6)</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96"/>
              </w:rPr>
              <w:t>LIBOR + 0.90%</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notes payable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299,979</w:t>
            </w:r>
          </w:p>
        </w:tc>
        <w:tc>
          <w:tcPr>
            <w:tcW w:w="1280" w:type="dxa"/>
            <w:vAlign w:val="bottom"/>
          </w:tcPr>
          <w:p>
            <w:pPr>
              <w:spacing w:after="0"/>
              <w:rPr>
                <w:sz w:val="18"/>
                <w:szCs w:val="18"/>
                <w:color w:val="auto"/>
              </w:rPr>
            </w:pPr>
          </w:p>
        </w:tc>
        <w:tc>
          <w:tcPr>
            <w:tcW w:w="1400" w:type="dxa"/>
            <w:vAlign w:val="bottom"/>
          </w:tcPr>
          <w:p>
            <w:pPr>
              <w:ind w:left="500"/>
              <w:spacing w:after="0"/>
              <w:rPr>
                <w:sz w:val="20"/>
                <w:szCs w:val="20"/>
                <w:color w:val="auto"/>
              </w:rPr>
            </w:pPr>
            <w:r>
              <w:rPr>
                <w:rFonts w:ascii="Arial" w:cs="Arial" w:eastAsia="Arial" w:hAnsi="Arial"/>
                <w:sz w:val="16"/>
                <w:szCs w:val="16"/>
                <w:color w:val="auto"/>
              </w:rPr>
              <w:t>3.25% (8)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5.95%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8/15/2014</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5.95%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5.65%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5.65%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6.20%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1/15/2017</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6.20%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5.90%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5.90%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3.00%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3.00%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2.75%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2.75%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7.48% debentures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20"/>
                <w:szCs w:val="20"/>
                <w:color w:val="auto"/>
              </w:rPr>
            </w:pPr>
          </w:p>
        </w:tc>
        <w:tc>
          <w:tcPr>
            <w:tcW w:w="1340" w:type="dxa"/>
            <w:vAlign w:val="bottom"/>
          </w:tcPr>
          <w:p>
            <w:pPr>
              <w:jc w:val="center"/>
              <w:ind w:left="159"/>
              <w:spacing w:after="0"/>
              <w:rPr>
                <w:sz w:val="20"/>
                <w:szCs w:val="20"/>
                <w:color w:val="auto"/>
              </w:rPr>
            </w:pPr>
            <w:r>
              <w:rPr>
                <w:rFonts w:ascii="Arial" w:cs="Arial" w:eastAsia="Arial" w:hAnsi="Arial"/>
                <w:sz w:val="16"/>
                <w:szCs w:val="16"/>
                <w:color w:val="auto"/>
                <w:w w:val="92"/>
              </w:rPr>
              <w:t>7.48%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6.82% medium term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6"/>
                <w:szCs w:val="16"/>
                <w:color w:val="auto"/>
                <w:w w:val="92"/>
              </w:rPr>
              <w:t>6.82%</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1,219,200</w:t>
            </w: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Net unamortized discount</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(5,867)</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1,213,333</w:t>
            </w:r>
          </w:p>
        </w:tc>
        <w:tc>
          <w:tcPr>
            <w:tcW w:w="1280" w:type="dxa"/>
            <w:vAlign w:val="bottom"/>
          </w:tcPr>
          <w:p>
            <w:pPr>
              <w:spacing w:after="0"/>
              <w:rPr>
                <w:sz w:val="18"/>
                <w:szCs w:val="18"/>
                <w:color w:val="auto"/>
              </w:rPr>
            </w:pPr>
          </w:p>
        </w:tc>
        <w:tc>
          <w:tcPr>
            <w:tcW w:w="1400" w:type="dxa"/>
            <w:vAlign w:val="bottom"/>
          </w:tcPr>
          <w:p>
            <w:pPr>
              <w:ind w:left="50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6"/>
          </w:tcPr>
          <w:p>
            <w:pPr>
              <w:ind w:left="20"/>
              <w:spacing w:after="0"/>
              <w:rPr>
                <w:sz w:val="20"/>
                <w:szCs w:val="20"/>
                <w:color w:val="auto"/>
              </w:rPr>
            </w:pPr>
            <w:r>
              <w:rPr>
                <w:rFonts w:ascii="Arial" w:cs="Arial" w:eastAsia="Arial" w:hAnsi="Arial"/>
                <w:sz w:val="16"/>
                <w:szCs w:val="16"/>
                <w:color w:val="auto"/>
              </w:rPr>
              <w:t>Capital lease obligations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Various through 2106</w:t>
            </w:r>
          </w:p>
        </w:tc>
        <w:tc>
          <w:tcPr>
            <w:tcW w:w="134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88"/>
              </w:rPr>
              <w:t>Various</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71,682</w:t>
            </w:r>
          </w:p>
        </w:tc>
        <w:tc>
          <w:tcPr>
            <w:tcW w:w="1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84"/>
        </w:trPr>
        <w:tc>
          <w:tcPr>
            <w:tcW w:w="3620" w:type="dxa"/>
            <w:vAlign w:val="bottom"/>
            <w:tcBorders>
              <w:bottom w:val="single" w:sz="8" w:color="CCEEFF"/>
            </w:tcBorders>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gridSpan w:val="2"/>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2,309,978</w:t>
            </w:r>
          </w:p>
        </w:tc>
        <w:tc>
          <w:tcPr>
            <w:tcW w:w="12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20" w:type="dxa"/>
            <w:vAlign w:val="bottom"/>
            <w:gridSpan w:val="6"/>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2,300,578</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400" w:type="dxa"/>
            <w:vAlign w:val="bottom"/>
          </w:tcPr>
          <w:p>
            <w:pPr>
              <w:ind w:left="5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9,400</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&lt;1%</w:t>
            </w:r>
          </w:p>
        </w:tc>
        <w:tc>
          <w:tcPr>
            <w:tcW w:w="14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1.57% (8)</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60" w:top="747" w:right="239" w:bottom="0" w:gutter="0" w:footer="0" w:header="0"/>
        </w:sectPr>
      </w:pPr>
    </w:p>
    <w:bookmarkStart w:id="15" w:name="page16"/>
    <w:bookmarkEnd w:id="15"/>
    <w:p>
      <w:pPr>
        <w:spacing w:after="0"/>
        <w:tabs>
          <w:tab w:leader="none" w:pos="7240" w:val="left"/>
          <w:tab w:leader="none" w:pos="7900" w:val="left"/>
          <w:tab w:leader="none" w:pos="9440" w:val="left"/>
          <w:tab w:leader="none" w:pos="104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4771390</wp:posOffset>
            </wp:positionH>
            <wp:positionV relativeFrom="page">
              <wp:posOffset>88900</wp:posOffset>
            </wp:positionV>
            <wp:extent cx="2349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9500" cy="8890"/>
                    </a:xfrm>
                    <a:prstGeom prst="rect">
                      <a:avLst/>
                    </a:prstGeom>
                    <a:noFill/>
                  </pic:spPr>
                </pic:pic>
              </a:graphicData>
            </a:graphic>
          </wp:anchor>
        </w:drawing>
        <w:t>Total debt and capital lease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2,309,978</w:t>
      </w:r>
      <w:r>
        <w:rPr>
          <w:sz w:val="20"/>
          <w:szCs w:val="20"/>
          <w:color w:val="auto"/>
        </w:rPr>
        <w:tab/>
      </w:r>
      <w:r>
        <w:rPr>
          <w:rFonts w:ascii="Arial" w:cs="Arial" w:eastAsia="Arial" w:hAnsi="Arial"/>
          <w:sz w:val="16"/>
          <w:szCs w:val="16"/>
          <w:color w:val="auto"/>
        </w:rPr>
        <w:t>100%</w:t>
      </w:r>
      <w:r>
        <w:rPr>
          <w:sz w:val="20"/>
          <w:szCs w:val="20"/>
          <w:color w:val="auto"/>
        </w:rPr>
        <w:tab/>
      </w:r>
      <w:r>
        <w:rPr>
          <w:rFonts w:ascii="Arial" w:cs="Arial" w:eastAsia="Arial" w:hAnsi="Arial"/>
          <w:sz w:val="15"/>
          <w:szCs w:val="15"/>
          <w:color w:val="auto"/>
        </w:rPr>
        <w:t>5.09%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34925</wp:posOffset>
            </wp:positionV>
            <wp:extent cx="2349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9500" cy="26035"/>
                    </a:xfrm>
                    <a:prstGeom prst="rect">
                      <a:avLst/>
                    </a:prstGeom>
                    <a:noFill/>
                  </pic:spPr>
                </pic:pic>
              </a:graphicData>
            </a:graphic>
          </wp:anchor>
        </w:drawing>
      </w:r>
    </w:p>
    <w:p>
      <w:pPr>
        <w:sectPr>
          <w:pgSz w:w="11900" w:h="16838" w:orient="portrait"/>
          <w:cols w:equalWidth="0" w:num="1">
            <w:col w:w="11140"/>
          </w:cols>
          <w:pgMar w:left="280" w:top="170" w:right="479" w:bottom="1440" w:gutter="0" w:footer="0" w:header="0"/>
        </w:sect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280" w:top="170" w:right="47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24"/>
                <w:szCs w:val="24"/>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21"/>
                <w:szCs w:val="21"/>
                <w:color w:val="auto"/>
              </w:rPr>
            </w:pPr>
          </w:p>
        </w:tc>
      </w:tr>
      <w:tr>
        <w:trPr>
          <w:trHeight w:val="202"/>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67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5.40% senior notes: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 (10)</w:t>
            </w:r>
          </w:p>
        </w:tc>
        <w:tc>
          <w:tcPr>
            <w:tcW w:w="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3.50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3.08</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x</w:t>
            </w:r>
          </w:p>
        </w:tc>
        <w:tc>
          <w:tcPr>
            <w:tcW w:w="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3.27</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w:t>
            </w:r>
          </w:p>
        </w:tc>
      </w:tr>
      <w:tr>
        <w:trPr>
          <w:trHeight w:val="237"/>
        </w:trPr>
        <w:tc>
          <w:tcPr>
            <w:tcW w:w="40" w:type="dxa"/>
            <w:vAlign w:val="bottom"/>
          </w:tcPr>
          <w:p>
            <w:pPr>
              <w:spacing w:after="0"/>
              <w:rPr>
                <w:sz w:val="20"/>
                <w:szCs w:val="20"/>
                <w:color w:val="auto"/>
              </w:rPr>
            </w:pPr>
          </w:p>
        </w:tc>
        <w:tc>
          <w:tcPr>
            <w:tcW w:w="808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 (10)</w:t>
            </w:r>
          </w:p>
        </w:tc>
        <w:tc>
          <w:tcPr>
            <w:tcW w:w="560" w:type="dxa"/>
            <w:vAlign w:val="bottom"/>
          </w:tcPr>
          <w:p>
            <w:pPr>
              <w:ind w:left="160"/>
              <w:spacing w:after="0"/>
              <w:rPr>
                <w:sz w:val="20"/>
                <w:szCs w:val="20"/>
                <w:color w:val="auto"/>
              </w:rPr>
            </w:pPr>
            <w:r>
              <w:rPr>
                <w:rFonts w:ascii="Arial" w:cs="Arial" w:eastAsia="Arial" w:hAnsi="Arial"/>
                <w:sz w:val="16"/>
                <w:szCs w:val="16"/>
                <w:color w:val="auto"/>
              </w:rPr>
              <w:t>3.34</w:t>
            </w:r>
          </w:p>
        </w:tc>
        <w:tc>
          <w:tcPr>
            <w:tcW w:w="260" w:type="dxa"/>
            <w:vAlign w:val="bottom"/>
          </w:tcPr>
          <w:p>
            <w:pPr>
              <w:ind w:left="4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3.08</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500" w:type="dxa"/>
            <w:vAlign w:val="bottom"/>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Pr>
          <w:p>
            <w:pPr>
              <w:ind w:left="100"/>
              <w:spacing w:after="0"/>
              <w:rPr>
                <w:sz w:val="20"/>
                <w:szCs w:val="20"/>
                <w:color w:val="auto"/>
              </w:rPr>
            </w:pPr>
            <w:r>
              <w:rPr>
                <w:rFonts w:ascii="Arial" w:cs="Arial" w:eastAsia="Arial" w:hAnsi="Arial"/>
                <w:sz w:val="16"/>
                <w:szCs w:val="16"/>
                <w:color w:val="auto"/>
              </w:rPr>
              <w:t>x</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3.08</w:t>
            </w:r>
          </w:p>
        </w:tc>
        <w:tc>
          <w:tcPr>
            <w:tcW w:w="2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5.40% 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(9)</w:t>
            </w:r>
          </w:p>
        </w:tc>
        <w:tc>
          <w:tcPr>
            <w:tcW w:w="560" w:type="dxa"/>
            <w:vAlign w:val="bottom"/>
          </w:tcPr>
          <w:p>
            <w:pPr>
              <w:ind w:left="160"/>
              <w:spacing w:after="0"/>
              <w:rPr>
                <w:sz w:val="20"/>
                <w:szCs w:val="20"/>
                <w:color w:val="auto"/>
              </w:rPr>
            </w:pPr>
            <w:r>
              <w:rPr>
                <w:rFonts w:ascii="Arial" w:cs="Arial" w:eastAsia="Arial" w:hAnsi="Arial"/>
                <w:sz w:val="16"/>
                <w:szCs w:val="16"/>
                <w:color w:val="auto"/>
              </w:rPr>
              <w:t>3.15</w:t>
            </w:r>
          </w:p>
        </w:tc>
        <w:tc>
          <w:tcPr>
            <w:tcW w:w="260" w:type="dxa"/>
            <w:vAlign w:val="bottom"/>
          </w:tcPr>
          <w:p>
            <w:pPr>
              <w:ind w:left="40"/>
              <w:spacing w:after="0"/>
              <w:rPr>
                <w:sz w:val="20"/>
                <w:szCs w:val="20"/>
                <w:color w:val="auto"/>
              </w:rPr>
            </w:pPr>
            <w:r>
              <w:rPr>
                <w:rFonts w:ascii="Arial" w:cs="Arial" w:eastAsia="Arial" w:hAnsi="Arial"/>
                <w:sz w:val="16"/>
                <w:szCs w:val="16"/>
                <w:color w:val="auto"/>
              </w:rPr>
              <w:t>x</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3.08</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x</w:t>
            </w:r>
          </w:p>
        </w:tc>
        <w:tc>
          <w:tcPr>
            <w:tcW w:w="500" w:type="dxa"/>
            <w:vAlign w:val="bottom"/>
          </w:tcPr>
          <w:p>
            <w:pPr>
              <w:jc w:val="right"/>
              <w:spacing w:after="0"/>
              <w:rPr>
                <w:sz w:val="20"/>
                <w:szCs w:val="20"/>
                <w:color w:val="auto"/>
              </w:rPr>
            </w:pPr>
            <w:r>
              <w:rPr>
                <w:rFonts w:ascii="Arial" w:cs="Arial" w:eastAsia="Arial" w:hAnsi="Arial"/>
                <w:sz w:val="16"/>
                <w:szCs w:val="16"/>
                <w:color w:val="auto"/>
              </w:rPr>
              <w:t>3.27</w:t>
            </w:r>
          </w:p>
        </w:tc>
        <w:tc>
          <w:tcPr>
            <w:tcW w:w="320" w:type="dxa"/>
            <w:vAlign w:val="bottom"/>
          </w:tcPr>
          <w:p>
            <w:pPr>
              <w:ind w:left="100"/>
              <w:spacing w:after="0"/>
              <w:rPr>
                <w:sz w:val="20"/>
                <w:szCs w:val="20"/>
                <w:color w:val="auto"/>
              </w:rPr>
            </w:pPr>
            <w:r>
              <w:rPr>
                <w:rFonts w:ascii="Arial" w:cs="Arial" w:eastAsia="Arial" w:hAnsi="Arial"/>
                <w:sz w:val="16"/>
                <w:szCs w:val="16"/>
                <w:color w:val="auto"/>
              </w:rPr>
              <w:t>x</w:t>
            </w: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3.27</w:t>
            </w:r>
          </w:p>
        </w:tc>
        <w:tc>
          <w:tcPr>
            <w:tcW w:w="200" w:type="dxa"/>
            <w:vAlign w:val="bottom"/>
          </w:tcPr>
          <w:p>
            <w:pPr>
              <w:ind w:left="2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(9)</w:t>
            </w:r>
          </w:p>
        </w:tc>
        <w:tc>
          <w:tcPr>
            <w:tcW w:w="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x</w:t>
            </w: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3.08</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($17.1 million) of the $57.0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2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that fix the LIBOR portion of the interest rate on the term loan at 1.72%. The spread on the term loan was reduced from 145 basis points to 130 basis points based on our credit rating at May 1, 2013 resulting in a fixed rate of 3.02%.</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interest rate of 5.43% represents the weighted average interest rate for ten unsecured fixed rate notes payable. These notes mature from November 15, 2014 to May 31, 2028.</w:t>
      </w:r>
    </w:p>
    <w:p>
      <w:pPr>
        <w:spacing w:after="0" w:line="66" w:lineRule="exact"/>
        <w:rPr>
          <w:rFonts w:ascii="Arial" w:cs="Arial" w:eastAsia="Arial" w:hAnsi="Arial"/>
          <w:sz w:val="13"/>
          <w:szCs w:val="13"/>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six months ended June 30, 2013 was $76.0 million, and the weighted average interest rate on borrowings under our revolving credit facility, before amortization of debt fees, was 1.29%.</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outstanding balance on June 30, 2013. In addition, the weighted average effective interest rate is calculated using the fixed rate on our term loan of 3.02%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$5.0 million gain on sale for the three and six months ended June 30, 2013, and $11.9 million gain on sale for the six months ended June 30, 2012. Adjusted EBITDA is reconciled to net income in the Glossary of Terms.</w:t>
      </w:r>
    </w:p>
    <w:p>
      <w:pPr>
        <w:spacing w:after="0" w:line="23" w:lineRule="exact"/>
        <w:rPr>
          <w:rFonts w:ascii="Arial" w:cs="Arial" w:eastAsia="Arial" w:hAnsi="Arial"/>
          <w:sz w:val="14"/>
          <w:szCs w:val="14"/>
          <w:color w:val="auto"/>
        </w:rPr>
      </w:pPr>
    </w:p>
    <w:p>
      <w:pPr>
        <w:ind w:left="660" w:right="2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exclude the $3.4 million of early extinguishment of debt charge for the three and six months ended June 30, 2013, related to the make-whole premium paid as part of the early redemption of our 5.40% senior notes and the write-off of related unamortized debt fees.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Cumulative</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Debt</w:t>
            </w:r>
          </w:p>
        </w:tc>
        <w:tc>
          <w:tcPr>
            <w:tcW w:w="1360" w:type="dxa"/>
            <w:vAlign w:val="bottom"/>
          </w:tcPr>
          <w:p>
            <w:pPr>
              <w:jc w:val="right"/>
              <w:ind w:right="271"/>
              <w:spacing w:after="0"/>
              <w:rPr>
                <w:sz w:val="20"/>
                <w:szCs w:val="20"/>
                <w:color w:val="auto"/>
              </w:rPr>
            </w:pPr>
            <w:r>
              <w:rPr>
                <w:rFonts w:ascii="Arial" w:cs="Arial" w:eastAsia="Arial" w:hAnsi="Arial"/>
                <w:sz w:val="16"/>
                <w:szCs w:val="16"/>
                <w:b w:val="1"/>
                <w:bCs w:val="1"/>
                <w:color w:val="auto"/>
              </w:rPr>
              <w:t>Weighted</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151"/>
              <w:spacing w:after="0"/>
              <w:rPr>
                <w:sz w:val="20"/>
                <w:szCs w:val="20"/>
                <w:color w:val="auto"/>
              </w:rPr>
            </w:pPr>
            <w:r>
              <w:rPr>
                <w:rFonts w:ascii="Arial" w:cs="Arial" w:eastAsia="Arial" w:hAnsi="Arial"/>
                <w:sz w:val="16"/>
                <w:szCs w:val="16"/>
                <w:b w:val="1"/>
                <w:bCs w:val="1"/>
                <w:color w:val="auto"/>
              </w:rPr>
              <w:t>Repayments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Repayments</w:t>
            </w:r>
          </w:p>
        </w:tc>
        <w:tc>
          <w:tcPr>
            <w:tcW w:w="1360" w:type="dxa"/>
            <w:vAlign w:val="bottom"/>
          </w:tcPr>
          <w:p>
            <w:pPr>
              <w:jc w:val="right"/>
              <w:ind w:right="31"/>
              <w:spacing w:after="0"/>
              <w:rPr>
                <w:sz w:val="20"/>
                <w:szCs w:val="20"/>
                <w:color w:val="auto"/>
              </w:rPr>
            </w:pPr>
            <w:r>
              <w:rPr>
                <w:rFonts w:ascii="Arial" w:cs="Arial" w:eastAsia="Arial" w:hAnsi="Arial"/>
                <w:sz w:val="16"/>
                <w:szCs w:val="16"/>
                <w:b w:val="1"/>
                <w:bCs w:val="1"/>
                <w:color w:val="auto"/>
                <w:w w:val="96"/>
              </w:rPr>
              <w:t>Average Rate (3)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6,202</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11,284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307,864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319,148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480" w:type="dxa"/>
            <w:vAlign w:val="bottom"/>
          </w:tcPr>
          <w:p>
            <w:pPr>
              <w:jc w:val="right"/>
              <w:spacing w:after="0"/>
              <w:rPr>
                <w:sz w:val="20"/>
                <w:szCs w:val="20"/>
                <w:color w:val="auto"/>
              </w:rPr>
            </w:pPr>
            <w:r>
              <w:rPr>
                <w:rFonts w:ascii="Arial" w:cs="Arial" w:eastAsia="Arial" w:hAnsi="Arial"/>
                <w:sz w:val="18"/>
                <w:szCs w:val="18"/>
                <w:color w:val="auto"/>
              </w:rPr>
              <w:t>14.2%</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198,391</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206,331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3,156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194,013</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197,169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480" w:type="dxa"/>
            <w:vAlign w:val="bottom"/>
          </w:tcPr>
          <w:p>
            <w:pPr>
              <w:jc w:val="right"/>
              <w:spacing w:after="0"/>
              <w:rPr>
                <w:sz w:val="20"/>
                <w:szCs w:val="20"/>
                <w:color w:val="auto"/>
              </w:rPr>
            </w:pPr>
            <w:r>
              <w:rPr>
                <w:rFonts w:ascii="Arial" w:cs="Arial" w:eastAsia="Arial" w:hAnsi="Arial"/>
                <w:sz w:val="18"/>
                <w:szCs w:val="18"/>
                <w:color w:val="auto"/>
              </w:rPr>
              <w:t>31.7%</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3,049</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375,000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378,049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275,000</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278,220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c>
          <w:tcPr>
            <w:tcW w:w="1480" w:type="dxa"/>
            <w:vAlign w:val="bottom"/>
          </w:tcPr>
          <w:p>
            <w:pPr>
              <w:jc w:val="right"/>
              <w:spacing w:after="0"/>
              <w:rPr>
                <w:sz w:val="20"/>
                <w:szCs w:val="20"/>
                <w:color w:val="auto"/>
              </w:rPr>
            </w:pPr>
            <w:r>
              <w:rPr>
                <w:rFonts w:ascii="Arial" w:cs="Arial" w:eastAsia="Arial" w:hAnsi="Arial"/>
                <w:sz w:val="18"/>
                <w:szCs w:val="18"/>
                <w:color w:val="auto"/>
              </w:rPr>
              <w:t>60.2%</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20,160</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153,046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480" w:type="dxa"/>
            <w:vAlign w:val="bottom"/>
          </w:tcPr>
          <w:p>
            <w:pPr>
              <w:jc w:val="right"/>
              <w:spacing w:after="0"/>
              <w:rPr>
                <w:sz w:val="20"/>
                <w:szCs w:val="20"/>
                <w:color w:val="auto"/>
              </w:rPr>
            </w:pPr>
            <w:r>
              <w:rPr>
                <w:rFonts w:ascii="Arial" w:cs="Arial" w:eastAsia="Arial" w:hAnsi="Arial"/>
                <w:sz w:val="18"/>
                <w:szCs w:val="18"/>
                <w:color w:val="auto"/>
              </w:rPr>
              <w:t>67.8%</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6,580</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313,618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314,684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480" w:type="dxa"/>
            <w:vAlign w:val="bottom"/>
          </w:tcPr>
          <w:p>
            <w:pPr>
              <w:jc w:val="right"/>
              <w:spacing w:after="0"/>
              <w:rPr>
                <w:sz w:val="20"/>
                <w:szCs w:val="20"/>
                <w:color w:val="auto"/>
              </w:rPr>
            </w:pPr>
            <w:r>
              <w:rPr>
                <w:rFonts w:ascii="Arial" w:cs="Arial" w:eastAsia="Arial" w:hAnsi="Arial"/>
                <w:sz w:val="18"/>
                <w:szCs w:val="18"/>
                <w:color w:val="auto"/>
              </w:rPr>
              <w:t>81.7%</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22,466</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399,211</w:t>
            </w:r>
          </w:p>
        </w:tc>
        <w:tc>
          <w:tcPr>
            <w:tcW w:w="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421,677</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67,439</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2,236,882</w:t>
            </w:r>
          </w:p>
        </w:tc>
        <w:tc>
          <w:tcPr>
            <w:tcW w:w="3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2,304,321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26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June 30, 2013, there was $0 drawn under this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June 30, 2013.</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2013</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Projected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7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Property</w:t>
            </w:r>
          </w:p>
        </w:tc>
        <w:tc>
          <w:tcPr>
            <w:tcW w:w="11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Location</w:t>
            </w:r>
          </w:p>
        </w:tc>
        <w:tc>
          <w:tcPr>
            <w:tcW w:w="33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Opportunity</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38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Cost (1)</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29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Active Redevelopment &amp; Development projects</w:t>
            </w:r>
          </w:p>
        </w:tc>
        <w:tc>
          <w:tcPr>
            <w:tcW w:w="3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Mall</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San Jose, CA</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Façade and interior mall renovation, addition of food</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2014/2015</w:t>
            </w: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court and pad site</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Chelsea, MA</w:t>
            </w:r>
          </w:p>
        </w:tc>
        <w:tc>
          <w:tcPr>
            <w:tcW w:w="3380" w:type="dxa"/>
            <w:vAlign w:val="bottom"/>
          </w:tcPr>
          <w:p>
            <w:pPr>
              <w:ind w:left="20"/>
              <w:spacing w:after="0" w:line="157" w:lineRule="exact"/>
              <w:rPr>
                <w:sz w:val="20"/>
                <w:szCs w:val="20"/>
                <w:color w:val="auto"/>
              </w:rPr>
            </w:pPr>
            <w:r>
              <w:rPr>
                <w:rFonts w:ascii="Arial" w:cs="Arial" w:eastAsia="Arial" w:hAnsi="Arial"/>
                <w:sz w:val="14"/>
                <w:szCs w:val="14"/>
                <w:color w:val="auto"/>
                <w:w w:val="97"/>
              </w:rPr>
              <w:t>Ground up development of a 56 unit apartment building</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$12</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with above grade parking</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Richmond, VA</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Demo interior mall, relocate mall tenants, construct new</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exterior GLA, and gas station</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w w:val="94"/>
              </w:rPr>
              <w:t>29th Place (Shoppers' World)</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Charlottesville,</w:t>
            </w:r>
          </w:p>
        </w:tc>
        <w:tc>
          <w:tcPr>
            <w:tcW w:w="3380" w:type="dxa"/>
            <w:vAlign w:val="bottom"/>
          </w:tcPr>
          <w:p>
            <w:pPr>
              <w:ind w:left="20"/>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VA</w:t>
            </w:r>
          </w:p>
        </w:tc>
        <w:tc>
          <w:tcPr>
            <w:tcW w:w="3380" w:type="dxa"/>
            <w:vAlign w:val="bottom"/>
          </w:tcPr>
          <w:p>
            <w:pPr>
              <w:ind w:left="20"/>
              <w:spacing w:after="0"/>
              <w:rPr>
                <w:sz w:val="20"/>
                <w:szCs w:val="20"/>
                <w:color w:val="auto"/>
              </w:rPr>
            </w:pPr>
            <w:r>
              <w:rPr>
                <w:rFonts w:ascii="Arial" w:cs="Arial" w:eastAsia="Arial" w:hAnsi="Arial"/>
                <w:sz w:val="14"/>
                <w:szCs w:val="14"/>
                <w:color w:val="auto"/>
              </w:rPr>
              <w:t>accommodate new tenants</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 Orchard</w:t>
            </w:r>
          </w:p>
        </w:tc>
        <w:tc>
          <w:tcPr>
            <w:tcW w:w="45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99"/>
              </w:rPr>
              <w:t>Gaithersburg, MD Property repositioning through demo of non-functional</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small shop space, creation of new anchor box, rightsizing</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 national office products tenant, and creation of new</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visible small shop space.</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rPr>
              <w:t>Hollywood Blvd. - Petersen</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Hollywood, CA</w:t>
            </w:r>
          </w:p>
        </w:tc>
        <w:tc>
          <w:tcPr>
            <w:tcW w:w="3380" w:type="dxa"/>
            <w:vAlign w:val="bottom"/>
          </w:tcPr>
          <w:p>
            <w:pPr>
              <w:ind w:left="20"/>
              <w:spacing w:after="0" w:line="157" w:lineRule="exact"/>
              <w:rPr>
                <w:sz w:val="20"/>
                <w:szCs w:val="20"/>
                <w:color w:val="auto"/>
              </w:rPr>
            </w:pPr>
            <w:r>
              <w:rPr>
                <w:rFonts w:ascii="Arial" w:cs="Arial" w:eastAsia="Arial" w:hAnsi="Arial"/>
                <w:sz w:val="14"/>
                <w:szCs w:val="14"/>
                <w:color w:val="auto"/>
              </w:rPr>
              <w:t>Redevelop/retenant building and reconfigure space to</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19%</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88"/>
        </w:trPr>
        <w:tc>
          <w:tcPr>
            <w:tcW w:w="1780" w:type="dxa"/>
            <w:vAlign w:val="bottom"/>
          </w:tcPr>
          <w:p>
            <w:pPr>
              <w:ind w:left="40"/>
              <w:spacing w:after="0"/>
              <w:rPr>
                <w:sz w:val="20"/>
                <w:szCs w:val="20"/>
                <w:color w:val="auto"/>
              </w:rPr>
            </w:pPr>
            <w:r>
              <w:rPr>
                <w:rFonts w:ascii="Arial" w:cs="Arial" w:eastAsia="Arial" w:hAnsi="Arial"/>
                <w:sz w:val="14"/>
                <w:szCs w:val="14"/>
                <w:color w:val="auto"/>
              </w:rPr>
              <w:t>Building</w:t>
            </w:r>
          </w:p>
        </w:tc>
        <w:tc>
          <w:tcPr>
            <w:tcW w:w="116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accommodate 2nd floor tenant.</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Charlottesville,</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11,800 square foot multi-tenant pad building</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VA</w:t>
            </w:r>
          </w:p>
        </w:tc>
        <w:tc>
          <w:tcPr>
            <w:tcW w:w="33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80" w:type="dxa"/>
            <w:vAlign w:val="bottom"/>
          </w:tcPr>
          <w:p>
            <w:pPr>
              <w:ind w:left="20"/>
              <w:spacing w:after="0" w:line="157" w:lineRule="exact"/>
              <w:rPr>
                <w:sz w:val="20"/>
                <w:szCs w:val="20"/>
                <w:color w:val="auto"/>
              </w:rPr>
            </w:pPr>
            <w:r>
              <w:rPr>
                <w:rFonts w:ascii="Arial" w:cs="Arial" w:eastAsia="Arial" w:hAnsi="Arial"/>
                <w:sz w:val="14"/>
                <w:szCs w:val="14"/>
                <w:color w:val="auto"/>
              </w:rPr>
              <w:t>Ice rink expansion and 1,500 square feet of new retail</w:t>
            </w: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8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160" w:type="dxa"/>
            <w:vAlign w:val="bottom"/>
          </w:tcPr>
          <w:p>
            <w:pPr>
              <w:ind w:left="60"/>
              <w:spacing w:after="0"/>
              <w:rPr>
                <w:sz w:val="20"/>
                <w:szCs w:val="20"/>
                <w:color w:val="auto"/>
              </w:rPr>
            </w:pPr>
            <w:r>
              <w:rPr>
                <w:rFonts w:ascii="Arial" w:cs="Arial" w:eastAsia="Arial" w:hAnsi="Arial"/>
                <w:sz w:val="14"/>
                <w:szCs w:val="14"/>
                <w:color w:val="auto"/>
              </w:rPr>
              <w:t>Arlington, VA</w:t>
            </w:r>
          </w:p>
        </w:tc>
        <w:tc>
          <w:tcPr>
            <w:tcW w:w="3380" w:type="dxa"/>
            <w:vAlign w:val="bottom"/>
          </w:tcPr>
          <w:p>
            <w:pPr>
              <w:ind w:left="20"/>
              <w:spacing w:after="0"/>
              <w:rPr>
                <w:sz w:val="20"/>
                <w:szCs w:val="20"/>
                <w:color w:val="auto"/>
              </w:rPr>
            </w:pPr>
            <w:r>
              <w:rPr>
                <w:rFonts w:ascii="Arial" w:cs="Arial" w:eastAsia="Arial" w:hAnsi="Arial"/>
                <w:sz w:val="14"/>
                <w:szCs w:val="14"/>
                <w:color w:val="auto"/>
              </w:rPr>
              <w:t>space</w:t>
            </w:r>
          </w:p>
        </w:tc>
        <w:tc>
          <w:tcPr>
            <w:tcW w:w="1880" w:type="dxa"/>
            <w:vAlign w:val="bottom"/>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49"/>
        </w:trPr>
        <w:tc>
          <w:tcPr>
            <w:tcW w:w="17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1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&amp; Rose (Mid-Pike) -</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Rockville, MD</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Ground up mixed use development on site of existing</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8% - 9%</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$245 -</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2015/2016</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Phase I (5)</w:t>
            </w:r>
          </w:p>
        </w:tc>
        <w:tc>
          <w:tcPr>
            <w:tcW w:w="1160" w:type="dxa"/>
            <w:vAlign w:val="bottom"/>
            <w:shd w:val="clear" w:color="auto" w:fill="CCEEFF"/>
          </w:tcPr>
          <w:p>
            <w:pPr>
              <w:spacing w:after="0"/>
              <w:rPr>
                <w:sz w:val="12"/>
                <w:szCs w:val="12"/>
                <w:color w:val="auto"/>
              </w:rPr>
            </w:pPr>
          </w:p>
        </w:tc>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$255</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involves demolition of roughly 25% of existing GLA, and</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4"/>
              </w:rPr>
              <w:t>construction of 493 residential units, 151,000 square feet</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retail, and 79,000 square feet of office space.</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80" w:type="dxa"/>
            <w:vAlign w:val="bottom"/>
          </w:tcPr>
          <w:p>
            <w:pPr>
              <w:ind w:left="40"/>
              <w:spacing w:after="0" w:line="157" w:lineRule="exact"/>
              <w:rPr>
                <w:sz w:val="20"/>
                <w:szCs w:val="20"/>
                <w:color w:val="auto"/>
              </w:rPr>
            </w:pPr>
            <w:r>
              <w:rPr>
                <w:rFonts w:ascii="Arial" w:cs="Arial" w:eastAsia="Arial" w:hAnsi="Arial"/>
                <w:sz w:val="14"/>
                <w:szCs w:val="14"/>
                <w:color w:val="auto"/>
                <w:w w:val="99"/>
              </w:rPr>
              <w:t>Assembly Row - Phase I (5)</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Somerville, MA</w:t>
            </w:r>
          </w:p>
        </w:tc>
        <w:tc>
          <w:tcPr>
            <w:tcW w:w="3380" w:type="dxa"/>
            <w:vAlign w:val="bottom"/>
          </w:tcPr>
          <w:p>
            <w:pPr>
              <w:ind w:left="20"/>
              <w:spacing w:after="0" w:line="157" w:lineRule="exact"/>
              <w:rPr>
                <w:sz w:val="20"/>
                <w:szCs w:val="20"/>
                <w:color w:val="auto"/>
              </w:rPr>
            </w:pPr>
            <w:r>
              <w:rPr>
                <w:rFonts w:ascii="Arial" w:cs="Arial" w:eastAsia="Arial" w:hAnsi="Arial"/>
                <w:sz w:val="14"/>
                <w:szCs w:val="14"/>
                <w:color w:val="auto"/>
                <w:w w:val="94"/>
              </w:rPr>
              <w:t>Ground up mixed use development. Initial phase consists</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rPr>
              <w:t>D</w:t>
            </w:r>
          </w:p>
        </w:tc>
        <w:tc>
          <w:tcPr>
            <w:tcW w:w="840" w:type="dxa"/>
            <w:vAlign w:val="bottom"/>
          </w:tcPr>
          <w:p>
            <w:pPr>
              <w:jc w:val="center"/>
              <w:spacing w:after="0" w:line="157" w:lineRule="exact"/>
              <w:rPr>
                <w:sz w:val="20"/>
                <w:szCs w:val="20"/>
                <w:color w:val="auto"/>
              </w:rPr>
            </w:pPr>
            <w:r>
              <w:rPr>
                <w:rFonts w:ascii="Arial" w:cs="Arial" w:eastAsia="Arial" w:hAnsi="Arial"/>
                <w:sz w:val="14"/>
                <w:szCs w:val="14"/>
                <w:color w:val="auto"/>
                <w:w w:val="94"/>
              </w:rPr>
              <w:t>5% - 7%</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$190 -</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$67</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ind w:left="20"/>
              <w:spacing w:after="0" w:line="149" w:lineRule="exact"/>
              <w:rPr>
                <w:sz w:val="20"/>
                <w:szCs w:val="20"/>
                <w:color w:val="auto"/>
              </w:rPr>
            </w:pPr>
            <w:r>
              <w:rPr>
                <w:rFonts w:ascii="Arial" w:cs="Arial" w:eastAsia="Arial" w:hAnsi="Arial"/>
                <w:sz w:val="14"/>
                <w:szCs w:val="14"/>
                <w:color w:val="auto"/>
              </w:rPr>
              <w:t>of 450 residential units (by AvalonBay), in addition to</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ind w:left="20"/>
              <w:spacing w:after="0" w:line="149" w:lineRule="exact"/>
              <w:rPr>
                <w:sz w:val="20"/>
                <w:szCs w:val="20"/>
                <w:color w:val="auto"/>
              </w:rPr>
            </w:pPr>
            <w:r>
              <w:rPr>
                <w:rFonts w:ascii="Arial" w:cs="Arial" w:eastAsia="Arial" w:hAnsi="Arial"/>
                <w:sz w:val="14"/>
                <w:szCs w:val="14"/>
                <w:color w:val="auto"/>
              </w:rPr>
              <w:t>98,000 square feet of office space and approximately</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ind w:left="20"/>
              <w:spacing w:after="0" w:line="149" w:lineRule="exact"/>
              <w:rPr>
                <w:sz w:val="20"/>
                <w:szCs w:val="20"/>
                <w:color w:val="auto"/>
              </w:rPr>
            </w:pPr>
            <w:r>
              <w:rPr>
                <w:rFonts w:ascii="Arial" w:cs="Arial" w:eastAsia="Arial" w:hAnsi="Arial"/>
                <w:sz w:val="14"/>
                <w:szCs w:val="14"/>
                <w:color w:val="auto"/>
                <w:w w:val="93"/>
              </w:rPr>
              <w:t>326,000 square feet of retail space (including a restaurant</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ind w:left="20"/>
              <w:spacing w:after="0" w:line="149" w:lineRule="exact"/>
              <w:rPr>
                <w:sz w:val="20"/>
                <w:szCs w:val="20"/>
                <w:color w:val="auto"/>
              </w:rPr>
            </w:pPr>
            <w:r>
              <w:rPr>
                <w:rFonts w:ascii="Arial" w:cs="Arial" w:eastAsia="Arial" w:hAnsi="Arial"/>
                <w:sz w:val="14"/>
                <w:szCs w:val="14"/>
                <w:color w:val="auto"/>
              </w:rPr>
              <w:t>pad site). A new Orange Line T-Stop will also be</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tcPr>
          <w:p>
            <w:pPr>
              <w:ind w:left="20"/>
              <w:spacing w:after="0" w:line="149" w:lineRule="exact"/>
              <w:rPr>
                <w:sz w:val="20"/>
                <w:szCs w:val="20"/>
                <w:color w:val="auto"/>
              </w:rPr>
            </w:pPr>
            <w:r>
              <w:rPr>
                <w:rFonts w:ascii="Arial" w:cs="Arial" w:eastAsia="Arial" w:hAnsi="Arial"/>
                <w:sz w:val="14"/>
                <w:szCs w:val="14"/>
                <w:color w:val="auto"/>
                <w:w w:val="96"/>
              </w:rPr>
              <w:t>constructed by Massachusetts Bay Transit Authority, as</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part of Phase I.</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8B</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San Jose, CA</w:t>
            </w: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Ground up development of a 5-story rental apartment</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 - 8%</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$70 - $75</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associated parking.</w:t>
            </w:r>
          </w:p>
        </w:tc>
        <w:tc>
          <w:tcPr>
            <w:tcW w:w="18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320" w:type="dxa"/>
            <w:vAlign w:val="bottom"/>
            <w:gridSpan w:val="3"/>
          </w:tcPr>
          <w:p>
            <w:pPr>
              <w:ind w:left="40"/>
              <w:spacing w:after="0" w:line="151" w:lineRule="exact"/>
              <w:rPr>
                <w:sz w:val="20"/>
                <w:szCs w:val="20"/>
                <w:color w:val="auto"/>
              </w:rPr>
            </w:pPr>
            <w:r>
              <w:rPr>
                <w:rFonts w:ascii="Arial" w:cs="Arial" w:eastAsia="Arial" w:hAnsi="Arial"/>
                <w:sz w:val="14"/>
                <w:szCs w:val="14"/>
                <w:b w:val="1"/>
                <w:bCs w:val="1"/>
                <w:color w:val="auto"/>
              </w:rPr>
              <w:t>Total Active Redevelopment &amp; Development projects (4)</w:t>
            </w:r>
          </w:p>
        </w:tc>
        <w:tc>
          <w:tcPr>
            <w:tcW w:w="188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Arial" w:cs="Arial" w:eastAsia="Arial" w:hAnsi="Arial"/>
                <w:sz w:val="14"/>
                <w:szCs w:val="14"/>
                <w:color w:val="auto"/>
                <w:w w:val="94"/>
              </w:rPr>
              <w:t>7% - 8%</w:t>
            </w:r>
          </w:p>
        </w:tc>
        <w:tc>
          <w:tcPr>
            <w:tcW w:w="740" w:type="dxa"/>
            <w:vAlign w:val="bottom"/>
          </w:tcPr>
          <w:p>
            <w:pPr>
              <w:jc w:val="right"/>
              <w:ind w:right="48"/>
              <w:spacing w:after="0" w:line="151" w:lineRule="exact"/>
              <w:rPr>
                <w:sz w:val="20"/>
                <w:szCs w:val="20"/>
                <w:color w:val="auto"/>
              </w:rPr>
            </w:pPr>
            <w:r>
              <w:rPr>
                <w:rFonts w:ascii="Arial" w:cs="Arial" w:eastAsia="Arial" w:hAnsi="Arial"/>
                <w:sz w:val="14"/>
                <w:szCs w:val="14"/>
                <w:color w:val="auto"/>
              </w:rPr>
              <w:t>$570 -</w:t>
            </w:r>
          </w:p>
        </w:tc>
        <w:tc>
          <w:tcPr>
            <w:tcW w:w="640" w:type="dxa"/>
            <w:vAlign w:val="bottom"/>
          </w:tcPr>
          <w:p>
            <w:pPr>
              <w:jc w:val="right"/>
              <w:ind w:right="28"/>
              <w:spacing w:after="0" w:line="151" w:lineRule="exact"/>
              <w:rPr>
                <w:sz w:val="20"/>
                <w:szCs w:val="20"/>
                <w:color w:val="auto"/>
              </w:rPr>
            </w:pPr>
            <w:r>
              <w:rPr>
                <w:rFonts w:ascii="Arial" w:cs="Arial" w:eastAsia="Arial" w:hAnsi="Arial"/>
                <w:sz w:val="14"/>
                <w:szCs w:val="14"/>
                <w:color w:val="auto"/>
              </w:rPr>
              <w:t>$206</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w:t>
            </w:r>
          </w:p>
        </w:tc>
        <w:tc>
          <w:tcPr>
            <w:tcW w:w="64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2013</w:t>
      </w:r>
    </w:p>
    <w:p>
      <w:pPr>
        <w:spacing w:after="0" w:line="374"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THE AVENUE @ White</w:t>
            </w:r>
          </w:p>
        </w:tc>
        <w:tc>
          <w:tcPr>
            <w:tcW w:w="19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Marsh</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Baltimore, MD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Flourtown</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Flourtown, PA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Brick Plaza</w:t>
            </w:r>
          </w:p>
        </w:tc>
        <w:tc>
          <w:tcPr>
            <w:tcW w:w="1960" w:type="dxa"/>
            <w:vAlign w:val="bottom"/>
          </w:tcPr>
          <w:p>
            <w:pPr>
              <w:ind w:left="180"/>
              <w:spacing w:after="0"/>
              <w:rPr>
                <w:sz w:val="20"/>
                <w:szCs w:val="20"/>
                <w:color w:val="auto"/>
              </w:rPr>
            </w:pPr>
            <w:r>
              <w:rPr>
                <w:rFonts w:ascii="Arial" w:cs="Arial" w:eastAsia="Arial" w:hAnsi="Arial"/>
                <w:sz w:val="16"/>
                <w:szCs w:val="16"/>
                <w:color w:val="auto"/>
              </w:rPr>
              <w:t>Brick, NJ</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94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Congressional Plaza</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Rockville, MD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Huntington, NY</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Dedham Plaza</w:t>
            </w:r>
          </w:p>
        </w:tc>
        <w:tc>
          <w:tcPr>
            <w:tcW w:w="1960" w:type="dxa"/>
            <w:vAlign w:val="bottom"/>
          </w:tcPr>
          <w:p>
            <w:pPr>
              <w:ind w:left="180"/>
              <w:spacing w:after="0"/>
              <w:rPr>
                <w:sz w:val="20"/>
                <w:szCs w:val="20"/>
                <w:color w:val="auto"/>
              </w:rPr>
            </w:pPr>
            <w:r>
              <w:rPr>
                <w:rFonts w:ascii="Arial" w:cs="Arial" w:eastAsia="Arial" w:hAnsi="Arial"/>
                <w:sz w:val="16"/>
                <w:szCs w:val="16"/>
                <w:color w:val="auto"/>
              </w:rPr>
              <w:t>Dedham, MA</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940" w:type="dxa"/>
            <w:vAlign w:val="bottom"/>
          </w:tcPr>
          <w:p>
            <w:pPr>
              <w:ind w:left="420"/>
              <w:spacing w:after="0"/>
              <w:rPr>
                <w:sz w:val="20"/>
                <w:szCs w:val="20"/>
                <w:color w:val="auto"/>
              </w:rPr>
            </w:pPr>
            <w:r>
              <w:rPr>
                <w:rFonts w:ascii="Arial" w:cs="Arial" w:eastAsia="Arial" w:hAnsi="Arial"/>
                <w:sz w:val="16"/>
                <w:szCs w:val="16"/>
                <w:color w:val="auto"/>
              </w:rPr>
              <w:t>Lawrenceville, NJ</w:t>
            </w: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Eastgate</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Chapel Hill, NC</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Fairfax, VA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Escondido</w:t>
            </w:r>
          </w:p>
        </w:tc>
        <w:tc>
          <w:tcPr>
            <w:tcW w:w="1960" w:type="dxa"/>
            <w:vAlign w:val="bottom"/>
          </w:tcPr>
          <w:p>
            <w:pPr>
              <w:ind w:left="180"/>
              <w:spacing w:after="0"/>
              <w:rPr>
                <w:sz w:val="20"/>
                <w:szCs w:val="20"/>
                <w:color w:val="auto"/>
              </w:rPr>
            </w:pPr>
            <w:r>
              <w:rPr>
                <w:rFonts w:ascii="Arial" w:cs="Arial" w:eastAsia="Arial" w:hAnsi="Arial"/>
                <w:sz w:val="16"/>
                <w:szCs w:val="16"/>
                <w:color w:val="auto"/>
              </w:rPr>
              <w:t>Escondido, CA</w:t>
            </w:r>
          </w:p>
        </w:tc>
        <w:tc>
          <w:tcPr>
            <w:tcW w:w="20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94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Federal Plaza</w:t>
            </w:r>
          </w:p>
        </w:tc>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Rockville, MD</w:t>
            </w:r>
          </w:p>
        </w:tc>
        <w:tc>
          <w:tcPr>
            <w:tcW w:w="2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Finley Square</w:t>
            </w:r>
          </w:p>
        </w:tc>
        <w:tc>
          <w:tcPr>
            <w:tcW w:w="1960" w:type="dxa"/>
            <w:vAlign w:val="bottom"/>
          </w:tcPr>
          <w:p>
            <w:pPr>
              <w:ind w:left="180"/>
              <w:spacing w:after="0"/>
              <w:rPr>
                <w:sz w:val="20"/>
                <w:szCs w:val="20"/>
                <w:color w:val="auto"/>
              </w:rPr>
            </w:pPr>
            <w:r>
              <w:rPr>
                <w:rFonts w:ascii="Arial" w:cs="Arial" w:eastAsia="Arial" w:hAnsi="Arial"/>
                <w:sz w:val="16"/>
                <w:szCs w:val="16"/>
                <w:color w:val="auto"/>
              </w:rPr>
              <w:t>Downers Grove, IL</w:t>
            </w:r>
          </w:p>
        </w:tc>
        <w:tc>
          <w:tcPr>
            <w:tcW w:w="20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33"/>
        </w:trPr>
        <w:tc>
          <w:tcPr>
            <w:tcW w:w="25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97"/>
        </w:trPr>
        <w:tc>
          <w:tcPr>
            <w:tcW w:w="25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494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Charlottesville, VA</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w w:val="96"/>
              </w:rPr>
              <w:t>Plaza El Segundo (Land)</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El Segundo, CA</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Darien</w:t>
            </w:r>
          </w:p>
        </w:tc>
        <w:tc>
          <w:tcPr>
            <w:tcW w:w="2160" w:type="dxa"/>
            <w:vAlign w:val="bottom"/>
          </w:tcPr>
          <w:p>
            <w:pPr>
              <w:ind w:left="380"/>
              <w:spacing w:after="0"/>
              <w:rPr>
                <w:sz w:val="20"/>
                <w:szCs w:val="20"/>
                <w:color w:val="auto"/>
              </w:rPr>
            </w:pPr>
            <w:r>
              <w:rPr>
                <w:rFonts w:ascii="Arial" w:cs="Arial" w:eastAsia="Arial" w:hAnsi="Arial"/>
                <w:sz w:val="16"/>
                <w:szCs w:val="16"/>
                <w:color w:val="auto"/>
              </w:rPr>
              <w:t>Darien, CT</w:t>
            </w:r>
          </w:p>
        </w:tc>
        <w:tc>
          <w:tcPr>
            <w:tcW w:w="2340" w:type="dxa"/>
            <w:vAlign w:val="bottom"/>
          </w:tcPr>
          <w:p>
            <w:pPr>
              <w:ind w:left="520"/>
              <w:spacing w:after="0"/>
              <w:rPr>
                <w:sz w:val="20"/>
                <w:szCs w:val="20"/>
                <w:color w:val="auto"/>
              </w:rPr>
            </w:pPr>
            <w:r>
              <w:rPr>
                <w:rFonts w:ascii="Arial" w:cs="Arial" w:eastAsia="Arial" w:hAnsi="Arial"/>
                <w:sz w:val="16"/>
                <w:szCs w:val="16"/>
                <w:b w:val="1"/>
                <w:bCs w:val="1"/>
                <w:color w:val="auto"/>
                <w:w w:val="99"/>
              </w:rPr>
              <w:t>Third Street Promenade</w:t>
            </w:r>
          </w:p>
        </w:tc>
        <w:tc>
          <w:tcPr>
            <w:tcW w:w="4620" w:type="dxa"/>
            <w:vAlign w:val="bottom"/>
          </w:tcPr>
          <w:p>
            <w:pPr>
              <w:ind w:left="100"/>
              <w:spacing w:after="0"/>
              <w:rPr>
                <w:sz w:val="20"/>
                <w:szCs w:val="20"/>
                <w:color w:val="auto"/>
              </w:rPr>
            </w:pPr>
            <w:r>
              <w:rPr>
                <w:rFonts w:ascii="Arial" w:cs="Arial" w:eastAsia="Arial" w:hAnsi="Arial"/>
                <w:sz w:val="16"/>
                <w:szCs w:val="16"/>
                <w:color w:val="auto"/>
              </w:rPr>
              <w:t>Santa Monica, CA</w:t>
            </w:r>
          </w:p>
        </w:tc>
      </w:tr>
      <w:tr>
        <w:trPr>
          <w:trHeight w:val="33"/>
        </w:trPr>
        <w:tc>
          <w:tcPr>
            <w:tcW w:w="2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Queens, NY</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Tower Shops</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Davie, FL</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Mercer Mall</w:t>
            </w:r>
          </w:p>
        </w:tc>
        <w:tc>
          <w:tcPr>
            <w:tcW w:w="2160" w:type="dxa"/>
            <w:vAlign w:val="bottom"/>
          </w:tcPr>
          <w:p>
            <w:pPr>
              <w:ind w:left="380"/>
              <w:spacing w:after="0"/>
              <w:rPr>
                <w:sz w:val="20"/>
                <w:szCs w:val="20"/>
                <w:color w:val="auto"/>
              </w:rPr>
            </w:pPr>
            <w:r>
              <w:rPr>
                <w:rFonts w:ascii="Arial" w:cs="Arial" w:eastAsia="Arial" w:hAnsi="Arial"/>
                <w:sz w:val="16"/>
                <w:szCs w:val="16"/>
                <w:color w:val="auto"/>
              </w:rPr>
              <w:t>Lawrenceville, NJ</w:t>
            </w:r>
          </w:p>
        </w:tc>
        <w:tc>
          <w:tcPr>
            <w:tcW w:w="234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620" w:type="dxa"/>
            <w:vAlign w:val="bottom"/>
          </w:tcPr>
          <w:p>
            <w:pPr>
              <w:ind w:left="100"/>
              <w:spacing w:after="0"/>
              <w:rPr>
                <w:sz w:val="20"/>
                <w:szCs w:val="20"/>
                <w:color w:val="auto"/>
              </w:rPr>
            </w:pPr>
            <w:r>
              <w:rPr>
                <w:rFonts w:ascii="Arial" w:cs="Arial" w:eastAsia="Arial" w:hAnsi="Arial"/>
                <w:sz w:val="16"/>
                <w:szCs w:val="16"/>
                <w:color w:val="auto"/>
              </w:rPr>
              <w:t>Bethesda, MD</w:t>
            </w:r>
          </w:p>
        </w:tc>
      </w:tr>
      <w:tr>
        <w:trPr>
          <w:trHeight w:val="33"/>
        </w:trPr>
        <w:tc>
          <w:tcPr>
            <w:tcW w:w="2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37"/>
        </w:trPr>
        <w:tc>
          <w:tcPr>
            <w:tcW w:w="23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Montrose Crossing</w:t>
            </w:r>
          </w:p>
        </w:tc>
        <w:tc>
          <w:tcPr>
            <w:tcW w:w="2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Rockville, MD</w:t>
            </w:r>
          </w:p>
        </w:tc>
        <w:tc>
          <w:tcPr>
            <w:tcW w:w="234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p>
        </w:tc>
      </w:tr>
      <w:tr>
        <w:trPr>
          <w:trHeight w:val="33"/>
        </w:trPr>
        <w:tc>
          <w:tcPr>
            <w:tcW w:w="23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Barracks Road</w:t>
            </w:r>
          </w:p>
        </w:tc>
        <w:tc>
          <w:tcPr>
            <w:tcW w:w="2100" w:type="dxa"/>
            <w:vAlign w:val="bottom"/>
          </w:tcPr>
          <w:p>
            <w:pPr>
              <w:ind w:left="320"/>
              <w:spacing w:after="0"/>
              <w:rPr>
                <w:sz w:val="20"/>
                <w:szCs w:val="20"/>
                <w:color w:val="auto"/>
              </w:rPr>
            </w:pPr>
            <w:r>
              <w:rPr>
                <w:rFonts w:ascii="Arial" w:cs="Arial" w:eastAsia="Arial" w:hAnsi="Arial"/>
                <w:sz w:val="16"/>
                <w:szCs w:val="16"/>
                <w:color w:val="auto"/>
              </w:rPr>
              <w:t>Charlottesville, VA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60" w:type="dxa"/>
            <w:vAlign w:val="bottom"/>
          </w:tcPr>
          <w:p>
            <w:pPr>
              <w:ind w:left="14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Del Mar Village</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Boca Raton, FL</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Towson, MD</w:t>
            </w:r>
          </w:p>
        </w:tc>
      </w:tr>
      <w:tr>
        <w:trPr>
          <w:trHeight w:val="297"/>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gridSpan w:val="3"/>
          </w:tcPr>
          <w:p>
            <w:pPr>
              <w:spacing w:after="0"/>
              <w:rPr>
                <w:sz w:val="24"/>
                <w:szCs w:val="24"/>
                <w:color w:val="auto"/>
              </w:rPr>
            </w:pPr>
          </w:p>
        </w:tc>
        <w:tc>
          <w:tcPr>
            <w:tcW w:w="23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7"/>
        </w:trPr>
        <w:tc>
          <w:tcPr>
            <w:tcW w:w="4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Assembly Row (1)</w:t>
            </w:r>
          </w:p>
        </w:tc>
        <w:tc>
          <w:tcPr>
            <w:tcW w:w="2100" w:type="dxa"/>
            <w:vAlign w:val="bottom"/>
          </w:tcPr>
          <w:p>
            <w:pPr>
              <w:ind w:left="320"/>
              <w:spacing w:after="0"/>
              <w:rPr>
                <w:sz w:val="20"/>
                <w:szCs w:val="20"/>
                <w:color w:val="auto"/>
              </w:rPr>
            </w:pPr>
            <w:r>
              <w:rPr>
                <w:rFonts w:ascii="Arial" w:cs="Arial" w:eastAsia="Arial" w:hAnsi="Arial"/>
                <w:sz w:val="16"/>
                <w:szCs w:val="16"/>
                <w:color w:val="auto"/>
              </w:rPr>
              <w:t>Somerville, MA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7</w:t>
            </w:r>
          </w:p>
        </w:tc>
        <w:tc>
          <w:tcPr>
            <w:tcW w:w="4660" w:type="dxa"/>
            <w:vAlign w:val="bottom"/>
          </w:tcPr>
          <w:p>
            <w:pPr>
              <w:ind w:left="140"/>
              <w:spacing w:after="0"/>
              <w:rPr>
                <w:sz w:val="20"/>
                <w:szCs w:val="20"/>
                <w:color w:val="auto"/>
              </w:rPr>
            </w:pPr>
            <w:r>
              <w:rPr>
                <w:rFonts w:ascii="Arial" w:cs="Arial" w:eastAsia="Arial" w:hAnsi="Arial"/>
                <w:sz w:val="16"/>
                <w:szCs w:val="16"/>
                <w:color w:val="auto"/>
              </w:rPr>
              <w:t>Vienna,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30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6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Bala Cynwyd</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Bala Cynwyd, PA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(2)</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Rockville, MD</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Forest Hills</w:t>
            </w:r>
          </w:p>
        </w:tc>
        <w:tc>
          <w:tcPr>
            <w:tcW w:w="2100" w:type="dxa"/>
            <w:vAlign w:val="bottom"/>
          </w:tcPr>
          <w:p>
            <w:pPr>
              <w:ind w:left="320"/>
              <w:spacing w:after="0"/>
              <w:rPr>
                <w:sz w:val="20"/>
                <w:szCs w:val="20"/>
                <w:color w:val="auto"/>
              </w:rPr>
            </w:pPr>
            <w:r>
              <w:rPr>
                <w:rFonts w:ascii="Arial" w:cs="Arial" w:eastAsia="Arial" w:hAnsi="Arial"/>
                <w:sz w:val="16"/>
                <w:szCs w:val="16"/>
                <w:color w:val="auto"/>
              </w:rPr>
              <w:t>Forest Hills, NY</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Santana Row (3)</w:t>
            </w:r>
          </w:p>
        </w:tc>
        <w:tc>
          <w:tcPr>
            <w:tcW w:w="4660" w:type="dxa"/>
            <w:vAlign w:val="bottom"/>
          </w:tcPr>
          <w:p>
            <w:pPr>
              <w:ind w:left="14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r>
      <w:tr>
        <w:trPr>
          <w:trHeight w:val="230"/>
        </w:trPr>
        <w:tc>
          <w:tcPr>
            <w:tcW w:w="560" w:type="dxa"/>
            <w:vAlign w:val="bottom"/>
            <w:gridSpan w:val="3"/>
          </w:tcPr>
          <w:p>
            <w:pPr>
              <w:ind w:left="40"/>
              <w:spacing w:after="0"/>
              <w:rPr>
                <w:sz w:val="20"/>
                <w:szCs w:val="20"/>
                <w:color w:val="auto"/>
              </w:rPr>
            </w:pPr>
            <w:r>
              <w:rPr>
                <w:rFonts w:ascii="Arial" w:cs="Arial" w:eastAsia="Arial" w:hAnsi="Arial"/>
                <w:sz w:val="14"/>
                <w:szCs w:val="14"/>
                <w:color w:val="auto"/>
              </w:rPr>
              <w:t>Notes:</w:t>
            </w:r>
          </w:p>
        </w:tc>
        <w:tc>
          <w:tcPr>
            <w:tcW w:w="18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157"/>
        </w:trPr>
        <w:tc>
          <w:tcPr>
            <w:tcW w:w="560" w:type="dxa"/>
            <w:vAlign w:val="bottom"/>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w:t>
            </w:r>
          </w:p>
        </w:tc>
        <w:tc>
          <w:tcPr>
            <w:tcW w:w="180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Assembly Row</w:t>
            </w:r>
          </w:p>
        </w:tc>
        <w:tc>
          <w:tcPr>
            <w:tcW w:w="9060" w:type="dxa"/>
            <w:vAlign w:val="bottom"/>
            <w:gridSpan w:val="3"/>
            <w:shd w:val="clear" w:color="auto" w:fill="CCEEFF"/>
          </w:tcPr>
          <w:p>
            <w:pPr>
              <w:ind w:left="320"/>
              <w:spacing w:after="0" w:line="157" w:lineRule="exact"/>
              <w:rPr>
                <w:sz w:val="20"/>
                <w:szCs w:val="20"/>
                <w:color w:val="auto"/>
              </w:rPr>
            </w:pPr>
            <w:r>
              <w:rPr>
                <w:rFonts w:ascii="Arial" w:cs="Arial" w:eastAsia="Arial" w:hAnsi="Arial"/>
                <w:sz w:val="14"/>
                <w:szCs w:val="14"/>
                <w:color w:val="auto"/>
                <w:w w:val="96"/>
              </w:rPr>
              <w:t>Remaining entitlements after Phase 1 include approximately 1.9 million square feet of commercial-use buildings, 1,650 residential units, and a 200</w:t>
            </w:r>
          </w:p>
        </w:tc>
      </w:tr>
      <w:tr>
        <w:trPr>
          <w:trHeight w:val="194"/>
        </w:trPr>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1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room hotel.</w:t>
            </w:r>
          </w:p>
        </w:tc>
        <w:tc>
          <w:tcPr>
            <w:tcW w:w="230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r>
      <w:tr>
        <w:trPr>
          <w:trHeight w:val="197"/>
        </w:trPr>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(2)</w:t>
            </w:r>
          </w:p>
        </w:tc>
        <w:tc>
          <w:tcPr>
            <w:tcW w:w="1800" w:type="dxa"/>
            <w:vAlign w:val="bottom"/>
          </w:tcPr>
          <w:p>
            <w:pPr>
              <w:ind w:left="60"/>
              <w:spacing w:after="0"/>
              <w:rPr>
                <w:sz w:val="20"/>
                <w:szCs w:val="20"/>
                <w:color w:val="auto"/>
              </w:rPr>
            </w:pPr>
            <w:r>
              <w:rPr>
                <w:rFonts w:ascii="Arial" w:cs="Arial" w:eastAsia="Arial" w:hAnsi="Arial"/>
                <w:sz w:val="14"/>
                <w:szCs w:val="14"/>
                <w:color w:val="auto"/>
              </w:rPr>
              <w:t>Pike &amp; Rose (Mid-Pike)</w:t>
            </w:r>
          </w:p>
        </w:tc>
        <w:tc>
          <w:tcPr>
            <w:tcW w:w="9060" w:type="dxa"/>
            <w:vAlign w:val="bottom"/>
            <w:gridSpan w:val="3"/>
          </w:tcPr>
          <w:p>
            <w:pPr>
              <w:ind w:left="320"/>
              <w:spacing w:after="0"/>
              <w:rPr>
                <w:sz w:val="20"/>
                <w:szCs w:val="20"/>
                <w:color w:val="auto"/>
              </w:rPr>
            </w:pPr>
            <w:r>
              <w:rPr>
                <w:rFonts w:ascii="Arial" w:cs="Arial" w:eastAsia="Arial" w:hAnsi="Arial"/>
                <w:sz w:val="14"/>
                <w:szCs w:val="14"/>
                <w:color w:val="auto"/>
              </w:rPr>
              <w:t>Remaining entitlements after Phase 1 include 1.5 million square feet of commercial-use buildings, and 1,090 residential units.</w:t>
            </w:r>
          </w:p>
        </w:tc>
      </w:tr>
      <w:tr>
        <w:trPr>
          <w:trHeight w:val="209"/>
        </w:trPr>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Santana Row</w:t>
            </w:r>
          </w:p>
        </w:tc>
        <w:tc>
          <w:tcPr>
            <w:tcW w:w="9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w w:val="99"/>
              </w:rPr>
              <w:t>Current remaining entitlements for this property include 348 residential units and 305,000 square feet of commercial space for retail and office.</w:t>
            </w:r>
          </w:p>
        </w:tc>
      </w:tr>
      <w:tr>
        <w:trPr>
          <w:trHeight w:val="459"/>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ind w:left="1160"/>
              <w:spacing w:after="0"/>
              <w:rPr>
                <w:sz w:val="20"/>
                <w:szCs w:val="20"/>
                <w:color w:val="auto"/>
              </w:rPr>
            </w:pPr>
            <w:r>
              <w:rPr>
                <w:rFonts w:ascii="Arial" w:cs="Arial" w:eastAsia="Arial" w:hAnsi="Arial"/>
                <w:sz w:val="18"/>
                <w:szCs w:val="18"/>
                <w:color w:val="auto"/>
              </w:rPr>
              <w:t>16</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2013 Significant Acquisition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Property</w:t>
            </w:r>
          </w:p>
        </w:tc>
        <w:tc>
          <w:tcPr>
            <w:tcW w:w="20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City/State</w:t>
            </w:r>
          </w:p>
        </w:tc>
        <w:tc>
          <w:tcPr>
            <w:tcW w:w="1600" w:type="dxa"/>
            <w:vAlign w:val="bottom"/>
            <w:tcBorders>
              <w:bottom w:val="single" w:sz="8" w:color="auto"/>
            </w:tcBorders>
          </w:tcPr>
          <w:p>
            <w:pPr>
              <w:jc w:val="center"/>
              <w:ind w:left="65"/>
              <w:spacing w:after="0"/>
              <w:rPr>
                <w:sz w:val="20"/>
                <w:szCs w:val="20"/>
                <w:color w:val="auto"/>
              </w:rPr>
            </w:pPr>
            <w:r>
              <w:rPr>
                <w:rFonts w:ascii="Arial" w:cs="Arial" w:eastAsia="Arial" w:hAnsi="Arial"/>
                <w:sz w:val="14"/>
                <w:szCs w:val="14"/>
                <w:b w:val="1"/>
                <w:bCs w:val="1"/>
                <w:color w:val="auto"/>
              </w:rPr>
              <w:t>GLA</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89"/>
              </w:rPr>
              <w:t>Purchase price</w:t>
            </w:r>
          </w:p>
        </w:tc>
        <w:tc>
          <w:tcPr>
            <w:tcW w:w="26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Anchor Tenants</w:t>
            </w:r>
          </w:p>
        </w:tc>
      </w:tr>
      <w:tr>
        <w:trPr>
          <w:trHeight w:val="190"/>
        </w:trPr>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0" w:type="dxa"/>
            <w:vAlign w:val="bottom"/>
          </w:tcPr>
          <w:p>
            <w:pPr>
              <w:jc w:val="center"/>
              <w:ind w:left="65"/>
              <w:spacing w:after="0"/>
              <w:rPr>
                <w:sz w:val="20"/>
                <w:szCs w:val="20"/>
                <w:color w:val="auto"/>
              </w:rPr>
            </w:pPr>
            <w:r>
              <w:rPr>
                <w:rFonts w:ascii="Arial" w:cs="Arial" w:eastAsia="Arial" w:hAnsi="Arial"/>
                <w:sz w:val="14"/>
                <w:szCs w:val="14"/>
                <w:b w:val="1"/>
                <w:bCs w:val="1"/>
                <w:color w:val="auto"/>
                <w:w w:val="93"/>
              </w:rPr>
              <w:t>(in square feet)</w:t>
            </w:r>
          </w:p>
        </w:tc>
        <w:tc>
          <w:tcPr>
            <w:tcW w:w="380" w:type="dxa"/>
            <w:vAlign w:val="bottom"/>
          </w:tcPr>
          <w:p>
            <w:pPr>
              <w:spacing w:after="0"/>
              <w:rPr>
                <w:sz w:val="16"/>
                <w:szCs w:val="16"/>
                <w:color w:val="auto"/>
              </w:rPr>
            </w:pPr>
          </w:p>
        </w:tc>
        <w:tc>
          <w:tcPr>
            <w:tcW w:w="1240" w:type="dxa"/>
            <w:vAlign w:val="bottom"/>
          </w:tcPr>
          <w:p>
            <w:pPr>
              <w:jc w:val="center"/>
              <w:ind w:right="185"/>
              <w:spacing w:after="0"/>
              <w:rPr>
                <w:sz w:val="20"/>
                <w:szCs w:val="20"/>
                <w:color w:val="auto"/>
              </w:rPr>
            </w:pPr>
            <w:r>
              <w:rPr>
                <w:rFonts w:ascii="Arial" w:cs="Arial" w:eastAsia="Arial" w:hAnsi="Arial"/>
                <w:sz w:val="14"/>
                <w:szCs w:val="14"/>
                <w:b w:val="1"/>
                <w:bCs w:val="1"/>
                <w:color w:val="auto"/>
                <w:w w:val="94"/>
              </w:rPr>
              <w:t>(in millions)</w:t>
            </w:r>
          </w:p>
        </w:tc>
        <w:tc>
          <w:tcPr>
            <w:tcW w:w="2600" w:type="dxa"/>
            <w:vAlign w:val="bottom"/>
          </w:tcPr>
          <w:p>
            <w:pPr>
              <w:spacing w:after="0"/>
              <w:rPr>
                <w:sz w:val="16"/>
                <w:szCs w:val="16"/>
                <w:color w:val="auto"/>
              </w:rPr>
            </w:pPr>
          </w:p>
        </w:tc>
      </w:tr>
      <w:tr>
        <w:trPr>
          <w:trHeight w:val="80"/>
        </w:trPr>
        <w:tc>
          <w:tcPr>
            <w:tcW w:w="1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4"/>
        </w:trPr>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3, 2013</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Darien</w:t>
            </w:r>
          </w:p>
        </w:tc>
        <w:tc>
          <w:tcPr>
            <w:tcW w:w="1020" w:type="dxa"/>
            <w:vAlign w:val="bottom"/>
            <w:shd w:val="clear" w:color="auto" w:fill="CCEEFF"/>
          </w:tcPr>
          <w:p>
            <w:pPr>
              <w:spacing w:after="0"/>
              <w:rPr>
                <w:sz w:val="19"/>
                <w:szCs w:val="19"/>
                <w:color w:val="auto"/>
              </w:rPr>
            </w:pPr>
          </w:p>
        </w:tc>
        <w:tc>
          <w:tcPr>
            <w:tcW w:w="2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Darien, CT</w:t>
            </w:r>
          </w:p>
        </w:tc>
        <w:tc>
          <w:tcPr>
            <w:tcW w:w="1600" w:type="dxa"/>
            <w:vAlign w:val="bottom"/>
            <w:shd w:val="clear" w:color="auto" w:fill="CCEEFF"/>
          </w:tcPr>
          <w:p>
            <w:pPr>
              <w:jc w:val="center"/>
              <w:ind w:left="65"/>
              <w:spacing w:after="0"/>
              <w:rPr>
                <w:sz w:val="20"/>
                <w:szCs w:val="20"/>
                <w:color w:val="auto"/>
              </w:rPr>
            </w:pPr>
            <w:r>
              <w:rPr>
                <w:rFonts w:ascii="Arial" w:cs="Arial" w:eastAsia="Arial" w:hAnsi="Arial"/>
                <w:sz w:val="16"/>
                <w:szCs w:val="16"/>
                <w:color w:val="auto"/>
                <w:w w:val="93"/>
              </w:rPr>
              <w:t>95,000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47.3</w:t>
            </w:r>
          </w:p>
        </w:tc>
        <w:tc>
          <w:tcPr>
            <w:tcW w:w="2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Equinox / Stop &amp; Shop</w:t>
            </w:r>
          </w:p>
        </w:tc>
      </w:tr>
      <w:tr>
        <w:trPr>
          <w:trHeight w:val="47"/>
        </w:trPr>
        <w:tc>
          <w:tcPr>
            <w:tcW w:w="15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60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158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$ 217,677</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w w:val="91"/>
              </w:rPr>
              <w:t>2006/2008/2010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73,758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Fresh 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4,694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85%</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Falls Plaza/Falls Plaza-East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65,412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ind w:left="60"/>
              <w:spacing w:after="0"/>
              <w:rPr>
                <w:sz w:val="20"/>
                <w:szCs w:val="20"/>
                <w:color w:val="auto"/>
              </w:rPr>
            </w:pPr>
            <w:r>
              <w:rPr>
                <w:rFonts w:ascii="Arial" w:cs="Arial" w:eastAsia="Arial" w:hAnsi="Arial"/>
                <w:sz w:val="13"/>
                <w:szCs w:val="13"/>
                <w:color w:val="auto"/>
              </w:rPr>
              <w:t>14,000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25,477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16,623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15,835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50,955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27,553</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32,910</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35,628</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258,000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Mid-Pike Plaza/Pike &amp; Rose</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128,514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Montrose Crossing</w:t>
            </w:r>
          </w:p>
        </w:tc>
        <w:tc>
          <w:tcPr>
            <w:tcW w:w="340" w:type="dxa"/>
            <w:vAlign w:val="bottom"/>
            <w:gridSpan w:val="3"/>
          </w:tcPr>
          <w:p>
            <w:pPr>
              <w:jc w:val="right"/>
              <w:ind w:right="60"/>
              <w:spacing w:after="0"/>
              <w:rPr>
                <w:sz w:val="20"/>
                <w:szCs w:val="20"/>
                <w:color w:val="auto"/>
              </w:rPr>
            </w:pPr>
            <w:r>
              <w:rPr>
                <w:rFonts w:ascii="Arial" w:cs="Arial" w:eastAsia="Arial" w:hAnsi="Arial"/>
                <w:sz w:val="13"/>
                <w:szCs w:val="13"/>
                <w:color w:val="auto"/>
              </w:rPr>
              <w:t>(4)</w:t>
            </w: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2011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141,827</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78,055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73,000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6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3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w:t>
            </w:r>
          </w:p>
        </w:tc>
        <w:tc>
          <w:tcPr>
            <w:tcW w:w="1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79,988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62,000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7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Valley/7770 Richmond Hwy</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Gold's Gym / Staples</w:t>
            </w: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6,474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28,659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90,592</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51,147</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26,965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70%</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6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Rockville Town Square</w:t>
            </w:r>
          </w:p>
        </w:tc>
        <w:tc>
          <w:tcPr>
            <w:tcW w:w="3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w:t>
            </w:r>
          </w:p>
        </w:tc>
        <w:tc>
          <w:tcPr>
            <w:tcW w:w="1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50,473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4,531</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Dawson's</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Gold's Gym</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200" w:type="dxa"/>
            <w:vAlign w:val="bottom"/>
            <w:shd w:val="clear" w:color="auto" w:fill="CCEEFF"/>
          </w:tcPr>
          <w:p>
            <w:pPr>
              <w:spacing w:after="0"/>
              <w:rPr>
                <w:sz w:val="15"/>
                <w:szCs w:val="15"/>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9,365</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22,706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21,166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900" w:type="dxa"/>
            <w:vAlign w:val="bottom"/>
          </w:tcPr>
          <w:p>
            <w:pPr>
              <w:ind w:left="8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34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57,636</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6,424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18,303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23,413</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4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1,284,551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5,340,000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9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95"/>
              </w:rPr>
              <w:t>Philadelphia Metropolitan Area</w:t>
            </w:r>
          </w:p>
        </w:tc>
        <w:tc>
          <w:tcPr>
            <w:tcW w:w="1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Andorra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25,496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3200" w:type="dxa"/>
            <w:vAlign w:val="bottom"/>
          </w:tcPr>
          <w:p>
            <w:pPr>
              <w:ind w:left="60"/>
              <w:spacing w:after="0"/>
              <w:rPr>
                <w:sz w:val="20"/>
                <w:szCs w:val="20"/>
                <w:color w:val="auto"/>
              </w:rPr>
            </w:pPr>
            <w:r>
              <w:rPr>
                <w:rFonts w:ascii="Arial" w:cs="Arial" w:eastAsia="Arial" w:hAnsi="Arial"/>
                <w:sz w:val="13"/>
                <w:szCs w:val="13"/>
                <w:color w:val="auto"/>
              </w:rPr>
              <w:t>Kohl's / Staples / L.A. Fitness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39,598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28,987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13,424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20,591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81"/>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31,025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26,637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24,633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Town Center of New Britain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29,346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37,109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27,146</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4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264,904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2,435,000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89"/>
              </w:rPr>
              <w:t>Los Angeles-Long Beach,</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18,119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CA</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81"/>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Ramon, CA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85,088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Lucky</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10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1109"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00" w:type="dxa"/>
            <w:vAlign w:val="bottom"/>
          </w:tcPr>
          <w:p>
            <w:pPr>
              <w:spacing w:after="0"/>
              <w:rPr>
                <w:sz w:val="11"/>
                <w:szCs w:val="11"/>
                <w:color w:val="auto"/>
              </w:rPr>
            </w:pPr>
          </w:p>
        </w:tc>
      </w:tr>
      <w:tr>
        <w:trPr>
          <w:trHeight w:val="174"/>
        </w:trPr>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70"/>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East Bay Bridge</w:t>
            </w: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167,250</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62,465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59,000</w:t>
            </w:r>
          </w:p>
        </w:tc>
        <w:tc>
          <w:tcPr>
            <w:tcW w:w="920" w:type="dxa"/>
            <w:vAlign w:val="bottom"/>
          </w:tcPr>
          <w:p>
            <w:pPr>
              <w:ind w:left="80"/>
              <w:spacing w:after="0"/>
              <w:rPr>
                <w:sz w:val="20"/>
                <w:szCs w:val="20"/>
                <w:color w:val="auto"/>
              </w:rPr>
            </w:pPr>
            <w:r>
              <w:rPr>
                <w:rFonts w:ascii="Arial" w:cs="Arial" w:eastAsia="Arial" w:hAnsi="Arial"/>
                <w:sz w:val="13"/>
                <w:szCs w:val="13"/>
                <w:color w:val="auto"/>
              </w:rPr>
              <w:t>Pak-N-Save</w:t>
            </w:r>
          </w:p>
        </w:tc>
        <w:tc>
          <w:tcPr>
            <w:tcW w:w="3300" w:type="dxa"/>
            <w:vAlign w:val="bottom"/>
          </w:tcPr>
          <w:p>
            <w:pPr>
              <w:ind w:left="6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45,731</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w:t>
            </w:r>
          </w:p>
        </w:tc>
      </w:tr>
      <w:tr>
        <w:trPr>
          <w:trHeight w:val="173"/>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Fifth Ave</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6,056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Urban Outfitters</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6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Hermosa Ave</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5,636</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Hollywood Blvd</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(4)</w:t>
            </w: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1999</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40,152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15,000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Fresh &amp; Easy</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DSW / L.A.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Kings Court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11,638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Lunardi's Super</w:t>
            </w: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300" w:type="dxa"/>
            <w:vAlign w:val="bottom"/>
            <w:shd w:val="clear" w:color="auto" w:fill="CCEEFF"/>
          </w:tcPr>
          <w:p>
            <w:pPr>
              <w:spacing w:after="0"/>
              <w:rPr>
                <w:sz w:val="15"/>
                <w:szCs w:val="15"/>
                <w:color w:val="auto"/>
              </w:rPr>
            </w:pPr>
          </w:p>
        </w:tc>
      </w:tr>
      <w:tr>
        <w:trPr>
          <w:trHeight w:val="173"/>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Old Town Center</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36,826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Anthropologie / Banana Republic / Gap</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48"/>
        </w:trPr>
        <w:tc>
          <w:tcPr>
            <w:tcW w:w="16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w:t>
            </w: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217,574</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175,000</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66,000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Whole Foods</w:t>
            </w:r>
          </w:p>
        </w:tc>
        <w:tc>
          <w:tcPr>
            <w:tcW w:w="33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Goods / H&amp;M / HomeGoods</w:t>
            </w: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Santana Row</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646,793</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 Hotel Valencia / H&amp;M</w:t>
            </w:r>
          </w:p>
        </w:tc>
      </w:tr>
      <w:tr>
        <w:trPr>
          <w:trHeight w:val="15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Third St Promenade</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1996-2000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78,262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Westgate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130,556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Michaels / Nordstrom Rack</w:t>
            </w:r>
          </w:p>
        </w:tc>
      </w:tr>
      <w:tr>
        <w:trPr>
          <w:trHeight w:val="181"/>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37,427</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1,527,108</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3,375,000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NY Metro/New Jersey</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3300" w:type="dxa"/>
            <w:vAlign w:val="bottom"/>
            <w:tcBorders>
              <w:top w:val="single" w:sz="8" w:color="CCEEFF"/>
            </w:tcBorders>
            <w:shd w:val="clear" w:color="auto" w:fill="CCEEFF"/>
          </w:tcPr>
          <w:p>
            <w:pPr>
              <w:spacing w:after="0"/>
              <w:rPr>
                <w:sz w:val="8"/>
                <w:szCs w:val="8"/>
                <w:color w:val="auto"/>
              </w:rPr>
            </w:pPr>
          </w:p>
        </w:tc>
      </w:tr>
      <w:tr>
        <w:trPr>
          <w:trHeight w:val="173"/>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Brick Plaza</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Monmouth-Ocean, NJ</w:t>
            </w:r>
          </w:p>
        </w:tc>
        <w:tc>
          <w:tcPr>
            <w:tcW w:w="6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59,356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27,650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414,000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920" w:type="dxa"/>
            <w:vAlign w:val="bottom"/>
          </w:tcPr>
          <w:p>
            <w:pPr>
              <w:ind w:left="80"/>
              <w:spacing w:after="0"/>
              <w:rPr>
                <w:sz w:val="20"/>
                <w:szCs w:val="20"/>
                <w:color w:val="auto"/>
              </w:rPr>
            </w:pPr>
            <w:r>
              <w:rPr>
                <w:rFonts w:ascii="Arial" w:cs="Arial" w:eastAsia="Arial" w:hAnsi="Arial"/>
                <w:sz w:val="13"/>
                <w:szCs w:val="13"/>
                <w:color w:val="auto"/>
              </w:rPr>
              <w:t>A&amp;P</w:t>
            </w:r>
          </w:p>
        </w:tc>
        <w:tc>
          <w:tcPr>
            <w:tcW w:w="3300" w:type="dxa"/>
            <w:vAlign w:val="bottom"/>
          </w:tcPr>
          <w:p>
            <w:pPr>
              <w:ind w:left="60"/>
              <w:spacing w:after="0"/>
              <w:rPr>
                <w:sz w:val="20"/>
                <w:szCs w:val="20"/>
                <w:color w:val="auto"/>
              </w:rPr>
            </w:pPr>
            <w:r>
              <w:rPr>
                <w:rFonts w:ascii="Arial" w:cs="Arial" w:eastAsia="Arial" w:hAnsi="Arial"/>
                <w:sz w:val="13"/>
                <w:szCs w:val="13"/>
                <w:color w:val="auto"/>
              </w:rPr>
              <w:t>AMC Loews / Barnes &amp; Noble / Sports Authority</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48"/>
        </w:trPr>
        <w:tc>
          <w:tcPr>
            <w:tcW w:w="16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Darien</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47,301</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45,000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Stop &amp; Shop</w:t>
            </w:r>
          </w:p>
        </w:tc>
        <w:tc>
          <w:tcPr>
            <w:tcW w:w="33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Equinox</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Forest Hills</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8,612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Midway Theatre</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96"/>
        </w:trPr>
        <w:tc>
          <w:tcPr>
            <w:tcW w:w="1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3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78,316</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Island of Gold</w:t>
            </w:r>
          </w:p>
        </w:tc>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AMC Loews / Kohl's / Michaels / Modell's</w:t>
            </w: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04"/>
        </w:trPr>
        <w:tc>
          <w:tcPr>
            <w:tcW w:w="1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3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27,716</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14,167</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Huntington</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43,255</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Rack</w:t>
            </w:r>
          </w:p>
        </w:tc>
      </w:tr>
      <w:tr>
        <w:trPr>
          <w:trHeight w:val="204"/>
        </w:trPr>
        <w:tc>
          <w:tcPr>
            <w:tcW w:w="1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3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10,997</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173"/>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Melville Mall</w:t>
            </w:r>
          </w:p>
        </w:tc>
        <w:tc>
          <w:tcPr>
            <w:tcW w:w="360" w:type="dxa"/>
            <w:vAlign w:val="bottom"/>
          </w:tcPr>
          <w:p>
            <w:pPr>
              <w:jc w:val="right"/>
              <w:spacing w:after="0"/>
              <w:rPr>
                <w:sz w:val="20"/>
                <w:szCs w:val="20"/>
                <w:color w:val="auto"/>
              </w:rPr>
            </w:pPr>
            <w:r>
              <w:rPr>
                <w:rFonts w:ascii="Arial" w:cs="Arial" w:eastAsia="Arial" w:hAnsi="Arial"/>
                <w:sz w:val="13"/>
                <w:szCs w:val="13"/>
                <w:color w:val="auto"/>
              </w:rPr>
              <w:t>(8)</w:t>
            </w:r>
          </w:p>
        </w:tc>
        <w:tc>
          <w:tcPr>
            <w:tcW w:w="15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69,285</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21,126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92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300" w:type="dxa"/>
            <w:vAlign w:val="bottom"/>
          </w:tcPr>
          <w:p>
            <w:pPr>
              <w:ind w:left="60"/>
              <w:spacing w:after="0"/>
              <w:rPr>
                <w:sz w:val="20"/>
                <w:szCs w:val="20"/>
                <w:color w:val="auto"/>
              </w:rPr>
            </w:pPr>
            <w:r>
              <w:rPr>
                <w:rFonts w:ascii="Arial" w:cs="Arial" w:eastAsia="Arial" w:hAnsi="Arial"/>
                <w:sz w:val="13"/>
                <w:szCs w:val="13"/>
                <w:color w:val="auto"/>
              </w:rPr>
              <w:t>Dick’s Sporting Goods / Kohl's / Marshalls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96"/>
        </w:trPr>
        <w:tc>
          <w:tcPr>
            <w:tcW w:w="1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Trenton,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111,204</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55,820</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500,000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2"/>
              </w:rPr>
              <w:t>Bed, Bath &amp; Beyond / DSW / TJ Maxx / Raymour &amp; Flanigan</w:t>
            </w:r>
          </w:p>
        </w:tc>
      </w:tr>
      <w:tr>
        <w:trPr>
          <w:trHeight w:val="173"/>
        </w:trPr>
        <w:tc>
          <w:tcPr>
            <w:tcW w:w="162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28,993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64,000</w:t>
            </w:r>
          </w:p>
        </w:tc>
        <w:tc>
          <w:tcPr>
            <w:tcW w:w="920" w:type="dxa"/>
            <w:vAlign w:val="bottom"/>
          </w:tcPr>
          <w:p>
            <w:pPr>
              <w:ind w:left="80"/>
              <w:spacing w:after="0"/>
              <w:rPr>
                <w:sz w:val="20"/>
                <w:szCs w:val="20"/>
                <w:color w:val="auto"/>
              </w:rPr>
            </w:pPr>
            <w:r>
              <w:rPr>
                <w:rFonts w:ascii="Arial" w:cs="Arial" w:eastAsia="Arial" w:hAnsi="Arial"/>
                <w:sz w:val="13"/>
                <w:szCs w:val="13"/>
                <w:color w:val="auto"/>
              </w:rPr>
              <w:t>Pathmark</w:t>
            </w:r>
          </w:p>
        </w:tc>
        <w:tc>
          <w:tcPr>
            <w:tcW w:w="3300" w:type="dxa"/>
            <w:vAlign w:val="bottom"/>
          </w:tcPr>
          <w:p>
            <w:pPr>
              <w:ind w:left="6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30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499,004</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2,438,000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8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England</w:t>
            </w: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6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36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2"/>
              </w:rPr>
              <w:t>Boston-Cambridge-Quincy,  2005-2011</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286,580</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AC Moore / Bed, Bath &amp; Beyond / Christmas Tree Shops /</w:t>
            </w:r>
          </w:p>
        </w:tc>
      </w:tr>
      <w:tr>
        <w:trPr>
          <w:trHeight w:val="17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7"/>
              </w:rPr>
              <w:t>Marketplace/Assembly Row</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 / Staples / Sports Authority / TJ Maxx</w:t>
            </w: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360" w:type="dxa"/>
            <w:vAlign w:val="bottom"/>
          </w:tcPr>
          <w:p>
            <w:pPr>
              <w:spacing w:after="0"/>
              <w:rPr>
                <w:sz w:val="12"/>
                <w:szCs w:val="12"/>
                <w:color w:val="auto"/>
              </w:rPr>
            </w:pPr>
          </w:p>
        </w:tc>
        <w:tc>
          <w:tcPr>
            <w:tcW w:w="218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2"/>
              </w:rPr>
              <w:t>Boston-Cambridge-Quincy,  2006-2008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42,640</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7,361</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34,445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3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Linden Square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146,480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3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17,629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14,747</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Super Stop &amp;</w:t>
            </w: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3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551,889</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1,391,000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216"/>
        </w:trPr>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7"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32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40" w:type="dxa"/>
            <w:vAlign w:val="bottom"/>
          </w:tcPr>
          <w:p>
            <w:pPr>
              <w:spacing w:after="0"/>
              <w:rPr>
                <w:sz w:val="11"/>
                <w:szCs w:val="11"/>
                <w:color w:val="auto"/>
              </w:rPr>
            </w:pPr>
          </w:p>
        </w:tc>
      </w:tr>
      <w:tr>
        <w:trPr>
          <w:trHeight w:val="174"/>
        </w:trPr>
        <w:tc>
          <w:tcPr>
            <w:tcW w:w="162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40" w:type="dxa"/>
            <w:vAlign w:val="bottom"/>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1580" w:type="dxa"/>
            <w:vAlign w:val="bottom"/>
            <w:gridSpan w:val="5"/>
          </w:tcPr>
          <w:p>
            <w:pPr>
              <w:ind w:left="60"/>
              <w:spacing w:after="0"/>
              <w:rPr>
                <w:sz w:val="20"/>
                <w:szCs w:val="20"/>
                <w:color w:val="auto"/>
              </w:rPr>
            </w:pPr>
            <w:r>
              <w:rPr>
                <w:rFonts w:ascii="Arial" w:cs="Arial" w:eastAsia="Arial" w:hAnsi="Arial"/>
                <w:sz w:val="13"/>
                <w:szCs w:val="13"/>
                <w:b w:val="1"/>
                <w:bCs w:val="1"/>
                <w:color w:val="auto"/>
              </w:rPr>
              <w:t>Baltimore</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196"/>
        </w:trPr>
        <w:tc>
          <w:tcPr>
            <w:tcW w:w="1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26,613</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L.A. Fitness / Dick’s Sporting Goods</w:t>
            </w:r>
          </w:p>
        </w:tc>
      </w:tr>
      <w:tr>
        <w:trPr>
          <w:trHeight w:val="148"/>
        </w:trPr>
        <w:tc>
          <w:tcPr>
            <w:tcW w:w="16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Perring Plaza</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28,721</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w w:val="92"/>
              </w:rPr>
              <w:t>Shoppers Food</w:t>
            </w:r>
          </w:p>
        </w:tc>
        <w:tc>
          <w:tcPr>
            <w:tcW w:w="3240" w:type="dxa"/>
            <w:vAlign w:val="bottom"/>
          </w:tcPr>
          <w:p>
            <w:pPr>
              <w:ind w:left="60"/>
              <w:spacing w:after="0" w:line="148" w:lineRule="exact"/>
              <w:rPr>
                <w:sz w:val="20"/>
                <w:szCs w:val="20"/>
                <w:color w:val="auto"/>
              </w:rPr>
            </w:pPr>
            <w:r>
              <w:rPr>
                <w:rFonts w:ascii="Arial" w:cs="Arial" w:eastAsia="Arial" w:hAnsi="Arial"/>
                <w:sz w:val="13"/>
                <w:szCs w:val="13"/>
                <w:color w:val="auto"/>
                <w:w w:val="98"/>
              </w:rPr>
              <w:t>Home Depot / Burlington Coat Factory / Jo-Ann Stores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240" w:type="dxa"/>
            <w:vAlign w:val="bottom"/>
          </w:tcPr>
          <w:p>
            <w:pPr>
              <w:ind w:left="60"/>
              <w:spacing w:after="0"/>
              <w:rPr>
                <w:sz w:val="20"/>
                <w:szCs w:val="20"/>
                <w:color w:val="auto"/>
              </w:rPr>
            </w:pPr>
            <w:r>
              <w:rPr>
                <w:rFonts w:ascii="Arial" w:cs="Arial" w:eastAsia="Arial" w:hAnsi="Arial"/>
                <w:sz w:val="13"/>
                <w:szCs w:val="13"/>
                <w:color w:val="auto"/>
              </w:rPr>
              <w:t>Micro Center</w:t>
            </w:r>
          </w:p>
        </w:tc>
      </w:tr>
      <w:tr>
        <w:trPr>
          <w:trHeight w:val="156"/>
        </w:trPr>
        <w:tc>
          <w:tcPr>
            <w:tcW w:w="16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THE AVENUE at White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96,947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54,787</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16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r>
      <w:tr>
        <w:trPr>
          <w:trHeight w:val="148"/>
        </w:trPr>
        <w:tc>
          <w:tcPr>
            <w:tcW w:w="1620" w:type="dxa"/>
            <w:vAlign w:val="bottom"/>
            <w:gridSpan w:val="6"/>
          </w:tcPr>
          <w:p>
            <w:pPr>
              <w:ind w:left="40"/>
              <w:spacing w:after="0" w:line="148" w:lineRule="exact"/>
              <w:rPr>
                <w:sz w:val="20"/>
                <w:szCs w:val="20"/>
                <w:color w:val="auto"/>
              </w:rPr>
            </w:pPr>
            <w:r>
              <w:rPr>
                <w:rFonts w:ascii="Arial" w:cs="Arial" w:eastAsia="Arial" w:hAnsi="Arial"/>
                <w:sz w:val="13"/>
                <w:szCs w:val="13"/>
                <w:color w:val="auto"/>
                <w:w w:val="96"/>
              </w:rPr>
              <w:t>The Shoppes at Nottingham</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17,327</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168"/>
        </w:trPr>
        <w:tc>
          <w:tcPr>
            <w:tcW w:w="1620" w:type="dxa"/>
            <w:vAlign w:val="bottom"/>
            <w:gridSpan w:val="6"/>
          </w:tcPr>
          <w:p>
            <w:pPr>
              <w:ind w:left="40"/>
              <w:spacing w:after="0"/>
              <w:rPr>
                <w:sz w:val="20"/>
                <w:szCs w:val="20"/>
                <w:color w:val="auto"/>
              </w:rPr>
            </w:pPr>
            <w:r>
              <w:rPr>
                <w:rFonts w:ascii="Arial" w:cs="Arial" w:eastAsia="Arial" w:hAnsi="Arial"/>
                <w:sz w:val="13"/>
                <w:szCs w:val="13"/>
                <w:color w:val="auto"/>
              </w:rPr>
              <w:t>Square</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81"/>
        </w:trPr>
        <w:tc>
          <w:tcPr>
            <w:tcW w:w="16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White Marsh Plaza</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25,082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40" w:type="dxa"/>
            <w:vAlign w:val="bottom"/>
            <w:shd w:val="clear" w:color="auto" w:fill="CCEEFF"/>
          </w:tcPr>
          <w:p>
            <w:pPr>
              <w:spacing w:after="0"/>
              <w:rPr>
                <w:sz w:val="8"/>
                <w:szCs w:val="8"/>
                <w:color w:val="auto"/>
              </w:rPr>
            </w:pPr>
          </w:p>
        </w:tc>
      </w:tr>
      <w:tr>
        <w:trPr>
          <w:trHeight w:val="173"/>
        </w:trPr>
        <w:tc>
          <w:tcPr>
            <w:tcW w:w="1620" w:type="dxa"/>
            <w:vAlign w:val="bottom"/>
            <w:gridSpan w:val="6"/>
          </w:tcPr>
          <w:p>
            <w:pPr>
              <w:ind w:left="40"/>
              <w:spacing w:after="0"/>
              <w:rPr>
                <w:sz w:val="20"/>
                <w:szCs w:val="20"/>
                <w:color w:val="auto"/>
              </w:rPr>
            </w:pPr>
            <w:r>
              <w:rPr>
                <w:rFonts w:ascii="Arial" w:cs="Arial" w:eastAsia="Arial" w:hAnsi="Arial"/>
                <w:sz w:val="13"/>
                <w:szCs w:val="13"/>
                <w:color w:val="auto"/>
              </w:rPr>
              <w:t>White Marsh Other</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36,192</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70,000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4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324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Baltimore</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230,882</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1,141,000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4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8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173"/>
        </w:trPr>
        <w:tc>
          <w:tcPr>
            <w:tcW w:w="16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Crossroads</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30,824</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40" w:type="dxa"/>
            <w:vAlign w:val="bottom"/>
            <w:shd w:val="clear" w:color="auto" w:fill="CCEEFF"/>
          </w:tcPr>
          <w:p>
            <w:pPr>
              <w:spacing w:after="0"/>
              <w:rPr>
                <w:sz w:val="8"/>
                <w:szCs w:val="8"/>
                <w:color w:val="auto"/>
              </w:rPr>
            </w:pPr>
          </w:p>
        </w:tc>
      </w:tr>
      <w:tr>
        <w:trPr>
          <w:trHeight w:val="173"/>
        </w:trPr>
        <w:tc>
          <w:tcPr>
            <w:tcW w:w="1620" w:type="dxa"/>
            <w:vAlign w:val="bottom"/>
            <w:gridSpan w:val="6"/>
          </w:tcPr>
          <w:p>
            <w:pPr>
              <w:ind w:left="40"/>
              <w:spacing w:after="0"/>
              <w:rPr>
                <w:sz w:val="20"/>
                <w:szCs w:val="20"/>
                <w:color w:val="auto"/>
              </w:rPr>
            </w:pPr>
            <w:r>
              <w:rPr>
                <w:rFonts w:ascii="Arial" w:cs="Arial" w:eastAsia="Arial" w:hAnsi="Arial"/>
                <w:sz w:val="13"/>
                <w:szCs w:val="13"/>
                <w:color w:val="auto"/>
              </w:rPr>
              <w:t>Finley Square</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32,383</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315,000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196"/>
        </w:trPr>
        <w:tc>
          <w:tcPr>
            <w:tcW w:w="1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Garden Market</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12,566</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173"/>
        </w:trPr>
        <w:tc>
          <w:tcPr>
            <w:tcW w:w="1620" w:type="dxa"/>
            <w:vAlign w:val="bottom"/>
            <w:gridSpan w:val="6"/>
          </w:tcPr>
          <w:p>
            <w:pPr>
              <w:ind w:left="40"/>
              <w:spacing w:after="0"/>
              <w:rPr>
                <w:sz w:val="20"/>
                <w:szCs w:val="20"/>
                <w:color w:val="auto"/>
              </w:rPr>
            </w:pPr>
            <w:r>
              <w:rPr>
                <w:rFonts w:ascii="Arial" w:cs="Arial" w:eastAsia="Arial" w:hAnsi="Arial"/>
                <w:sz w:val="13"/>
                <w:szCs w:val="13"/>
                <w:color w:val="auto"/>
              </w:rPr>
              <w:t>North Lake Commons</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16,496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2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77,000</w:t>
            </w:r>
          </w:p>
        </w:tc>
        <w:tc>
          <w:tcPr>
            <w:tcW w:w="92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24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920" w:type="dxa"/>
            <w:vAlign w:val="bottom"/>
            <w:tcBorders>
              <w:bottom w:val="single" w:sz="8" w:color="CCEEFF"/>
            </w:tcBorders>
          </w:tcPr>
          <w:p>
            <w:pPr>
              <w:spacing w:after="0"/>
              <w:rPr>
                <w:sz w:val="8"/>
                <w:szCs w:val="8"/>
                <w:color w:val="auto"/>
              </w:rPr>
            </w:pPr>
          </w:p>
        </w:tc>
        <w:tc>
          <w:tcPr>
            <w:tcW w:w="324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Chicago</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92,269</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24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8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173"/>
        </w:trPr>
        <w:tc>
          <w:tcPr>
            <w:tcW w:w="162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Courtyard Shops</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Miami-Ft Lauderdale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40,317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49,000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32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40" w:type="dxa"/>
            <w:vAlign w:val="bottom"/>
            <w:shd w:val="clear" w:color="auto" w:fill="CCEEFF"/>
          </w:tcPr>
          <w:p>
            <w:pPr>
              <w:spacing w:after="0"/>
              <w:rPr>
                <w:sz w:val="8"/>
                <w:szCs w:val="8"/>
                <w:color w:val="auto"/>
              </w:rPr>
            </w:pPr>
          </w:p>
        </w:tc>
      </w:tr>
      <w:tr>
        <w:trPr>
          <w:trHeight w:val="173"/>
        </w:trPr>
        <w:tc>
          <w:tcPr>
            <w:tcW w:w="1620" w:type="dxa"/>
            <w:vAlign w:val="bottom"/>
            <w:gridSpan w:val="6"/>
          </w:tcPr>
          <w:p>
            <w:pPr>
              <w:ind w:left="40"/>
              <w:spacing w:after="0"/>
              <w:rPr>
                <w:sz w:val="20"/>
                <w:szCs w:val="20"/>
                <w:color w:val="auto"/>
              </w:rPr>
            </w:pPr>
            <w:r>
              <w:rPr>
                <w:rFonts w:ascii="Arial" w:cs="Arial" w:eastAsia="Arial" w:hAnsi="Arial"/>
                <w:sz w:val="13"/>
                <w:szCs w:val="13"/>
                <w:color w:val="auto"/>
              </w:rPr>
              <w:t>Del Mar Village</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Miami-Ft Lauderdale</w:t>
            </w:r>
          </w:p>
        </w:tc>
        <w:tc>
          <w:tcPr>
            <w:tcW w:w="68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55,639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179,000</w:t>
            </w:r>
          </w:p>
        </w:tc>
        <w:tc>
          <w:tcPr>
            <w:tcW w:w="520" w:type="dxa"/>
            <w:vAlign w:val="bottom"/>
          </w:tcPr>
          <w:p>
            <w:pPr>
              <w:jc w:val="right"/>
              <w:spacing w:after="0"/>
              <w:rPr>
                <w:sz w:val="20"/>
                <w:szCs w:val="20"/>
                <w:color w:val="auto"/>
              </w:rPr>
            </w:pPr>
            <w:r>
              <w:rPr>
                <w:rFonts w:ascii="Arial" w:cs="Arial" w:eastAsia="Arial" w:hAnsi="Arial"/>
                <w:sz w:val="13"/>
                <w:szCs w:val="13"/>
                <w:color w:val="auto"/>
              </w:rPr>
              <w:t>82%</w:t>
            </w:r>
          </w:p>
        </w:tc>
        <w:tc>
          <w:tcPr>
            <w:tcW w:w="600" w:type="dxa"/>
            <w:vAlign w:val="bottom"/>
          </w:tcPr>
          <w:p>
            <w:pPr>
              <w:ind w:left="60"/>
              <w:spacing w:after="0"/>
              <w:rPr>
                <w:sz w:val="20"/>
                <w:szCs w:val="20"/>
                <w:color w:val="auto"/>
              </w:rPr>
            </w:pPr>
            <w:r>
              <w:rPr>
                <w:rFonts w:ascii="Arial" w:cs="Arial" w:eastAsia="Arial" w:hAnsi="Arial"/>
                <w:sz w:val="13"/>
                <w:szCs w:val="13"/>
                <w:color w:val="auto"/>
              </w:rPr>
              <w:t>44,000</w:t>
            </w:r>
          </w:p>
        </w:tc>
        <w:tc>
          <w:tcPr>
            <w:tcW w:w="9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24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40" w:type="dxa"/>
            <w:vAlign w:val="bottom"/>
          </w:tcPr>
          <w:p>
            <w:pPr>
              <w:spacing w:after="0"/>
              <w:rPr>
                <w:sz w:val="3"/>
                <w:szCs w:val="3"/>
                <w:color w:val="auto"/>
              </w:rPr>
            </w:pPr>
          </w:p>
        </w:tc>
      </w:tr>
      <w:tr>
        <w:trPr>
          <w:trHeight w:val="148"/>
        </w:trPr>
        <w:tc>
          <w:tcPr>
            <w:tcW w:w="162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Tower Shops</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Miami-Ft Lauderdale</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77,540</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368,000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0"/>
              </w:rPr>
              <w:t>Best Buy / DSW / Old Navy / Ross Dress For Less / TJ Maxx</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Ulta</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173,496</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677,000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8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3240" w:type="dxa"/>
            <w:vAlign w:val="bottom"/>
            <w:tcBorders>
              <w:top w:val="single" w:sz="8" w:color="CCEEFF"/>
            </w:tcBorders>
            <w:shd w:val="clear" w:color="auto" w:fill="CCEEFF"/>
          </w:tcPr>
          <w:p>
            <w:pPr>
              <w:spacing w:after="0"/>
              <w:rPr>
                <w:sz w:val="8"/>
                <w:szCs w:val="8"/>
                <w:color w:val="auto"/>
              </w:rPr>
            </w:pPr>
          </w:p>
        </w:tc>
      </w:tr>
      <w:tr>
        <w:trPr>
          <w:trHeight w:val="148"/>
        </w:trPr>
        <w:tc>
          <w:tcPr>
            <w:tcW w:w="16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Barracks Road</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56,937</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37,580</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w w:val="98"/>
              </w:rPr>
              <w:t>Harris Teeter /</w:t>
            </w:r>
          </w:p>
        </w:tc>
        <w:tc>
          <w:tcPr>
            <w:tcW w:w="3240" w:type="dxa"/>
            <w:vAlign w:val="bottom"/>
          </w:tcPr>
          <w:p>
            <w:pPr>
              <w:ind w:left="60"/>
              <w:spacing w:after="0" w:line="148" w:lineRule="exact"/>
              <w:rPr>
                <w:sz w:val="20"/>
                <w:szCs w:val="20"/>
                <w:color w:val="auto"/>
              </w:rPr>
            </w:pPr>
            <w:r>
              <w:rPr>
                <w:rFonts w:ascii="Arial" w:cs="Arial" w:eastAsia="Arial" w:hAnsi="Arial"/>
                <w:sz w:val="13"/>
                <w:szCs w:val="13"/>
                <w:color w:val="auto"/>
                <w:w w:val="92"/>
              </w:rPr>
              <w:t>Anthropologie / Bed, Bath &amp; Beyond / Barnes &amp; Noble / Old</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Kroger</w:t>
            </w:r>
          </w:p>
        </w:tc>
        <w:tc>
          <w:tcPr>
            <w:tcW w:w="324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204"/>
        </w:trPr>
        <w:tc>
          <w:tcPr>
            <w:tcW w:w="1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Hartford, CT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29,301</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148"/>
        </w:trPr>
        <w:tc>
          <w:tcPr>
            <w:tcW w:w="162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Eastgate</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w w:val="98"/>
              </w:rPr>
              <w:t>Raleigh-Durham-Chapel</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26,769</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4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Hill, NC</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04"/>
        </w:trPr>
        <w:tc>
          <w:tcPr>
            <w:tcW w:w="1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Gratiot Plaza</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Detroit, MI</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19,054</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173"/>
        </w:trPr>
        <w:tc>
          <w:tcPr>
            <w:tcW w:w="1620" w:type="dxa"/>
            <w:vAlign w:val="bottom"/>
            <w:gridSpan w:val="6"/>
          </w:tcPr>
          <w:p>
            <w:pPr>
              <w:ind w:left="40"/>
              <w:spacing w:after="0"/>
              <w:rPr>
                <w:sz w:val="20"/>
                <w:szCs w:val="20"/>
                <w:color w:val="auto"/>
              </w:rPr>
            </w:pPr>
            <w:r>
              <w:rPr>
                <w:rFonts w:ascii="Arial" w:cs="Arial" w:eastAsia="Arial" w:hAnsi="Arial"/>
                <w:sz w:val="13"/>
                <w:szCs w:val="13"/>
                <w:color w:val="auto"/>
              </w:rPr>
              <w:t>Houston St</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San Antonio, TX</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62,554</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174,000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196"/>
        </w:trPr>
        <w:tc>
          <w:tcPr>
            <w:tcW w:w="1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Lancaster, PA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13,451</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73"/>
        </w:trPr>
        <w:tc>
          <w:tcPr>
            <w:tcW w:w="1620" w:type="dxa"/>
            <w:vAlign w:val="bottom"/>
            <w:gridSpan w:val="6"/>
          </w:tcPr>
          <w:p>
            <w:pPr>
              <w:ind w:left="40"/>
              <w:spacing w:after="0"/>
              <w:rPr>
                <w:sz w:val="20"/>
                <w:szCs w:val="20"/>
                <w:color w:val="auto"/>
              </w:rPr>
            </w:pPr>
            <w:r>
              <w:rPr>
                <w:rFonts w:ascii="Arial" w:cs="Arial" w:eastAsia="Arial" w:hAnsi="Arial"/>
                <w:sz w:val="13"/>
                <w:szCs w:val="13"/>
                <w:color w:val="auto"/>
                <w:w w:val="92"/>
              </w:rPr>
              <w:t>29th Place (Shoppers' World)</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39,472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5,204</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16"/>
        </w:trPr>
        <w:tc>
          <w:tcPr>
            <w:tcW w:w="1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Shops at Willow Lawn</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1"/>
              </w:rPr>
              <w:t>Richmond-Petersburg, VA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80,278</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439,000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Other</w:t>
            </w:r>
          </w:p>
        </w:tc>
        <w:tc>
          <w:tcPr>
            <w:tcW w:w="68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327,816</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2,032,000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40" w:type="dxa"/>
            <w:vAlign w:val="bottom"/>
          </w:tcPr>
          <w:p>
            <w:pPr>
              <w:spacing w:after="0"/>
              <w:rPr>
                <w:sz w:val="7"/>
                <w:szCs w:val="7"/>
                <w:color w:val="auto"/>
              </w:rPr>
            </w:pPr>
          </w:p>
        </w:tc>
      </w:tr>
      <w:tr>
        <w:trPr>
          <w:trHeight w:val="216"/>
        </w:trPr>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18"/>
                <w:szCs w:val="18"/>
                <w:color w:val="auto"/>
              </w:rPr>
            </w:pPr>
          </w:p>
        </w:tc>
      </w:tr>
      <w:tr>
        <w:trPr>
          <w:trHeight w:val="167"/>
        </w:trPr>
        <w:tc>
          <w:tcPr>
            <w:tcW w:w="1620" w:type="dxa"/>
            <w:vAlign w:val="bottom"/>
            <w:gridSpan w:val="6"/>
          </w:tcPr>
          <w:p>
            <w:pPr>
              <w:ind w:left="40"/>
              <w:spacing w:after="0"/>
              <w:rPr>
                <w:sz w:val="20"/>
                <w:szCs w:val="20"/>
                <w:color w:val="auto"/>
              </w:rPr>
            </w:pPr>
            <w:r>
              <w:rPr>
                <w:rFonts w:ascii="Arial" w:cs="Arial" w:eastAsia="Arial" w:hAnsi="Arial"/>
                <w:sz w:val="13"/>
                <w:szCs w:val="13"/>
                <w:b w:val="1"/>
                <w:bCs w:val="1"/>
                <w:color w:val="auto"/>
              </w:rPr>
              <w:t>Grand Total</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$ 4,951,919</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$ 785,142</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19,581,000</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3"/>
                <w:szCs w:val="13"/>
                <w:color w:val="auto"/>
              </w:rPr>
              <w:t>Notes:</w:t>
            </w:r>
          </w:p>
        </w:tc>
        <w:tc>
          <w:tcPr>
            <w:tcW w:w="10260" w:type="dxa"/>
            <w:vAlign w:val="bottom"/>
          </w:tcPr>
          <w:p>
            <w:pPr>
              <w:spacing w:after="0"/>
              <w:rPr>
                <w:sz w:val="12"/>
                <w:szCs w:val="12"/>
                <w:color w:val="auto"/>
              </w:rPr>
            </w:pPr>
          </w:p>
        </w:tc>
      </w:tr>
      <w:tr>
        <w:trPr>
          <w:trHeight w:val="194"/>
        </w:trPr>
        <w:tc>
          <w:tcPr>
            <w:tcW w:w="3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92"/>
              </w:rPr>
              <w:t>The mortgage or capital lease obligations differ from the total reported on the consolidated balance sheet due to the unamortized discount or premium on certain mortgage payables.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(2)</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Excludes newly created redevelopment square footage not yet in service, as well as residential and hotel square footage.</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Portion of property subject to capital lease obligation.</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(4)</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The Trust has a controlling financial interest in this property.</w:t>
            </w:r>
          </w:p>
        </w:tc>
      </w:tr>
      <w:tr>
        <w:trPr>
          <w:trHeight w:val="164"/>
        </w:trPr>
        <w:tc>
          <w:tcPr>
            <w:tcW w:w="320" w:type="dxa"/>
            <w:vAlign w:val="bottom"/>
          </w:tcPr>
          <w:p>
            <w:pPr>
              <w:spacing w:after="0"/>
              <w:rPr>
                <w:sz w:val="20"/>
                <w:szCs w:val="20"/>
                <w:color w:val="auto"/>
              </w:rPr>
            </w:pPr>
            <w:r>
              <w:rPr>
                <w:rFonts w:ascii="Arial" w:cs="Arial" w:eastAsia="Arial" w:hAnsi="Arial"/>
                <w:sz w:val="13"/>
                <w:szCs w:val="13"/>
                <w:color w:val="auto"/>
              </w:rPr>
              <w:t>(5)</w:t>
            </w:r>
          </w:p>
        </w:tc>
        <w:tc>
          <w:tcPr>
            <w:tcW w:w="640" w:type="dxa"/>
            <w:vAlign w:val="bottom"/>
          </w:tcPr>
          <w:p>
            <w:pPr>
              <w:spacing w:after="0"/>
              <w:rPr>
                <w:sz w:val="14"/>
                <w:szCs w:val="14"/>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90"/>
              </w:rPr>
              <w:t>All or a portion of the property is owned in a "downreit" partnership, of which a wholly owned subsidiary of the Trust is the sole general partner, with third party partners holding operating</w:t>
            </w: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partnership units.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Includes a 100% owned, 8.1 acre land parcel to be used for future development.</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(7)</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Property subject to capital lease obligation.</w:t>
            </w:r>
          </w:p>
        </w:tc>
      </w:tr>
      <w:tr>
        <w:trPr>
          <w:trHeight w:val="164"/>
        </w:trPr>
        <w:tc>
          <w:tcPr>
            <w:tcW w:w="320" w:type="dxa"/>
            <w:vAlign w:val="bottom"/>
          </w:tcPr>
          <w:p>
            <w:pPr>
              <w:spacing w:after="0"/>
              <w:rPr>
                <w:sz w:val="20"/>
                <w:szCs w:val="20"/>
                <w:color w:val="auto"/>
              </w:rPr>
            </w:pPr>
            <w:r>
              <w:rPr>
                <w:rFonts w:ascii="Arial" w:cs="Arial" w:eastAsia="Arial" w:hAnsi="Arial"/>
                <w:sz w:val="13"/>
                <w:szCs w:val="13"/>
                <w:color w:val="auto"/>
              </w:rPr>
              <w:t>(8)</w:t>
            </w:r>
          </w:p>
        </w:tc>
        <w:tc>
          <w:tcPr>
            <w:tcW w:w="640" w:type="dxa"/>
            <w:vAlign w:val="bottom"/>
          </w:tcPr>
          <w:p>
            <w:pPr>
              <w:spacing w:after="0"/>
              <w:rPr>
                <w:sz w:val="14"/>
                <w:szCs w:val="14"/>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88"/>
              </w:rPr>
              <w:t>On October 16, 2006, the Trust acquired control of Melville Mall through a 20 year master lease and secondary financing. Since the Trust controls this property and retains substantially all of</w:t>
            </w: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the economic benefit and risks associated with it, we consolidate this property and its operations.</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2013</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7"/>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16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Prior Rent</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 Increase</w:t>
            </w: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Tenant</w:t>
            </w:r>
          </w:p>
        </w:tc>
        <w:tc>
          <w:tcPr>
            <w:tcW w:w="120" w:type="dxa"/>
            <w:vAlign w:val="bottom"/>
          </w:tcPr>
          <w:p>
            <w:pPr>
              <w:spacing w:after="0"/>
              <w:rPr>
                <w:sz w:val="10"/>
                <w:szCs w:val="10"/>
                <w:color w:val="auto"/>
              </w:rPr>
            </w:pPr>
          </w:p>
        </w:tc>
        <w:tc>
          <w:tcPr>
            <w:tcW w:w="900" w:type="dxa"/>
            <w:vAlign w:val="bottom"/>
          </w:tcPr>
          <w:p>
            <w:pPr>
              <w:jc w:val="right"/>
              <w:ind w:right="57"/>
              <w:spacing w:after="0" w:line="122" w:lineRule="exact"/>
              <w:rPr>
                <w:sz w:val="20"/>
                <w:szCs w:val="20"/>
                <w:color w:val="auto"/>
              </w:rPr>
            </w:pPr>
            <w:r>
              <w:rPr>
                <w:rFonts w:ascii="Arial" w:cs="Arial" w:eastAsia="Arial" w:hAnsi="Arial"/>
                <w:sz w:val="11"/>
                <w:szCs w:val="11"/>
                <w:b w:val="1"/>
                <w:bCs w:val="1"/>
                <w:color w:val="auto"/>
                <w:w w:val="88"/>
              </w:rPr>
              <w:t>Improvements &amp;</w:t>
            </w:r>
          </w:p>
        </w:tc>
      </w:tr>
      <w:tr>
        <w:trPr>
          <w:trHeight w:val="122"/>
        </w:trPr>
        <w:tc>
          <w:tcPr>
            <w:tcW w:w="16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(4) Per Sq.</w:t>
            </w:r>
          </w:p>
        </w:tc>
        <w:tc>
          <w:tcPr>
            <w:tcW w:w="10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Leases Signed</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Ft.</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in Rent</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2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Arial" w:cs="Arial" w:eastAsia="Arial" w:hAnsi="Arial"/>
                <w:sz w:val="11"/>
                <w:szCs w:val="11"/>
                <w:b w:val="1"/>
                <w:bCs w:val="1"/>
                <w:color w:val="auto"/>
              </w:rPr>
              <w:t>Ft.</w:t>
            </w:r>
          </w:p>
        </w:tc>
      </w:tr>
      <w:tr>
        <w:trPr>
          <w:trHeight w:val="22"/>
        </w:trPr>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2nd Quarter 2013 (7)</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470,832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31.10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color w:val="auto"/>
                <w:w w:val="88"/>
              </w:rPr>
              <w:t>$27.00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w w:val="96"/>
              </w:rPr>
              <w:t>1,929,092</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12,686,843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26.95</w:t>
            </w:r>
          </w:p>
        </w:tc>
      </w:tr>
      <w:tr>
        <w:trPr>
          <w:trHeight w:val="263"/>
        </w:trPr>
        <w:tc>
          <w:tcPr>
            <w:tcW w:w="1620" w:type="dxa"/>
            <w:vAlign w:val="bottom"/>
          </w:tcPr>
          <w:p>
            <w:pPr>
              <w:ind w:left="40"/>
              <w:spacing w:after="0"/>
              <w:rPr>
                <w:sz w:val="20"/>
                <w:szCs w:val="20"/>
                <w:color w:val="auto"/>
              </w:rPr>
            </w:pPr>
            <w:r>
              <w:rPr>
                <w:rFonts w:ascii="Arial" w:cs="Arial" w:eastAsia="Arial" w:hAnsi="Arial"/>
                <w:sz w:val="14"/>
                <w:szCs w:val="14"/>
                <w:color w:val="auto"/>
              </w:rPr>
              <w:t>1st Quarter 2013</w:t>
            </w: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254,282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7"/>
              <w:spacing w:after="0"/>
              <w:rPr>
                <w:sz w:val="20"/>
                <w:szCs w:val="20"/>
                <w:color w:val="auto"/>
              </w:rPr>
            </w:pPr>
            <w:r>
              <w:rPr>
                <w:rFonts w:ascii="Arial" w:cs="Arial" w:eastAsia="Arial" w:hAnsi="Arial"/>
                <w:sz w:val="14"/>
                <w:szCs w:val="14"/>
                <w:color w:val="auto"/>
              </w:rPr>
              <w:t>35.78</w:t>
            </w:r>
          </w:p>
        </w:tc>
        <w:tc>
          <w:tcPr>
            <w:tcW w:w="10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color w:val="auto"/>
                <w:w w:val="88"/>
              </w:rPr>
              <w:t>$31.89</w:t>
            </w:r>
          </w:p>
        </w:tc>
        <w:tc>
          <w:tcPr>
            <w:tcW w:w="100" w:type="dxa"/>
            <w:vAlign w:val="bottom"/>
          </w:tcPr>
          <w:p>
            <w:pPr>
              <w:spacing w:after="0"/>
              <w:rPr>
                <w:sz w:val="22"/>
                <w:szCs w:val="22"/>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4"/>
              <w:spacing w:after="0"/>
              <w:rPr>
                <w:sz w:val="20"/>
                <w:szCs w:val="20"/>
                <w:color w:val="auto"/>
              </w:rPr>
            </w:pPr>
            <w:r>
              <w:rPr>
                <w:rFonts w:ascii="Arial" w:cs="Arial" w:eastAsia="Arial" w:hAnsi="Arial"/>
                <w:sz w:val="14"/>
                <w:szCs w:val="14"/>
                <w:color w:val="auto"/>
              </w:rPr>
              <w:t>989,501</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7"/>
              <w:spacing w:after="0"/>
              <w:rPr>
                <w:sz w:val="20"/>
                <w:szCs w:val="20"/>
                <w:color w:val="auto"/>
              </w:rPr>
            </w:pPr>
            <w:r>
              <w:rPr>
                <w:rFonts w:ascii="Arial" w:cs="Arial" w:eastAsia="Arial" w:hAnsi="Arial"/>
                <w:sz w:val="14"/>
                <w:szCs w:val="14"/>
                <w:color w:val="auto"/>
              </w:rPr>
              <w:t>7,291,311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28.67</w:t>
            </w:r>
          </w:p>
        </w:tc>
      </w:tr>
      <w:tr>
        <w:trPr>
          <w:trHeight w:val="277"/>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4th Quarter 2012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478,913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32.17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color w:val="auto"/>
                <w:w w:val="88"/>
              </w:rPr>
              <w:t>$28.71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w w:val="96"/>
              </w:rPr>
              <w:t>1,657,748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7,982,782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16.67</w:t>
            </w:r>
          </w:p>
        </w:tc>
      </w:tr>
      <w:tr>
        <w:trPr>
          <w:trHeight w:val="264"/>
        </w:trPr>
        <w:tc>
          <w:tcPr>
            <w:tcW w:w="1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3rd Quarter 2012</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504,082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28.43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w w:val="88"/>
              </w:rPr>
              <w:t>$25.63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6"/>
              </w:rPr>
              <w:t>1,411,774</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8,591,532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17.04</w:t>
            </w:r>
          </w:p>
        </w:tc>
      </w:tr>
      <w:tr>
        <w:trPr>
          <w:trHeight w:val="243"/>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w w:val="89"/>
              </w:rPr>
              <w:t>1,708,109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4"/>
                <w:szCs w:val="14"/>
                <w:color w:val="auto"/>
                <w:w w:val="88"/>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w w:val="96"/>
              </w:rPr>
              <w:t>5,988,115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36,552,468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21.40</w:t>
            </w:r>
          </w:p>
        </w:tc>
      </w:tr>
      <w:tr>
        <w:trPr>
          <w:trHeight w:val="20"/>
        </w:trPr>
        <w:tc>
          <w:tcPr>
            <w:tcW w:w="1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5"/>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w w:val="92"/>
              </w:rPr>
              <w:t>Adjusted 2nd Quarter 2013</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1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i w:val="1"/>
                <w:iCs w:val="1"/>
                <w:color w:val="auto"/>
              </w:rPr>
              <w:t>102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4"/>
                <w:szCs w:val="14"/>
                <w:i w:val="1"/>
                <w:iCs w:val="1"/>
                <w:color w:val="auto"/>
              </w:rPr>
              <w:t>446,334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i w:val="1"/>
                <w:iCs w:val="1"/>
                <w:color w:val="auto"/>
              </w:rPr>
              <w:t>30.96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i w:val="1"/>
                <w:iCs w:val="1"/>
                <w:color w:val="auto"/>
                <w:w w:val="88"/>
              </w:rPr>
              <w:t>$25.42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4"/>
                <w:szCs w:val="14"/>
                <w:i w:val="1"/>
                <w:iCs w:val="1"/>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4"/>
                <w:szCs w:val="14"/>
                <w:i w:val="1"/>
                <w:iCs w:val="1"/>
                <w:color w:val="auto"/>
                <w:w w:val="96"/>
              </w:rPr>
              <w:t>2,476,132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22 %</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i w:val="1"/>
                <w:iCs w:val="1"/>
                <w:color w:val="auto"/>
              </w:rPr>
              <w:t>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i w:val="1"/>
                <w:iCs w:val="1"/>
                <w:color w:val="auto"/>
              </w:rPr>
              <w:t>8,518,843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i w:val="1"/>
                <w:iCs w:val="1"/>
                <w:color w:val="auto"/>
              </w:rPr>
              <w:t>19.09</w:t>
            </w: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New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7"/>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Tenant</w:t>
            </w:r>
          </w:p>
        </w:tc>
        <w:tc>
          <w:tcPr>
            <w:tcW w:w="120" w:type="dxa"/>
            <w:vAlign w:val="bottom"/>
          </w:tcPr>
          <w:p>
            <w:pPr>
              <w:spacing w:after="0"/>
              <w:rPr>
                <w:sz w:val="10"/>
                <w:szCs w:val="10"/>
                <w:color w:val="auto"/>
              </w:rPr>
            </w:pPr>
          </w:p>
        </w:tc>
        <w:tc>
          <w:tcPr>
            <w:tcW w:w="90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0" w:type="dxa"/>
            <w:vAlign w:val="bottom"/>
          </w:tcPr>
          <w:p>
            <w:pPr>
              <w:spacing w:after="0"/>
              <w:rPr>
                <w:sz w:val="12"/>
                <w:szCs w:val="12"/>
                <w:color w:val="auto"/>
              </w:rPr>
            </w:pPr>
          </w:p>
        </w:tc>
        <w:tc>
          <w:tcPr>
            <w:tcW w:w="1580" w:type="dxa"/>
            <w:vAlign w:val="bottom"/>
          </w:tcPr>
          <w:p>
            <w:pPr>
              <w:ind w:left="580"/>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3"/>
              </w:rPr>
              <w:t>Leases Signed</w:t>
            </w:r>
          </w:p>
        </w:tc>
        <w:tc>
          <w:tcPr>
            <w:tcW w:w="9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Ft.</w:t>
            </w:r>
          </w:p>
        </w:tc>
        <w:tc>
          <w:tcPr>
            <w:tcW w:w="180" w:type="dxa"/>
            <w:vAlign w:val="bottom"/>
          </w:tcPr>
          <w:p>
            <w:pPr>
              <w:spacing w:after="0"/>
              <w:rPr>
                <w:sz w:val="12"/>
                <w:szCs w:val="12"/>
                <w:color w:val="auto"/>
              </w:rPr>
            </w:pPr>
          </w:p>
        </w:tc>
        <w:tc>
          <w:tcPr>
            <w:tcW w:w="720" w:type="dxa"/>
            <w:vAlign w:val="bottom"/>
          </w:tcPr>
          <w:p>
            <w:pPr>
              <w:jc w:val="center"/>
              <w:ind w:right="115"/>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2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Arial" w:cs="Arial" w:eastAsia="Arial" w:hAnsi="Arial"/>
                <w:sz w:val="11"/>
                <w:szCs w:val="11"/>
                <w:b w:val="1"/>
                <w:bCs w:val="1"/>
                <w:color w:val="auto"/>
              </w:rPr>
              <w:t>Ft.</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2nd Quarter 2013</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258,042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31.51</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color w:val="auto"/>
                <w:w w:val="88"/>
              </w:rPr>
              <w:t>$25.40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96"/>
              </w:rPr>
              <w:t>1,575,766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12,667,743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49.09</w:t>
            </w:r>
          </w:p>
        </w:tc>
      </w:tr>
      <w:tr>
        <w:trPr>
          <w:trHeight w:val="263"/>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1st Quarter 2013</w:t>
            </w: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138,922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7"/>
              <w:spacing w:after="0"/>
              <w:rPr>
                <w:sz w:val="20"/>
                <w:szCs w:val="20"/>
                <w:color w:val="auto"/>
              </w:rPr>
            </w:pPr>
            <w:r>
              <w:rPr>
                <w:rFonts w:ascii="Arial" w:cs="Arial" w:eastAsia="Arial" w:hAnsi="Arial"/>
                <w:sz w:val="14"/>
                <w:szCs w:val="14"/>
                <w:color w:val="auto"/>
              </w:rPr>
              <w:t>29.47</w:t>
            </w:r>
          </w:p>
        </w:tc>
        <w:tc>
          <w:tcPr>
            <w:tcW w:w="10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color w:val="auto"/>
                <w:w w:val="88"/>
              </w:rPr>
              <w:t>$23.69</w:t>
            </w:r>
          </w:p>
        </w:tc>
        <w:tc>
          <w:tcPr>
            <w:tcW w:w="100" w:type="dxa"/>
            <w:vAlign w:val="bottom"/>
          </w:tcPr>
          <w:p>
            <w:pPr>
              <w:spacing w:after="0"/>
              <w:rPr>
                <w:sz w:val="22"/>
                <w:szCs w:val="22"/>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5"/>
              <w:spacing w:after="0"/>
              <w:rPr>
                <w:sz w:val="20"/>
                <w:szCs w:val="20"/>
                <w:color w:val="auto"/>
              </w:rPr>
            </w:pPr>
            <w:r>
              <w:rPr>
                <w:rFonts w:ascii="Arial" w:cs="Arial" w:eastAsia="Arial" w:hAnsi="Arial"/>
                <w:sz w:val="14"/>
                <w:szCs w:val="14"/>
                <w:color w:val="auto"/>
              </w:rPr>
              <w:t>803,391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7"/>
              <w:spacing w:after="0"/>
              <w:rPr>
                <w:sz w:val="20"/>
                <w:szCs w:val="20"/>
                <w:color w:val="auto"/>
              </w:rPr>
            </w:pPr>
            <w:r>
              <w:rPr>
                <w:rFonts w:ascii="Arial" w:cs="Arial" w:eastAsia="Arial" w:hAnsi="Arial"/>
                <w:sz w:val="14"/>
                <w:szCs w:val="14"/>
                <w:color w:val="auto"/>
              </w:rPr>
              <w:t>7,278,811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52.39</w:t>
            </w:r>
          </w:p>
        </w:tc>
      </w:tr>
      <w:tr>
        <w:trPr>
          <w:trHeight w:val="277"/>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4th Quarter 2012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191,780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36.20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color w:val="auto"/>
                <w:w w:val="88"/>
              </w:rPr>
              <w:t>$29.77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96"/>
              </w:rPr>
              <w:t>1,232,998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7,537,155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39.30</w:t>
            </w:r>
          </w:p>
        </w:tc>
      </w:tr>
      <w:tr>
        <w:trPr>
          <w:trHeight w:val="264"/>
        </w:trPr>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3rd Quarter 2012</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271,280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27.41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w w:val="88"/>
              </w:rPr>
              <w:t>$21.91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6"/>
              </w:rPr>
              <w:t>1,493,101</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8,428,716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31.07</w:t>
            </w:r>
          </w:p>
        </w:tc>
      </w:tr>
      <w:tr>
        <w:trPr>
          <w:trHeight w:val="256"/>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860,024</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30.93</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4"/>
                <w:szCs w:val="14"/>
                <w:color w:val="auto"/>
                <w:w w:val="88"/>
              </w:rPr>
              <w:t>$25.00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96"/>
              </w:rPr>
              <w:t>5,105,256</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35,912,425</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41.76</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5"/>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w w:val="92"/>
              </w:rPr>
              <w:t>Adjusted 2nd Quarter 2013</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i w:val="1"/>
                <w:iCs w:val="1"/>
                <w:color w:val="auto"/>
              </w:rPr>
              <w:t>48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i w:val="1"/>
                <w:iCs w:val="1"/>
                <w:color w:val="auto"/>
              </w:rPr>
              <w:t>233,544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i w:val="1"/>
                <w:iCs w:val="1"/>
                <w:color w:val="auto"/>
              </w:rPr>
              <w:t>31.30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i w:val="1"/>
                <w:iCs w:val="1"/>
                <w:color w:val="auto"/>
                <w:w w:val="88"/>
              </w:rPr>
              <w:t>$22.21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i w:val="1"/>
                <w:iCs w:val="1"/>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i w:val="1"/>
                <w:iCs w:val="1"/>
                <w:color w:val="auto"/>
                <w:w w:val="96"/>
              </w:rPr>
              <w:t>2,122,806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i w:val="1"/>
                <w:iCs w:val="1"/>
                <w:color w:val="auto"/>
              </w:rPr>
              <w:t>41 %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i w:val="1"/>
                <w:iCs w:val="1"/>
                <w:color w:val="auto"/>
              </w:rPr>
              <w:t>10.2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i w:val="1"/>
                <w:iCs w:val="1"/>
                <w:color w:val="auto"/>
              </w:rPr>
              <w:t>8,499,743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i w:val="1"/>
                <w:iCs w:val="1"/>
                <w:color w:val="auto"/>
              </w:rPr>
              <w:t>36.39</w:t>
            </w:r>
          </w:p>
        </w:tc>
      </w:tr>
      <w:tr>
        <w:trPr>
          <w:trHeight w:val="351"/>
        </w:trPr>
        <w:tc>
          <w:tcPr>
            <w:tcW w:w="3260" w:type="dxa"/>
            <w:vAlign w:val="bottom"/>
            <w:gridSpan w:val="7"/>
          </w:tcPr>
          <w:p>
            <w:pPr>
              <w:ind w:left="40"/>
              <w:spacing w:after="0"/>
              <w:rPr>
                <w:sz w:val="20"/>
                <w:szCs w:val="20"/>
                <w:color w:val="auto"/>
              </w:rPr>
            </w:pPr>
            <w:r>
              <w:rPr>
                <w:rFonts w:ascii="Arial" w:cs="Arial" w:eastAsia="Arial" w:hAnsi="Arial"/>
                <w:sz w:val="14"/>
                <w:szCs w:val="14"/>
                <w:b w:val="1"/>
                <w:bCs w:val="1"/>
                <w:color w:val="auto"/>
              </w:rPr>
              <w:t>Renewal Lease Summary - Comparable (2) (9)</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Tenant</w:t>
            </w:r>
          </w:p>
        </w:tc>
        <w:tc>
          <w:tcPr>
            <w:tcW w:w="120" w:type="dxa"/>
            <w:vAlign w:val="bottom"/>
          </w:tcPr>
          <w:p>
            <w:pPr>
              <w:spacing w:after="0"/>
              <w:rPr>
                <w:sz w:val="10"/>
                <w:szCs w:val="10"/>
                <w:color w:val="auto"/>
              </w:rPr>
            </w:pPr>
          </w:p>
        </w:tc>
        <w:tc>
          <w:tcPr>
            <w:tcW w:w="90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0" w:type="dxa"/>
            <w:vAlign w:val="bottom"/>
          </w:tcPr>
          <w:p>
            <w:pPr>
              <w:spacing w:after="0"/>
              <w:rPr>
                <w:sz w:val="12"/>
                <w:szCs w:val="12"/>
                <w:color w:val="auto"/>
              </w:rPr>
            </w:pPr>
          </w:p>
        </w:tc>
        <w:tc>
          <w:tcPr>
            <w:tcW w:w="1580" w:type="dxa"/>
            <w:vAlign w:val="bottom"/>
          </w:tcPr>
          <w:p>
            <w:pPr>
              <w:ind w:left="580"/>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3"/>
              </w:rPr>
              <w:t>Leases Signed</w:t>
            </w:r>
          </w:p>
        </w:tc>
        <w:tc>
          <w:tcPr>
            <w:tcW w:w="9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Ft.</w:t>
            </w:r>
          </w:p>
        </w:tc>
        <w:tc>
          <w:tcPr>
            <w:tcW w:w="180" w:type="dxa"/>
            <w:vAlign w:val="bottom"/>
          </w:tcPr>
          <w:p>
            <w:pPr>
              <w:spacing w:after="0"/>
              <w:rPr>
                <w:sz w:val="12"/>
                <w:szCs w:val="12"/>
                <w:color w:val="auto"/>
              </w:rPr>
            </w:pPr>
          </w:p>
        </w:tc>
        <w:tc>
          <w:tcPr>
            <w:tcW w:w="720" w:type="dxa"/>
            <w:vAlign w:val="bottom"/>
          </w:tcPr>
          <w:p>
            <w:pPr>
              <w:jc w:val="center"/>
              <w:ind w:right="115"/>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2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Arial" w:cs="Arial" w:eastAsia="Arial" w:hAnsi="Arial"/>
                <w:sz w:val="11"/>
                <w:szCs w:val="11"/>
                <w:b w:val="1"/>
                <w:bCs w:val="1"/>
                <w:color w:val="auto"/>
              </w:rPr>
              <w:t>Ft.</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2nd Quarter 2013</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212,790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30.60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color w:val="auto"/>
                <w:w w:val="88"/>
              </w:rPr>
              <w:t>$28.94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353,326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19,100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0.09</w:t>
            </w:r>
          </w:p>
        </w:tc>
      </w:tr>
      <w:tr>
        <w:trPr>
          <w:trHeight w:val="263"/>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1st Quarter 2013</w:t>
            </w:r>
          </w:p>
        </w:tc>
        <w:tc>
          <w:tcPr>
            <w:tcW w:w="580" w:type="dxa"/>
            <w:vAlign w:val="bottom"/>
          </w:tcPr>
          <w:p>
            <w:pPr>
              <w:jc w:val="right"/>
              <w:ind w:right="57"/>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780" w:type="dxa"/>
            <w:vAlign w:val="bottom"/>
          </w:tcPr>
          <w:p>
            <w:pPr>
              <w:jc w:val="right"/>
              <w:ind w:right="35"/>
              <w:spacing w:after="0"/>
              <w:rPr>
                <w:sz w:val="20"/>
                <w:szCs w:val="20"/>
                <w:color w:val="auto"/>
              </w:rPr>
            </w:pPr>
            <w:r>
              <w:rPr>
                <w:rFonts w:ascii="Arial" w:cs="Arial" w:eastAsia="Arial" w:hAnsi="Arial"/>
                <w:sz w:val="14"/>
                <w:szCs w:val="14"/>
                <w:color w:val="auto"/>
              </w:rPr>
              <w:t>115,360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57"/>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color w:val="auto"/>
                <w:w w:val="88"/>
              </w:rPr>
              <w:t>$41.77</w:t>
            </w:r>
          </w:p>
        </w:tc>
        <w:tc>
          <w:tcPr>
            <w:tcW w:w="100" w:type="dxa"/>
            <w:vAlign w:val="bottom"/>
          </w:tcPr>
          <w:p>
            <w:pPr>
              <w:spacing w:after="0"/>
              <w:rPr>
                <w:sz w:val="22"/>
                <w:szCs w:val="22"/>
                <w:color w:val="auto"/>
              </w:rPr>
            </w:pPr>
          </w:p>
        </w:tc>
        <w:tc>
          <w:tcPr>
            <w:tcW w:w="180" w:type="dxa"/>
            <w:vAlign w:val="bottom"/>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5"/>
              <w:spacing w:after="0"/>
              <w:rPr>
                <w:sz w:val="20"/>
                <w:szCs w:val="20"/>
                <w:color w:val="auto"/>
              </w:rPr>
            </w:pPr>
            <w:r>
              <w:rPr>
                <w:rFonts w:ascii="Arial" w:cs="Arial" w:eastAsia="Arial" w:hAnsi="Arial"/>
                <w:sz w:val="14"/>
                <w:szCs w:val="14"/>
                <w:color w:val="auto"/>
              </w:rPr>
              <w:t>186,110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7"/>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0.11</w:t>
            </w:r>
          </w:p>
        </w:tc>
      </w:tr>
      <w:tr>
        <w:trPr>
          <w:trHeight w:val="277"/>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4th Quarter 2012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287,133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29.48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17"/>
              <w:spacing w:after="0"/>
              <w:rPr>
                <w:sz w:val="20"/>
                <w:szCs w:val="20"/>
                <w:color w:val="auto"/>
              </w:rPr>
            </w:pPr>
            <w:r>
              <w:rPr>
                <w:rFonts w:ascii="Arial" w:cs="Arial" w:eastAsia="Arial" w:hAnsi="Arial"/>
                <w:sz w:val="14"/>
                <w:szCs w:val="14"/>
                <w:color w:val="auto"/>
                <w:w w:val="88"/>
              </w:rPr>
              <w:t>$28.00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424,750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445,627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1.55</w:t>
            </w:r>
          </w:p>
        </w:tc>
      </w:tr>
      <w:tr>
        <w:trPr>
          <w:trHeight w:val="264"/>
        </w:trPr>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3rd Quarter 2012</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232,802</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29.61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w w:val="88"/>
              </w:rPr>
              <w:t>$29.96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(81,327)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162,816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0.70</w:t>
            </w:r>
          </w:p>
        </w:tc>
      </w:tr>
      <w:tr>
        <w:trPr>
          <w:trHeight w:val="243"/>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848,085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4"/>
                <w:szCs w:val="14"/>
                <w:color w:val="auto"/>
                <w:w w:val="88"/>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882,859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640,043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0.75</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4160" w:type="dxa"/>
            <w:vAlign w:val="bottom"/>
            <w:gridSpan w:val="10"/>
          </w:tcPr>
          <w:p>
            <w:pPr>
              <w:ind w:left="40"/>
              <w:spacing w:after="0"/>
              <w:rPr>
                <w:sz w:val="20"/>
                <w:szCs w:val="20"/>
                <w:color w:val="auto"/>
              </w:rPr>
            </w:pPr>
            <w:r>
              <w:rPr>
                <w:rFonts w:ascii="Arial" w:cs="Arial" w:eastAsia="Arial" w:hAnsi="Arial"/>
                <w:sz w:val="14"/>
                <w:szCs w:val="14"/>
                <w:b w:val="1"/>
                <w:bCs w:val="1"/>
                <w:color w:val="auto"/>
                <w:w w:val="95"/>
              </w:rPr>
              <w:t>Total Lease Summary - Comparable and Non-comparable (2) (10)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4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Number of</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Tenant</w:t>
            </w:r>
          </w:p>
        </w:tc>
        <w:tc>
          <w:tcPr>
            <w:tcW w:w="120" w:type="dxa"/>
            <w:vAlign w:val="bottom"/>
          </w:tcPr>
          <w:p>
            <w:pPr>
              <w:spacing w:after="0"/>
              <w:rPr>
                <w:sz w:val="10"/>
                <w:szCs w:val="10"/>
                <w:color w:val="auto"/>
              </w:rPr>
            </w:pPr>
          </w:p>
        </w:tc>
        <w:tc>
          <w:tcPr>
            <w:tcW w:w="90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0"/>
              </w:rPr>
              <w:t>Leases</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Improvements &amp;</w:t>
            </w:r>
          </w:p>
        </w:tc>
        <w:tc>
          <w:tcPr>
            <w:tcW w:w="10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40" w:type="dxa"/>
            <w:vAlign w:val="bottom"/>
          </w:tcPr>
          <w:p>
            <w:pPr>
              <w:spacing w:after="0"/>
              <w:rPr>
                <w:sz w:val="12"/>
                <w:szCs w:val="12"/>
                <w:color w:val="auto"/>
              </w:rPr>
            </w:pPr>
          </w:p>
        </w:tc>
        <w:tc>
          <w:tcPr>
            <w:tcW w:w="1580" w:type="dxa"/>
            <w:vAlign w:val="bottom"/>
          </w:tcPr>
          <w:p>
            <w:pPr>
              <w:ind w:left="580"/>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80" w:type="dxa"/>
            <w:vAlign w:val="bottom"/>
          </w:tcPr>
          <w:p>
            <w:pPr>
              <w:spacing w:after="0"/>
              <w:rPr>
                <w:sz w:val="12"/>
                <w:szCs w:val="12"/>
                <w:color w:val="auto"/>
              </w:rPr>
            </w:pPr>
          </w:p>
        </w:tc>
        <w:tc>
          <w:tcPr>
            <w:tcW w:w="1580" w:type="dxa"/>
            <w:vAlign w:val="bottom"/>
            <w:gridSpan w:val="4"/>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2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Arial" w:cs="Arial" w:eastAsia="Arial" w:hAnsi="Arial"/>
                <w:sz w:val="11"/>
                <w:szCs w:val="11"/>
                <w:b w:val="1"/>
                <w:bCs w:val="1"/>
                <w:color w:val="auto"/>
              </w:rPr>
              <w:t>Ft.</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2nd Quarter 2013</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2"/>
              <w:spacing w:after="0"/>
              <w:rPr>
                <w:sz w:val="20"/>
                <w:szCs w:val="20"/>
                <w:color w:val="auto"/>
              </w:rPr>
            </w:pPr>
            <w:r>
              <w:rPr>
                <w:rFonts w:ascii="Arial" w:cs="Arial" w:eastAsia="Arial" w:hAnsi="Arial"/>
                <w:sz w:val="14"/>
                <w:szCs w:val="14"/>
                <w:color w:val="auto"/>
              </w:rPr>
              <w:t>504,605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32.32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8.3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13,141,443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26.04</w:t>
            </w:r>
          </w:p>
        </w:tc>
      </w:tr>
      <w:tr>
        <w:trPr>
          <w:trHeight w:val="263"/>
        </w:trPr>
        <w:tc>
          <w:tcPr>
            <w:tcW w:w="1620" w:type="dxa"/>
            <w:vAlign w:val="bottom"/>
            <w:gridSpan w:val="2"/>
          </w:tcPr>
          <w:p>
            <w:pPr>
              <w:ind w:left="40"/>
              <w:spacing w:after="0"/>
              <w:rPr>
                <w:sz w:val="20"/>
                <w:szCs w:val="20"/>
                <w:color w:val="auto"/>
              </w:rPr>
            </w:pPr>
            <w:r>
              <w:rPr>
                <w:rFonts w:ascii="Arial" w:cs="Arial" w:eastAsia="Arial" w:hAnsi="Arial"/>
                <w:sz w:val="14"/>
                <w:szCs w:val="14"/>
                <w:color w:val="auto"/>
              </w:rPr>
              <w:t>1st Quarter 2013</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gridSpan w:val="2"/>
          </w:tcPr>
          <w:p>
            <w:pPr>
              <w:jc w:val="right"/>
              <w:ind w:right="122"/>
              <w:spacing w:after="0"/>
              <w:rPr>
                <w:sz w:val="20"/>
                <w:szCs w:val="20"/>
                <w:color w:val="auto"/>
              </w:rPr>
            </w:pPr>
            <w:r>
              <w:rPr>
                <w:rFonts w:ascii="Arial" w:cs="Arial" w:eastAsia="Arial" w:hAnsi="Arial"/>
                <w:sz w:val="14"/>
                <w:szCs w:val="14"/>
                <w:color w:val="auto"/>
              </w:rPr>
              <w:t>266,451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6"/>
              <w:spacing w:after="0"/>
              <w:rPr>
                <w:sz w:val="20"/>
                <w:szCs w:val="20"/>
                <w:color w:val="auto"/>
              </w:rPr>
            </w:pPr>
            <w:r>
              <w:rPr>
                <w:rFonts w:ascii="Arial" w:cs="Arial" w:eastAsia="Arial" w:hAnsi="Arial"/>
                <w:sz w:val="14"/>
                <w:szCs w:val="14"/>
                <w:color w:val="auto"/>
              </w:rPr>
              <w:t>36.67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1"/>
              </w:rPr>
              <w:t>8.8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7"/>
              <w:spacing w:after="0"/>
              <w:rPr>
                <w:sz w:val="20"/>
                <w:szCs w:val="20"/>
                <w:color w:val="auto"/>
              </w:rPr>
            </w:pPr>
            <w:r>
              <w:rPr>
                <w:rFonts w:ascii="Arial" w:cs="Arial" w:eastAsia="Arial" w:hAnsi="Arial"/>
                <w:sz w:val="14"/>
                <w:szCs w:val="14"/>
                <w:color w:val="auto"/>
              </w:rPr>
              <w:t>7,358,311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7"/>
              <w:spacing w:after="0"/>
              <w:rPr>
                <w:sz w:val="20"/>
                <w:szCs w:val="20"/>
                <w:color w:val="auto"/>
              </w:rPr>
            </w:pPr>
            <w:r>
              <w:rPr>
                <w:rFonts w:ascii="Arial" w:cs="Arial" w:eastAsia="Arial" w:hAnsi="Arial"/>
                <w:sz w:val="14"/>
                <w:szCs w:val="14"/>
                <w:color w:val="auto"/>
              </w:rPr>
              <w:t>27.62</w:t>
            </w:r>
          </w:p>
        </w:tc>
      </w:tr>
      <w:tr>
        <w:trPr>
          <w:trHeight w:val="277"/>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4th Quarter 2012</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22"/>
              <w:spacing w:after="0"/>
              <w:rPr>
                <w:sz w:val="20"/>
                <w:szCs w:val="20"/>
                <w:color w:val="auto"/>
              </w:rPr>
            </w:pPr>
            <w:r>
              <w:rPr>
                <w:rFonts w:ascii="Arial" w:cs="Arial" w:eastAsia="Arial" w:hAnsi="Arial"/>
                <w:sz w:val="14"/>
                <w:szCs w:val="14"/>
                <w:color w:val="auto"/>
              </w:rPr>
              <w:t>485,215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32.07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8,079,952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16.65</w:t>
            </w:r>
          </w:p>
        </w:tc>
      </w:tr>
      <w:tr>
        <w:trPr>
          <w:trHeight w:val="264"/>
        </w:trPr>
        <w:tc>
          <w:tcPr>
            <w:tcW w:w="1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3rd Quarter 2012</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color w:val="auto"/>
              </w:rPr>
              <w:t>531,573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28.89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1"/>
              </w:rPr>
              <w:t>8.3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9,127,719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17.17</w:t>
            </w:r>
          </w:p>
        </w:tc>
      </w:tr>
      <w:tr>
        <w:trPr>
          <w:trHeight w:val="243"/>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122"/>
              <w:spacing w:after="0"/>
              <w:rPr>
                <w:sz w:val="20"/>
                <w:szCs w:val="20"/>
                <w:color w:val="auto"/>
              </w:rPr>
            </w:pPr>
            <w:r>
              <w:rPr>
                <w:rFonts w:ascii="Arial" w:cs="Arial" w:eastAsia="Arial" w:hAnsi="Arial"/>
                <w:sz w:val="14"/>
                <w:szCs w:val="14"/>
                <w:color w:val="auto"/>
                <w:w w:val="86"/>
              </w:rPr>
              <w:t>1,787,844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1"/>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37,707,425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21.09</w:t>
            </w: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40" w:right="160" w:hanging="5"/>
        <w:spacing w:after="0" w:line="237" w:lineRule="auto"/>
        <w:tabs>
          <w:tab w:leader="none" w:pos="218" w:val="left"/>
        </w:tabs>
        <w:numPr>
          <w:ilvl w:val="0"/>
          <w:numId w:val="13"/>
        </w:numPr>
        <w:rPr>
          <w:rFonts w:ascii="Arial" w:cs="Arial" w:eastAsia="Arial" w:hAnsi="Arial"/>
          <w:sz w:val="13"/>
          <w:szCs w:val="13"/>
          <w:color w:val="auto"/>
        </w:rPr>
      </w:pPr>
      <w:r>
        <w:rPr>
          <w:rFonts w:ascii="Arial" w:cs="Arial" w:eastAsia="Arial" w:hAnsi="Arial"/>
          <w:sz w:val="13"/>
          <w:szCs w:val="13"/>
          <w:color w:val="auto"/>
        </w:rPr>
        <w:t>Approximately $4.1 million or $6.75 per square foot of the Tenant Improvements &amp; Incentives are for properties under active redevelopment (e.g. Westgate, Willow Lawn, Barracks Road, Hollywood Boulevard) and are included in the Projected Cost for those projects on the Summary of Development and Redevelopment Opportunities.</w:t>
      </w:r>
    </w:p>
    <w:p>
      <w:pPr>
        <w:spacing w:after="0" w:line="28"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Adjusted 2nd Quarter 2013 excludes the new lease signed to backfill a portion of the Best Buy box at Santana Row.</w:t>
      </w:r>
    </w:p>
    <w:p>
      <w:pPr>
        <w:spacing w:after="0" w:line="39" w:lineRule="exact"/>
        <w:rPr>
          <w:rFonts w:ascii="Arial" w:cs="Arial" w:eastAsia="Arial" w:hAnsi="Arial"/>
          <w:sz w:val="13"/>
          <w:szCs w:val="13"/>
          <w:color w:val="auto"/>
        </w:rPr>
      </w:pPr>
    </w:p>
    <w:p>
      <w:pPr>
        <w:ind w:left="220" w:hanging="185"/>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40" w:right="160" w:hanging="5"/>
        <w:spacing w:after="0" w:line="254" w:lineRule="auto"/>
        <w:tabs>
          <w:tab w:leader="none" w:pos="281"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information on leases signed for those projects; these amounts for leases signed for Assembly Row and Pike &amp; Rose are included in the Projected Cost column for those projects shown on the Summary of Development and Redevelopment Opportunities schedule.</w:t>
      </w:r>
    </w:p>
    <w:p>
      <w:pPr>
        <w:sectPr>
          <w:pgSz w:w="11900" w:h="16838" w:orient="portrait"/>
          <w:cols w:equalWidth="0" w:num="1">
            <w:col w:w="11420"/>
          </w:cols>
          <w:pgMar w:left="240" w:top="963" w:right="239" w:bottom="703"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963" w:right="239" w:bottom="703"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1,064,000</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15.25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839,000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33.49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1,904,000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878,000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1,106,000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33.75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1,985,000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26.26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1,480,000</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14.26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866,000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37.60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2,346,000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517,000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18.62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380,000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897,000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24.85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786,000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413,000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39.85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1,198,000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10,878,000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16.82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7,614,000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34.98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18,492,000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258,000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13.52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542,000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543,000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35.99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626,000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342,000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526,000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868,000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400,000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31.33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543,000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120,000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32.91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571,000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11,678,000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10,878,000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16.82</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7,614,000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34.98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18,492,000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June 30,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June 30, 2013</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June 30, 2013</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30, 2012</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19,581,000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18,652,000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19,176,000</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18,066,000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94.2%</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1,058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1,028</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97.2%</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1,011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978</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96.7%</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June 30, 2013</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June 30, 2012</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(sf)</w:t>
            </w:r>
          </w:p>
        </w:tc>
        <w:tc>
          <w:tcPr>
            <w:tcW w:w="2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17,194,000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16,394,000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95.3%</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17,188,000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16,326,000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70"/>
        </w:trPr>
        <w:tc>
          <w:tcPr>
            <w:tcW w:w="3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1,011</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985</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1,011</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978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33"/>
        </w:trPr>
        <w:tc>
          <w:tcPr>
            <w:tcW w:w="33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June 30, 2013 leased percentage was 98.7% for anchor tenants and 90.7% for small shop tenants.</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980" w:type="dxa"/>
            <w:vAlign w:val="bottom"/>
          </w:tcPr>
          <w:p>
            <w:pPr>
              <w:jc w:val="right"/>
              <w:spacing w:after="0"/>
              <w:rPr>
                <w:sz w:val="20"/>
                <w:szCs w:val="20"/>
                <w:color w:val="auto"/>
              </w:rPr>
            </w:pPr>
            <w:r>
              <w:rPr>
                <w:rFonts w:ascii="Arial" w:cs="Arial" w:eastAsia="Arial" w:hAnsi="Arial"/>
                <w:sz w:val="16"/>
                <w:szCs w:val="16"/>
                <w:color w:val="auto"/>
              </w:rPr>
              <w:t>728,000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1.83%</w:t>
            </w:r>
          </w:p>
        </w:tc>
        <w:tc>
          <w:tcPr>
            <w:tcW w:w="980" w:type="dxa"/>
            <w:vAlign w:val="bottom"/>
          </w:tcPr>
          <w:p>
            <w:pPr>
              <w:jc w:val="right"/>
              <w:spacing w:after="0"/>
              <w:rPr>
                <w:sz w:val="20"/>
                <w:szCs w:val="20"/>
                <w:color w:val="auto"/>
              </w:rPr>
            </w:pPr>
            <w:r>
              <w:rPr>
                <w:rFonts w:ascii="Arial" w:cs="Arial" w:eastAsia="Arial" w:hAnsi="Arial"/>
                <w:sz w:val="16"/>
                <w:szCs w:val="16"/>
                <w:color w:val="auto"/>
              </w:rPr>
              <w:t>417,000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6,777,000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1.51%</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1.21%</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0.97%</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3,549,000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Pr>
          <w:p>
            <w:pPr>
              <w:jc w:val="right"/>
              <w:spacing w:after="0"/>
              <w:rPr>
                <w:sz w:val="20"/>
                <w:szCs w:val="20"/>
                <w:color w:val="auto"/>
              </w:rPr>
            </w:pPr>
            <w:r>
              <w:rPr>
                <w:rFonts w:ascii="Arial" w:cs="Arial" w:eastAsia="Arial" w:hAnsi="Arial"/>
                <w:sz w:val="16"/>
                <w:szCs w:val="16"/>
                <w:color w:val="auto"/>
              </w:rPr>
              <w:t>137,000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3,166,000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Sports Authority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3,072,000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133,802,000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29.77%</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6,608,000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449,261,000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19,581,000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200" w:hanging="482"/>
        <w:spacing w:after="0" w:line="293"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June 30, 2013.</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2013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3"/>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3"/>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Prepayment Premium on 5.40% Notes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Funds from operations excluding Prepayment Premium on 5.40% Notes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 excluding Prepayment Premium on 5.40% Notes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8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3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9,573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13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5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209,770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209,056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0" w:type="dxa"/>
            <w:vAlign w:val="bottom"/>
          </w:tcPr>
          <w:p>
            <w:pPr>
              <w:spacing w:after="0"/>
              <w:rPr>
                <w:sz w:val="1"/>
                <w:szCs w:val="1"/>
                <w:color w:val="auto"/>
              </w:rPr>
            </w:pPr>
          </w:p>
        </w:tc>
      </w:tr>
      <w:tr>
        <w:trPr>
          <w:trHeight w:val="23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172,602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182,005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61,926</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120,568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120,854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182,005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2013</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12,155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57,040</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22,395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22,537</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39.5%</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57,040</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hanging="58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63" w:lineRule="exact"/>
        <w:rPr>
          <w:rFonts w:ascii="Arial" w:cs="Arial" w:eastAsia="Arial" w:hAnsi="Arial"/>
          <w:sz w:val="18"/>
          <w:szCs w:val="18"/>
          <w:color w:val="auto"/>
        </w:rPr>
      </w:pPr>
    </w:p>
    <w:p>
      <w:pPr>
        <w:ind w:left="620" w:hanging="58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63" w:lineRule="exact"/>
        <w:rPr>
          <w:rFonts w:ascii="Arial" w:cs="Arial" w:eastAsia="Arial" w:hAnsi="Arial"/>
          <w:sz w:val="18"/>
          <w:szCs w:val="18"/>
          <w:color w:val="auto"/>
        </w:rPr>
      </w:pPr>
    </w:p>
    <w:p>
      <w:pPr>
        <w:ind w:left="620" w:right="80" w:hanging="585"/>
        <w:spacing w:after="0" w:line="277"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&amp; Debt Summary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Real Estate</w:t>
            </w:r>
          </w:p>
        </w:tc>
        <w:tc>
          <w:tcPr>
            <w:tcW w:w="100" w:type="dxa"/>
            <w:vAlign w:val="bottom"/>
          </w:tcPr>
          <w:p>
            <w:pPr>
              <w:spacing w:after="0"/>
              <w:rPr>
                <w:sz w:val="11"/>
                <w:szCs w:val="11"/>
                <w:color w:val="auto"/>
              </w:rPr>
            </w:pPr>
          </w:p>
        </w:tc>
        <w:tc>
          <w:tcPr>
            <w:tcW w:w="56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23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MSA Description</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color w:val="auto"/>
                <w:w w:val="88"/>
              </w:rPr>
              <w:t>(in thousands)</w:t>
            </w: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62"/>
        </w:trPr>
        <w:tc>
          <w:tcPr>
            <w:tcW w:w="1940" w:type="dxa"/>
            <w:vAlign w:val="bottom"/>
            <w:gridSpan w:val="5"/>
          </w:tcPr>
          <w:p>
            <w:pPr>
              <w:ind w:left="40"/>
              <w:spacing w:after="0"/>
              <w:rPr>
                <w:sz w:val="20"/>
                <w:szCs w:val="20"/>
                <w:color w:val="auto"/>
              </w:rPr>
            </w:pPr>
            <w:r>
              <w:rPr>
                <w:rFonts w:ascii="Arial" w:cs="Arial" w:eastAsia="Arial" w:hAnsi="Arial"/>
                <w:sz w:val="13"/>
                <w:szCs w:val="13"/>
                <w:color w:val="auto"/>
              </w:rPr>
              <w:t>Barcroft Plaza</w:t>
            </w:r>
          </w:p>
        </w:tc>
        <w:tc>
          <w:tcPr>
            <w:tcW w:w="2340" w:type="dxa"/>
            <w:vAlign w:val="bottom"/>
          </w:tcPr>
          <w:p>
            <w:pPr>
              <w:ind w:left="160"/>
              <w:spacing w:after="0"/>
              <w:rPr>
                <w:sz w:val="20"/>
                <w:szCs w:val="20"/>
                <w:color w:val="auto"/>
              </w:rPr>
            </w:pPr>
            <w:r>
              <w:rPr>
                <w:rFonts w:ascii="Arial" w:cs="Arial" w:eastAsia="Arial" w:hAnsi="Arial"/>
                <w:sz w:val="13"/>
                <w:szCs w:val="13"/>
                <w:color w:val="auto"/>
              </w:rPr>
              <w:t>Washington, DC-MD-VA</w:t>
            </w:r>
          </w:p>
        </w:tc>
        <w:tc>
          <w:tcPr>
            <w:tcW w:w="10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34,542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20,785</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101,000</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rPr>
                <w:sz w:val="20"/>
                <w:szCs w:val="20"/>
                <w:color w:val="auto"/>
              </w:rPr>
            </w:pPr>
            <w:r>
              <w:rPr>
                <w:rFonts w:ascii="Arial" w:cs="Arial" w:eastAsia="Arial" w:hAnsi="Arial"/>
                <w:sz w:val="13"/>
                <w:szCs w:val="13"/>
                <w:color w:val="auto"/>
                <w:w w:val="94"/>
              </w:rPr>
              <w:t>Harris Teeter</w:t>
            </w:r>
          </w:p>
        </w:tc>
        <w:tc>
          <w:tcPr>
            <w:tcW w:w="2320" w:type="dxa"/>
            <w:vAlign w:val="bottom"/>
          </w:tcPr>
          <w:p>
            <w:pPr>
              <w:ind w:left="60"/>
              <w:spacing w:after="0"/>
              <w:rPr>
                <w:sz w:val="20"/>
                <w:szCs w:val="20"/>
                <w:color w:val="auto"/>
              </w:rPr>
            </w:pPr>
            <w:r>
              <w:rPr>
                <w:rFonts w:ascii="Arial" w:cs="Arial" w:eastAsia="Arial" w:hAnsi="Arial"/>
                <w:sz w:val="13"/>
                <w:szCs w:val="13"/>
                <w:color w:val="auto"/>
              </w:rPr>
              <w:t>Bank of America</w:t>
            </w:r>
          </w:p>
        </w:tc>
      </w:tr>
      <w:tr>
        <w:trPr>
          <w:trHeight w:val="156"/>
        </w:trPr>
        <w:tc>
          <w:tcPr>
            <w:tcW w:w="1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Free State Shopping Center</w:t>
            </w: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Washington, DC-MD-VA</w:t>
            </w:r>
          </w:p>
        </w:tc>
        <w:tc>
          <w:tcPr>
            <w:tcW w:w="10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66,624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Depot</w:t>
            </w:r>
          </w:p>
        </w:tc>
      </w:tr>
      <w:tr>
        <w:trPr>
          <w:trHeight w:val="264"/>
        </w:trPr>
        <w:tc>
          <w:tcPr>
            <w:tcW w:w="1940" w:type="dxa"/>
            <w:vAlign w:val="bottom"/>
            <w:tcBorders>
              <w:bottom w:val="single" w:sz="8" w:color="CCEEFF"/>
            </w:tcBorders>
            <w:gridSpan w:val="5"/>
          </w:tcPr>
          <w:p>
            <w:pPr>
              <w:ind w:left="40"/>
              <w:spacing w:after="0"/>
              <w:rPr>
                <w:sz w:val="20"/>
                <w:szCs w:val="20"/>
                <w:color w:val="auto"/>
              </w:rPr>
            </w:pPr>
            <w:r>
              <w:rPr>
                <w:rFonts w:ascii="Arial" w:cs="Arial" w:eastAsia="Arial" w:hAnsi="Arial"/>
                <w:sz w:val="13"/>
                <w:szCs w:val="13"/>
                <w:color w:val="auto"/>
              </w:rPr>
              <w:t>Plaza del Mercado</w:t>
            </w:r>
          </w:p>
        </w:tc>
        <w:tc>
          <w:tcPr>
            <w:tcW w:w="23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Washington, DC-MD-VA</w:t>
            </w:r>
          </w:p>
        </w:tc>
        <w:tc>
          <w:tcPr>
            <w:tcW w:w="1000" w:type="dxa"/>
            <w:vAlign w:val="bottom"/>
            <w:tcBorders>
              <w:bottom w:val="single" w:sz="8" w:color="CCEEFF"/>
            </w:tcBorders>
          </w:tcPr>
          <w:p>
            <w:pPr>
              <w:jc w:val="right"/>
              <w:ind w:right="35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21,669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12,155</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6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Total Washington Metropolitan Area</w:t>
            </w: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122,835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90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4"/>
        </w:trPr>
        <w:tc>
          <w:tcPr>
            <w:tcW w:w="1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Nassau-Suffolk, NY</w:t>
            </w:r>
          </w:p>
        </w:tc>
        <w:tc>
          <w:tcPr>
            <w:tcW w:w="100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20,659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13,600</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Pr>
          <w:p>
            <w:pPr>
              <w:ind w:left="160"/>
              <w:spacing w:after="0"/>
              <w:rPr>
                <w:sz w:val="20"/>
                <w:szCs w:val="20"/>
                <w:color w:val="auto"/>
              </w:rPr>
            </w:pPr>
            <w:r>
              <w:rPr>
                <w:rFonts w:ascii="Arial" w:cs="Arial" w:eastAsia="Arial" w:hAnsi="Arial"/>
                <w:sz w:val="13"/>
                <w:szCs w:val="13"/>
                <w:color w:val="auto"/>
              </w:rPr>
              <w:t>Total New York / New Jersey</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20,659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1140" w:type="dxa"/>
            <w:vAlign w:val="bottom"/>
            <w:tcBorders>
              <w:bottom w:val="single" w:sz="8" w:color="CCEEFF"/>
            </w:tcBorders>
            <w:gridSpan w:val="3"/>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r>
      <w:tr>
        <w:trPr>
          <w:trHeight w:val="148"/>
        </w:trPr>
        <w:tc>
          <w:tcPr>
            <w:tcW w:w="19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Atlantic Plaza</w:t>
            </w:r>
          </w:p>
        </w:tc>
        <w:tc>
          <w:tcPr>
            <w:tcW w:w="334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Boston-Worcester-Lawrence-Lowell-Brockton,  2004</w:t>
            </w:r>
          </w:p>
        </w:tc>
        <w:tc>
          <w:tcPr>
            <w:tcW w:w="12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19,670</w:t>
            </w:r>
          </w:p>
        </w:tc>
        <w:tc>
          <w:tcPr>
            <w:tcW w:w="100" w:type="dxa"/>
            <w:vAlign w:val="bottom"/>
          </w:tcPr>
          <w:p>
            <w:pPr>
              <w:spacing w:after="0"/>
              <w:rPr>
                <w:sz w:val="12"/>
                <w:szCs w:val="12"/>
                <w:color w:val="auto"/>
              </w:rPr>
            </w:pPr>
          </w:p>
        </w:tc>
        <w:tc>
          <w:tcPr>
            <w:tcW w:w="5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10,500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3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ind w:left="160"/>
              <w:spacing w:after="0"/>
              <w:rPr>
                <w:sz w:val="20"/>
                <w:szCs w:val="20"/>
                <w:color w:val="auto"/>
              </w:rPr>
            </w:pPr>
            <w:r>
              <w:rPr>
                <w:rFonts w:ascii="Arial" w:cs="Arial" w:eastAsia="Arial" w:hAnsi="Arial"/>
                <w:sz w:val="13"/>
                <w:szCs w:val="13"/>
                <w:color w:val="auto"/>
              </w:rPr>
              <w:t>MA</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1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3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Boston-Worcester-Lawrence-Lowell-Brockton,  2004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22,826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19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Pleasant Shops</w:t>
            </w:r>
          </w:p>
        </w:tc>
        <w:tc>
          <w:tcPr>
            <w:tcW w:w="334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Boston-Worcester-Lawrence-Lowell-Brockton,  2004</w:t>
            </w:r>
          </w:p>
        </w:tc>
        <w:tc>
          <w:tcPr>
            <w:tcW w:w="12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23,780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MA</w:t>
            </w: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Total New England</w:t>
            </w: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66,276</w:t>
            </w: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369,000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spacing w:after="0"/>
              <w:rPr>
                <w:sz w:val="21"/>
                <w:szCs w:val="21"/>
                <w:color w:val="auto"/>
              </w:rPr>
            </w:pPr>
          </w:p>
        </w:tc>
      </w:tr>
      <w:tr>
        <w:trPr>
          <w:trHeight w:val="264"/>
        </w:trPr>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Grand Totals</w:t>
            </w:r>
          </w:p>
        </w:tc>
        <w:tc>
          <w:tcPr>
            <w:tcW w:w="2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209,770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57,040</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5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2013 and 2012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38,797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74,639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77,718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39,853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35,199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80,477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71,770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54,552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57,526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109,132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97,416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92"/>
              </w:rPr>
              <w:t>212,973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206,695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r>
      <w:tr>
        <w:trPr>
          <w:trHeight w:val="257"/>
        </w:trPr>
        <w:tc>
          <w:tcPr>
            <w:tcW w:w="65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104,138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97,416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2"/>
              </w:rPr>
              <w:t>207,979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194,835</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2019-12-05T09:40:47Z</dcterms:created>
  <dcterms:modified xsi:type="dcterms:W3CDTF">2019-12-05T09:40:47Z</dcterms:modified>
</cp:coreProperties>
</file>