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19, 2007</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SECURITIES AND EXCHANGE COMMISSION</w:t>
      </w:r>
    </w:p>
    <w:p>
      <w:pPr>
        <w:ind w:left="4040"/>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121285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1" w:lineRule="exact"/>
        <w:rPr>
          <w:sz w:val="24"/>
          <w:szCs w:val="24"/>
          <w:color w:val="auto"/>
        </w:rPr>
      </w:pPr>
    </w:p>
    <w:p>
      <w:pPr>
        <w:ind w:left="4960"/>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Maryland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52-0782497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56"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Telephone: (301) 998-8100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J. Plotz,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2300 N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84" w:lineRule="exact"/>
        <w:rPr>
          <w:sz w:val="24"/>
          <w:szCs w:val="24"/>
          <w:color w:val="auto"/>
        </w:rPr>
      </w:pPr>
    </w:p>
    <w:p>
      <w:pPr>
        <w:ind w:right="340" w:firstLine="456"/>
        <w:spacing w:after="0" w:line="268" w:lineRule="auto"/>
        <w:rPr>
          <w:sz w:val="20"/>
          <w:szCs w:val="20"/>
          <w:color w:val="auto"/>
        </w:rPr>
      </w:pPr>
      <w:r>
        <w:rPr>
          <w:rFonts w:ascii="Arial" w:cs="Arial" w:eastAsia="Arial" w:hAnsi="Arial"/>
          <w:sz w:val="18"/>
          <w:szCs w:val="18"/>
          <w:color w:val="auto"/>
        </w:rPr>
        <w:t>Approximate date of commencement of proposed sale of the securities to the public: From time to time following the effective date of this Registration Statement.</w:t>
      </w:r>
    </w:p>
    <w:p>
      <w:pPr>
        <w:spacing w:after="0" w:line="51"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55"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960" w:type="dxa"/>
            <w:vAlign w:val="bottom"/>
          </w:tcPr>
          <w:p>
            <w:pPr>
              <w:jc w:val="center"/>
              <w:ind w:left="507"/>
              <w:spacing w:after="0" w:line="149" w:lineRule="exact"/>
              <w:rPr>
                <w:sz w:val="20"/>
                <w:szCs w:val="20"/>
                <w:color w:val="auto"/>
              </w:rPr>
            </w:pPr>
            <w:r>
              <w:rPr>
                <w:rFonts w:ascii="Arial" w:cs="Arial" w:eastAsia="Arial" w:hAnsi="Arial"/>
                <w:sz w:val="14"/>
                <w:szCs w:val="14"/>
                <w:b w:val="1"/>
                <w:bCs w:val="1"/>
                <w:color w:val="auto"/>
                <w:w w:val="88"/>
              </w:rPr>
              <w:t>Amount to</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20" w:type="dxa"/>
            <w:vAlign w:val="bottom"/>
          </w:tcPr>
          <w:p>
            <w:pPr>
              <w:jc w:val="center"/>
              <w:ind w:left="166"/>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1960" w:type="dxa"/>
            <w:vAlign w:val="bottom"/>
          </w:tcPr>
          <w:p>
            <w:pPr>
              <w:jc w:val="center"/>
              <w:ind w:left="507"/>
              <w:spacing w:after="0" w:line="149" w:lineRule="exact"/>
              <w:rPr>
                <w:sz w:val="20"/>
                <w:szCs w:val="20"/>
                <w:color w:val="auto"/>
              </w:rPr>
            </w:pPr>
            <w:r>
              <w:rPr>
                <w:rFonts w:ascii="Arial" w:cs="Arial" w:eastAsia="Arial" w:hAnsi="Arial"/>
                <w:sz w:val="14"/>
                <w:szCs w:val="14"/>
                <w:b w:val="1"/>
                <w:bCs w:val="1"/>
                <w:color w:val="auto"/>
                <w:w w:val="85"/>
              </w:rPr>
              <w:t>be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 Unit</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30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Amount of</w:t>
            </w:r>
          </w:p>
        </w:tc>
      </w:tr>
      <w:tr>
        <w:trPr>
          <w:trHeight w:val="175"/>
        </w:trPr>
        <w:tc>
          <w:tcPr>
            <w:tcW w:w="20" w:type="dxa"/>
            <w:vAlign w:val="bottom"/>
          </w:tcPr>
          <w:p>
            <w:pPr>
              <w:spacing w:after="0"/>
              <w:rPr>
                <w:sz w:val="15"/>
                <w:szCs w:val="15"/>
                <w:color w:val="auto"/>
              </w:rPr>
            </w:pPr>
          </w:p>
        </w:tc>
        <w:tc>
          <w:tcPr>
            <w:tcW w:w="5020" w:type="dxa"/>
            <w:vAlign w:val="bottom"/>
          </w:tcPr>
          <w:p>
            <w:pPr>
              <w:jc w:val="center"/>
              <w:ind w:left="186"/>
              <w:spacing w:after="0"/>
              <w:rPr>
                <w:sz w:val="20"/>
                <w:szCs w:val="20"/>
                <w:color w:val="auto"/>
              </w:rPr>
            </w:pPr>
            <w:r>
              <w:rPr>
                <w:rFonts w:ascii="Arial" w:cs="Arial" w:eastAsia="Arial" w:hAnsi="Arial"/>
                <w:sz w:val="14"/>
                <w:szCs w:val="14"/>
                <w:b w:val="1"/>
                <w:bCs w:val="1"/>
                <w:color w:val="auto"/>
                <w:w w:val="84"/>
              </w:rPr>
              <w:t>Securities to be Registered</w:t>
            </w:r>
          </w:p>
        </w:tc>
        <w:tc>
          <w:tcPr>
            <w:tcW w:w="1960" w:type="dxa"/>
            <w:vAlign w:val="bottom"/>
          </w:tcPr>
          <w:p>
            <w:pPr>
              <w:jc w:val="center"/>
              <w:ind w:left="507"/>
              <w:spacing w:after="0"/>
              <w:rPr>
                <w:sz w:val="20"/>
                <w:szCs w:val="20"/>
                <w:color w:val="auto"/>
              </w:rPr>
            </w:pPr>
            <w:r>
              <w:rPr>
                <w:rFonts w:ascii="Arial" w:cs="Arial" w:eastAsia="Arial" w:hAnsi="Arial"/>
                <w:sz w:val="14"/>
                <w:szCs w:val="14"/>
                <w:b w:val="1"/>
                <w:bCs w:val="1"/>
                <w:color w:val="auto"/>
                <w:w w:val="85"/>
              </w:rPr>
              <w:t>Registered</w:t>
            </w:r>
          </w:p>
        </w:tc>
        <w:tc>
          <w:tcPr>
            <w:tcW w:w="1260" w:type="dxa"/>
            <w:vAlign w:val="bottom"/>
          </w:tcPr>
          <w:p>
            <w:pPr>
              <w:jc w:val="right"/>
              <w:ind w:right="470"/>
              <w:spacing w:after="0"/>
              <w:rPr>
                <w:sz w:val="20"/>
                <w:szCs w:val="20"/>
                <w:color w:val="auto"/>
              </w:rPr>
            </w:pPr>
            <w:r>
              <w:rPr>
                <w:rFonts w:ascii="Arial" w:cs="Arial" w:eastAsia="Arial" w:hAnsi="Arial"/>
                <w:sz w:val="14"/>
                <w:szCs w:val="14"/>
                <w:b w:val="1"/>
                <w:bCs w:val="1"/>
                <w:color w:val="auto"/>
              </w:rPr>
              <w:t>(1)</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9"/>
              </w:rPr>
              <w:t>Offering Price (1)</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Registration Fee</w:t>
            </w:r>
          </w:p>
        </w:tc>
      </w:tr>
      <w:tr>
        <w:trPr>
          <w:trHeight w:val="216"/>
        </w:trPr>
        <w:tc>
          <w:tcPr>
            <w:tcW w:w="2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 (2)</w:t>
            </w:r>
          </w:p>
        </w:tc>
        <w:tc>
          <w:tcPr>
            <w:tcW w:w="1960" w:type="dxa"/>
            <w:vAlign w:val="bottom"/>
            <w:tcBorders>
              <w:top w:val="single" w:sz="8" w:color="auto"/>
            </w:tcBorders>
          </w:tcPr>
          <w:p>
            <w:pPr>
              <w:jc w:val="center"/>
              <w:ind w:left="507"/>
              <w:spacing w:after="0"/>
              <w:rPr>
                <w:sz w:val="20"/>
                <w:szCs w:val="20"/>
                <w:color w:val="auto"/>
              </w:rPr>
            </w:pPr>
            <w:r>
              <w:rPr>
                <w:rFonts w:ascii="Arial" w:cs="Arial" w:eastAsia="Arial" w:hAnsi="Arial"/>
                <w:sz w:val="18"/>
                <w:szCs w:val="18"/>
                <w:color w:val="auto"/>
                <w:w w:val="87"/>
              </w:rPr>
              <w:t>1,165,065</w:t>
            </w: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  91.10</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$106,137,421.50</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3,258.42</w:t>
            </w:r>
          </w:p>
        </w:tc>
        <w:tc>
          <w:tcPr>
            <w:tcW w:w="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ind w:left="460" w:right="58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based upon the average of the high and low prices of the common shares as reported on the New York Stock Exchange on April 17, 2007.</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associated rights to purchase common shares of beneficial interest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4"/>
          <w:szCs w:val="24"/>
          <w:color w:val="auto"/>
        </w:rPr>
      </w:pPr>
    </w:p>
    <w:p>
      <w:pPr>
        <w:ind w:right="100" w:firstLine="456"/>
        <w:spacing w:after="0" w:line="378"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w:t>
      </w:r>
    </w:p>
    <w:p>
      <w:pPr>
        <w:sectPr>
          <w:pgSz w:w="11900" w:h="16967" w:orient="portrait"/>
          <w:cols w:equalWidth="0" w:num="1">
            <w:col w:w="11420"/>
          </w:cols>
          <w:pgMar w:left="240" w:top="230" w:right="239" w:bottom="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t>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580"/>
          </w:cols>
          <w:pgMar w:left="240" w:top="125" w:right="10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60" w:right="2360" w:hanging="1454"/>
        <w:spacing w:after="0" w:line="288" w:lineRule="auto"/>
        <w:rPr>
          <w:sz w:val="20"/>
          <w:szCs w:val="20"/>
          <w:color w:val="auto"/>
        </w:rPr>
      </w:pPr>
      <w:r>
        <w:rPr>
          <w:rFonts w:ascii="Arial" w:cs="Arial" w:eastAsia="Arial" w:hAnsi="Arial"/>
          <w:sz w:val="31"/>
          <w:szCs w:val="31"/>
          <w:b w:val="1"/>
          <w:bCs w:val="1"/>
          <w:color w:val="auto"/>
        </w:rPr>
        <w:t>1,165,065 Common Shares of Beneficial Interest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66040</wp:posOffset>
            </wp:positionV>
            <wp:extent cx="1243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97"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This prospectus relates to the offer and sale from time to time by the selling shareholders of up to 1,165,065 of our common shares of beneficial interest, par value $0.01 per share, which we refer to as our common shares, including common shares (i) issuable upon conversion of our 5.417% Series 1 Cumulative Convertible Preferred Shares of Beneficial Interest, par value $0.01 per share and liquidation preference $25 per share, which we refer to as our preferred shares, if and to the extent that selling shareholders tender preferred shares for conversion and offer or sell any of the common shares issued in respect thereof, and</w:t>
      </w:r>
    </w:p>
    <w:p>
      <w:pPr>
        <w:spacing w:after="0" w:line="3" w:lineRule="exact"/>
        <w:rPr>
          <w:sz w:val="20"/>
          <w:szCs w:val="20"/>
          <w:color w:val="auto"/>
        </w:rPr>
      </w:pPr>
    </w:p>
    <w:p>
      <w:pPr>
        <w:ind w:right="80" w:firstLine="8"/>
        <w:spacing w:after="0" w:line="302" w:lineRule="auto"/>
        <w:tabs>
          <w:tab w:leader="none" w:pos="258" w:val="left"/>
        </w:tabs>
        <w:numPr>
          <w:ilvl w:val="0"/>
          <w:numId w:val="2"/>
        </w:numPr>
        <w:rPr>
          <w:rFonts w:ascii="Arial" w:cs="Arial" w:eastAsia="Arial" w:hAnsi="Arial"/>
          <w:sz w:val="16"/>
          <w:szCs w:val="16"/>
          <w:color w:val="auto"/>
        </w:rPr>
      </w:pPr>
      <w:r>
        <w:rPr>
          <w:rFonts w:ascii="Arial" w:cs="Arial" w:eastAsia="Arial" w:hAnsi="Arial"/>
          <w:sz w:val="16"/>
          <w:szCs w:val="16"/>
          <w:color w:val="auto"/>
        </w:rPr>
        <w:t>issuable upon redemption of units of limited liability company interest in NVI-Avenue, LLC, our consolidated subsidiary, which we refer to as downREIT units, if and to the extent that redeeming unitholders tender downREIT units for redemption, receive common shares for such redemption and offer or sell any of the common shares issued in respect thereof. We will not receive any proceeds from the sale of the offered shares by the selling shareholders.</w:t>
      </w:r>
    </w:p>
    <w:p>
      <w:pPr>
        <w:spacing w:after="0" w:line="2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March 8, 2007, we acquired various real properties for aggregate consideration of approximately $189.0 million, part of which consideration consisted of the issuance of (i) 884,066 common shares, (ii) 399,896 preferred shares and (iii) 185,504 downREIT units.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Beginning on March 8, 2007, the holders of preferred shares may convert their outstanding preferred shares into a number of common shares determined by dividing (A) the product obtained by multiplying: (i) the number of preferred shares being converted by (ii) the liquidation price of $25.00 per preferred share; by (B) the optional conversion price (which conversion price is calculated as provided for in the Articles Supplementary) as in effect immediately prior to the close of business on the date of conversion. Holder conversions are subject to (a) limitations on real estate investment trust share ownership, (b) a minimum conversion amount, (c) conversion frequency limits and (d) black-out periods after public offerings of the registrant. At any time after March 8, 2007 at which the trailing 200 consecutive trading day average closing price of the common shares as reported on the New York Stock Exchange is greater than the mandatory conversion trigger price (which price is calculated as provided for in the Articles Supplementary), the registrant may convert all or any outstanding preferred shares into a number of fully paid and nonassessable common shares determined by dividing (A) the product obtained by multiplying: (i) the number of preferred shares being converted by (ii) the liquidation price of $25.00 per preferred share; by (B) the optional conversion price (which conversion price is calculated as provided for in the Articles Supplementary) as in effect immediately prior to the close of business on the conversion date set by the registrant in accordance with the Articles Supplementary.</w:t>
      </w:r>
    </w:p>
    <w:p>
      <w:pPr>
        <w:spacing w:after="0" w:line="4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members of NVI-Avenue, LLC have the right to require NVI-Avenue, LLC to redeem their downREIT units for cash beginning on the earlier of March 8, 2008 or the date of an extraordinary transaction (as such term is defined in NVI-Avenue, LLC’s constituent documents), by issuing a notice of redemption to NVI-Avenue, LLC; within 20 days after NVI-Avenue, LLC receives such a notice of redemption, the registrant may elect to acquire the tendered units in exchange for cash or common shares, at the registrant’s election.</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registering the common shares being offered by this prospectus pursuant to contractual obligations under a registration rights agreement in order to permit the selling shareholders or their permissible transferees to offer or sell such shares without restriction, in the open market or otherwise. However, the registration of such common shares does not necessarily mean that any of the preferred shares will be tendered for conversion, that any of the downREIT units will be tendered for redemption, that any common shares will be issued upon redemption of downREIT units, or that the selling shareholders or their permissible transferees will offer or sell any common shares.</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pay all expenses incident to the registration of the 1,165,065 common shares offered herein (other than brokerage fees and sales commissions, fees and disbursements of the selling shareholders’ counsel, accountants and other advisors and transfer taxes, if any, relating to the sale or disposition of the offered shares).</w:t>
      </w:r>
    </w:p>
    <w:p>
      <w:pPr>
        <w:spacing w:after="0" w:line="5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common shares are listed on the New York Stock Exchange under the symbol “FRT.” On April 17, 2007, the last reported sales price of our common shares, as reported on the New York Stock Exchange, was $91.80 per share.</w:t>
      </w:r>
    </w:p>
    <w:p>
      <w:pPr>
        <w:spacing w:after="0" w:line="45"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Please read this prospectus and the applicable supplement carefully before you invest. Investing in our common shares involves risks. See “Risk Factors” beginning on page 7 of our Annual Report on Form 10-K for the fiscal year ended December 31, 2006, which is incorporated herein by reference as provided on page 23 of this prospectus, for risks relating to an investment in our common shares.</w:t>
      </w:r>
    </w:p>
    <w:p>
      <w:pPr>
        <w:spacing w:after="0" w:line="2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106045</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April 19, 2007</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4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2800" w:type="dxa"/>
            <w:vAlign w:val="bottom"/>
            <w:gridSpan w:val="10"/>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83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2800" w:type="dxa"/>
            <w:vAlign w:val="bottom"/>
            <w:gridSpan w:val="10"/>
            <w:vMerge w:val="continue"/>
          </w:tcPr>
          <w:p>
            <w:pPr>
              <w:spacing w:after="0"/>
              <w:rPr>
                <w:sz w:val="14"/>
                <w:szCs w:val="14"/>
                <w:color w:val="auto"/>
              </w:rPr>
            </w:pPr>
          </w:p>
        </w:tc>
        <w:tc>
          <w:tcPr>
            <w:tcW w:w="834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Forward-Looking Information</w:t>
              </w:r>
            </w:hyperlink>
          </w:p>
        </w:tc>
        <w:tc>
          <w:tcPr>
            <w:tcW w:w="660" w:type="dxa"/>
            <w:vAlign w:val="bottom"/>
            <w:gridSpan w:val="2"/>
          </w:tcPr>
          <w:p>
            <w:pPr>
              <w:spacing w:after="0"/>
              <w:rPr>
                <w:sz w:val="17"/>
                <w:szCs w:val="17"/>
                <w:color w:val="auto"/>
              </w:rPr>
            </w:pPr>
          </w:p>
        </w:tc>
        <w:tc>
          <w:tcPr>
            <w:tcW w:w="86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800" w:type="dxa"/>
            <w:vAlign w:val="bottom"/>
            <w:gridSpan w:val="1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Trust</w:t>
              </w:r>
            </w:hyperlink>
          </w:p>
        </w:tc>
        <w:tc>
          <w:tcPr>
            <w:tcW w:w="86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1900" w:type="dxa"/>
            <w:vAlign w:val="bottom"/>
            <w:gridSpan w:val="7"/>
          </w:tcPr>
          <w:p>
            <w:pPr>
              <w:spacing w:after="0"/>
              <w:rPr>
                <w:sz w:val="17"/>
                <w:szCs w:val="17"/>
                <w:color w:val="auto"/>
              </w:rPr>
            </w:pPr>
          </w:p>
        </w:tc>
        <w:tc>
          <w:tcPr>
            <w:tcW w:w="86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800" w:type="dxa"/>
            <w:vAlign w:val="bottom"/>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86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Selling Shareholders</w:t>
              </w:r>
            </w:hyperlink>
          </w:p>
        </w:tc>
        <w:tc>
          <w:tcPr>
            <w:tcW w:w="86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Federal Income Tax Consequences</w:t>
              </w:r>
            </w:hyperlink>
          </w:p>
        </w:tc>
        <w:tc>
          <w:tcPr>
            <w:tcW w:w="340" w:type="dxa"/>
            <w:vAlign w:val="bottom"/>
          </w:tcPr>
          <w:p>
            <w:pPr>
              <w:spacing w:after="0"/>
              <w:rPr>
                <w:sz w:val="17"/>
                <w:szCs w:val="17"/>
                <w:color w:val="auto"/>
              </w:rPr>
            </w:pPr>
          </w:p>
        </w:tc>
        <w:tc>
          <w:tcPr>
            <w:tcW w:w="86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00" w:type="dxa"/>
            <w:vAlign w:val="bottom"/>
            <w:gridSpan w:val="1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Plan of Distribution</w:t>
              </w:r>
            </w:hyperlink>
          </w:p>
        </w:tc>
        <w:tc>
          <w:tcPr>
            <w:tcW w:w="86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Matters</w:t>
              </w:r>
            </w:hyperlink>
          </w:p>
        </w:tc>
        <w:tc>
          <w:tcPr>
            <w:tcW w:w="1340" w:type="dxa"/>
            <w:vAlign w:val="bottom"/>
            <w:gridSpan w:val="4"/>
          </w:tcPr>
          <w:p>
            <w:pPr>
              <w:spacing w:after="0"/>
              <w:rPr>
                <w:sz w:val="17"/>
                <w:szCs w:val="17"/>
                <w:color w:val="auto"/>
              </w:rPr>
            </w:pPr>
          </w:p>
        </w:tc>
        <w:tc>
          <w:tcPr>
            <w:tcW w:w="86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1820" w:type="dxa"/>
            <w:vAlign w:val="bottom"/>
            <w:gridSpan w:val="6"/>
          </w:tcPr>
          <w:p>
            <w:pPr>
              <w:spacing w:after="0"/>
              <w:rPr>
                <w:sz w:val="17"/>
                <w:szCs w:val="17"/>
                <w:color w:val="auto"/>
              </w:rPr>
            </w:pPr>
          </w:p>
        </w:tc>
        <w:tc>
          <w:tcPr>
            <w:tcW w:w="86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8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Where You Can Find More Information</w:t>
              </w:r>
            </w:hyperlink>
          </w:p>
        </w:tc>
        <w:tc>
          <w:tcPr>
            <w:tcW w:w="86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this shelf process, selling shareholders may sell the securities described in this prospectus either separately or in units, in one or more offerings. Our prospectus provides you with a general description of these securities.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You should read this prospectus together with any additional information you may need to make your investment decision. You should also read and carefully consider the information in the documents we have referred you to in “Where to Find Additional Information”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13"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References to “we,” “us” or “our” refer to Federal Realty Investment Trust and its directly or indirectly owned subsidiaries, unless the context otherwise requires. References to “common shares” refer to our common shares of beneficial interest, par value $0.01 per share. References to “preferred shares” refer to our 5.417% Series 1 Cumulative Convertible Preferred Shares of Beneficial Interest, liquidation preference $25.00 per share. References to “downREIT units” refer to units of limited liability company interest in NVI-Avenue, LLC, our consolidated subsidiary. The term “you” refers to a prospective investor.</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Before investing in our securities, you should be aware that there are various risks. Investors should carefully consider, among other factors, the factors discussed in this prospectus and the information incorporated by reference herein. This prospectus contains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incorporated by reference in this prospectus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and mixed-use properties. As of December 31, 2006, we owned or had a majority interest in, or controlled, 111 community and neighborhood shopping centers and mixed-use properties comprising approximately 18.8 million square feet, located primarily in densely populated and affluent communities throughout the Northeast and Mid-Atlantic United States, as well as in California. A joint venture in which we own a 30% interest owned six neighborhood shopping centers totaling approximately 0.7 million square feet as of December 31, 2006.</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www.federalrealty.com. The information contained on our website is not a part of this prospectus.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You should consider carefully the risks incorporated in this prospectus by reference to our Annual Report on Form 10-K for the fiscal year ended December 31, 2006 and the other information contained in this prospectus before deciding to invest in our common shares.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will not receive any proceeds from the sale of the offered shares by the selling shareholders. We will pay all costs and expenses incident to the registration of the offered shares, other than brokerage fees and sales commissions, fees and disbursements of the selling shareholders’ counsel, accountants and other advisors, and share transfer and other taxes attributable the sale of the offered shares, which will be paid by the selling shareholders. See “Selling Shareholders.”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SHAREHOLDERS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selling shareholders hold an aggregate of 884,066 common shares, 399,896 preferred shares and 185,504 downREIT units, which they acquired on March 8, 2007 in exchange for their interests in certain entities owing real properties. We may issue certain of the offered common shares to the selling shareholders in exchange for (i) the preferred shares if and to the extent that the selling shareholders tender their preferred shares for conversion, and (ii) the downREIT units if and to the extent that the selling shareholders tender their downREIT units for redemption. The common shares offered by this prospectus may be offered from time to time by the selling shareholders named below and by any additional selling shareholders who may be named in a supplement to this prospectus. In addition, the common shares covered by this prospectus may be sold by any permissible transferees who receive common shares, preferred shares or downREIT units from the selling shareholders listed below. The following table sets forth the name of each selling shareholder and the number of our common shares that may be offered by each selling shareholder.</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None of the selling shareholders has had any position, office or other material relationship with us, or any of our predecessors or affiliates, during the past three years, except that US Bank National Association holds the common shares listed below opposite its name as pledgee and in its capacity as escrow agent in connection with our recent acquisition of real properties. Since the selling shareholders may sell all, some or none of the offered common shares covered by this prospectus, no estimate can be made of the number of common shares that will be sold by the selling shareholders pursuant to this prospectus or that will be owned by the selling shareholders upon completion of the offering. As of March 7, 2007, none of the selling shareholders owned any of our common shares. The aggregate number of common shares set forth in the table below (which number assumes the conversion (upon the election of the preferred shareholders) of all outstanding preferred shares and the redemption (upon the election of the downREIT holders and the election of the registrant to acquire all tendered downREIT units in exchange for common shares) of all outstanding downREIT units owned by all of the selling shareholders as of the date hereof, at the conversion price and redemption price in effect as of the date hereof) represents approximately 2.069% of the total number of our common shares outstanding as of March 13, 2006.</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18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Common Shares</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18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r>
      <w:tr>
        <w:trPr>
          <w:trHeight w:val="168"/>
        </w:trPr>
        <w:tc>
          <w:tcPr>
            <w:tcW w:w="20" w:type="dxa"/>
            <w:vAlign w:val="bottom"/>
          </w:tcPr>
          <w:p>
            <w:pPr>
              <w:spacing w:after="0"/>
              <w:rPr>
                <w:sz w:val="14"/>
                <w:szCs w:val="14"/>
                <w:color w:val="auto"/>
              </w:rPr>
            </w:pPr>
          </w:p>
        </w:tc>
        <w:tc>
          <w:tcPr>
            <w:tcW w:w="422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Name of Selling Shareholder</w:t>
            </w:r>
          </w:p>
        </w:tc>
        <w:tc>
          <w:tcPr>
            <w:tcW w:w="8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Prior to Offering (1)</w:t>
            </w:r>
          </w:p>
        </w:tc>
        <w:tc>
          <w:tcPr>
            <w:tcW w:w="1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Being Offered</w:t>
            </w:r>
          </w:p>
        </w:tc>
        <w:tc>
          <w:tcPr>
            <w:tcW w:w="8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After the Offering (2)</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 Thomas Campbell</w:t>
            </w:r>
          </w:p>
        </w:tc>
        <w:tc>
          <w:tcPr>
            <w:tcW w:w="320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14,823(3)</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14,823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Anne S. Campbell</w:t>
            </w:r>
          </w:p>
        </w:tc>
        <w:tc>
          <w:tcPr>
            <w:tcW w:w="3200" w:type="dxa"/>
            <w:vAlign w:val="bottom"/>
            <w:gridSpan w:val="3"/>
          </w:tcPr>
          <w:p>
            <w:pPr>
              <w:jc w:val="right"/>
              <w:ind w:right="960"/>
              <w:spacing w:after="0"/>
              <w:rPr>
                <w:sz w:val="20"/>
                <w:szCs w:val="20"/>
                <w:color w:val="auto"/>
              </w:rPr>
            </w:pPr>
            <w:r>
              <w:rPr>
                <w:rFonts w:ascii="Arial" w:cs="Arial" w:eastAsia="Arial" w:hAnsi="Arial"/>
                <w:sz w:val="18"/>
                <w:szCs w:val="18"/>
                <w:color w:val="auto"/>
              </w:rPr>
              <w:t>11,121(4)</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11,121</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Bruce S. Campbell, III</w:t>
            </w:r>
          </w:p>
        </w:tc>
        <w:tc>
          <w:tcPr>
            <w:tcW w:w="320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50,605(5)</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50,605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Bruce S. Campbell, IV</w:t>
            </w:r>
          </w:p>
        </w:tc>
        <w:tc>
          <w:tcPr>
            <w:tcW w:w="3200" w:type="dxa"/>
            <w:vAlign w:val="bottom"/>
            <w:gridSpan w:val="3"/>
          </w:tcPr>
          <w:p>
            <w:pPr>
              <w:jc w:val="right"/>
              <w:ind w:right="960"/>
              <w:spacing w:after="0"/>
              <w:rPr>
                <w:sz w:val="20"/>
                <w:szCs w:val="20"/>
                <w:color w:val="auto"/>
              </w:rPr>
            </w:pPr>
            <w:r>
              <w:rPr>
                <w:rFonts w:ascii="Arial" w:cs="Arial" w:eastAsia="Arial" w:hAnsi="Arial"/>
                <w:sz w:val="18"/>
                <w:szCs w:val="18"/>
                <w:color w:val="auto"/>
              </w:rPr>
              <w:t>2,306(6)</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2,306</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Carol C. Haislip</w:t>
            </w:r>
          </w:p>
        </w:tc>
        <w:tc>
          <w:tcPr>
            <w:tcW w:w="320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14,823(7)</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14,823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Caroline Campbell Hill</w:t>
            </w:r>
          </w:p>
        </w:tc>
        <w:tc>
          <w:tcPr>
            <w:tcW w:w="3200" w:type="dxa"/>
            <w:vAlign w:val="bottom"/>
            <w:gridSpan w:val="3"/>
          </w:tcPr>
          <w:p>
            <w:pPr>
              <w:jc w:val="right"/>
              <w:ind w:right="960"/>
              <w:spacing w:after="0"/>
              <w:rPr>
                <w:sz w:val="20"/>
                <w:szCs w:val="20"/>
                <w:color w:val="auto"/>
              </w:rPr>
            </w:pPr>
            <w:r>
              <w:rPr>
                <w:rFonts w:ascii="Arial" w:cs="Arial" w:eastAsia="Arial" w:hAnsi="Arial"/>
                <w:sz w:val="18"/>
                <w:szCs w:val="18"/>
                <w:color w:val="auto"/>
              </w:rPr>
              <w:t>2,397(8)</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2,397</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Carolyn C. Beall</w:t>
            </w:r>
          </w:p>
        </w:tc>
        <w:tc>
          <w:tcPr>
            <w:tcW w:w="320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46,813(9)</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46,813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Charles C. Campbell</w:t>
            </w:r>
          </w:p>
        </w:tc>
        <w:tc>
          <w:tcPr>
            <w:tcW w:w="3200" w:type="dxa"/>
            <w:vAlign w:val="bottom"/>
            <w:gridSpan w:val="3"/>
          </w:tcPr>
          <w:p>
            <w:pPr>
              <w:jc w:val="right"/>
              <w:ind w:right="880"/>
              <w:spacing w:after="0"/>
              <w:rPr>
                <w:sz w:val="20"/>
                <w:szCs w:val="20"/>
                <w:color w:val="auto"/>
              </w:rPr>
            </w:pPr>
            <w:r>
              <w:rPr>
                <w:rFonts w:ascii="Arial" w:cs="Arial" w:eastAsia="Arial" w:hAnsi="Arial"/>
                <w:sz w:val="18"/>
                <w:szCs w:val="18"/>
                <w:color w:val="auto"/>
              </w:rPr>
              <w:t>42,954(10)</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42,954</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Charlton G. Campbell Hughes</w:t>
            </w:r>
          </w:p>
        </w:tc>
        <w:tc>
          <w:tcPr>
            <w:tcW w:w="32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52,659(11)</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52,659</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Douglas Franklin Campbell</w:t>
            </w:r>
          </w:p>
        </w:tc>
        <w:tc>
          <w:tcPr>
            <w:tcW w:w="3200" w:type="dxa"/>
            <w:vAlign w:val="bottom"/>
            <w:gridSpan w:val="3"/>
          </w:tcPr>
          <w:p>
            <w:pPr>
              <w:jc w:val="right"/>
              <w:ind w:right="880"/>
              <w:spacing w:after="0"/>
              <w:rPr>
                <w:sz w:val="20"/>
                <w:szCs w:val="20"/>
                <w:color w:val="auto"/>
              </w:rPr>
            </w:pPr>
            <w:r>
              <w:rPr>
                <w:rFonts w:ascii="Arial" w:cs="Arial" w:eastAsia="Arial" w:hAnsi="Arial"/>
                <w:sz w:val="18"/>
                <w:szCs w:val="18"/>
                <w:color w:val="auto"/>
              </w:rPr>
              <w:t>18,745(12)</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18,745</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35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40" w:type="dxa"/>
            <w:vAlign w:val="bottom"/>
            <w:gridSpan w:val="2"/>
          </w:tcPr>
          <w:p>
            <w:pPr>
              <w:jc w:val="right"/>
              <w:ind w:right="912"/>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Gregg T. Campbell</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55,811(13)</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55,811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J. Tyler Campbell</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42,954(14)</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42,954</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Judith F. Campbell</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81,315(15)</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81,315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Kathleen Campbell Ackerman</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2,397(16)</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2,397</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Madeline C. Modica</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47,160(17)</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47,160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Marcie C. McHale</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18,555(18)</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18,555</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Robert Bruce Campbell</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19,712(19)</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19,712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Russell Tyler Campbell</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18,745(20)</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18,745</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 James Campbell, Jr.</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14,823(21)</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14,823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Sarah T. Campbell</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2,306(22)</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2,306</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Taber C. Hook</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46,401(23)</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46,401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Thomas M. Campbell</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59,565(24)</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59,565</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Trustee of the Richard L. Campbell, Jr. Residuary Trust</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31,834(25)</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31,834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8"/>
        </w:trPr>
        <w:tc>
          <w:tcPr>
            <w:tcW w:w="5940" w:type="dxa"/>
            <w:vAlign w:val="bottom"/>
          </w:tcPr>
          <w:p>
            <w:pPr>
              <w:spacing w:after="0"/>
              <w:rPr>
                <w:sz w:val="20"/>
                <w:szCs w:val="20"/>
                <w:color w:val="auto"/>
              </w:rPr>
            </w:pPr>
            <w:r>
              <w:rPr>
                <w:rFonts w:ascii="Arial" w:cs="Arial" w:eastAsia="Arial" w:hAnsi="Arial"/>
                <w:sz w:val="18"/>
                <w:szCs w:val="18"/>
                <w:color w:val="auto"/>
              </w:rPr>
              <w:t>Trustees of the Generation Skipping Transfer Tax Exempt Trust u/w of S.</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66,765(26)</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66,765</w:t>
            </w:r>
          </w:p>
        </w:tc>
        <w:tc>
          <w:tcPr>
            <w:tcW w:w="680" w:type="dxa"/>
            <w:vAlign w:val="bottom"/>
          </w:tcPr>
          <w:p>
            <w:pPr>
              <w:spacing w:after="0"/>
              <w:rPr>
                <w:sz w:val="18"/>
                <w:szCs w:val="18"/>
                <w:color w:val="auto"/>
              </w:rPr>
            </w:pPr>
          </w:p>
        </w:tc>
      </w:tr>
      <w:tr>
        <w:trPr>
          <w:trHeight w:val="222"/>
        </w:trPr>
        <w:tc>
          <w:tcPr>
            <w:tcW w:w="5940" w:type="dxa"/>
            <w:vAlign w:val="bottom"/>
          </w:tcPr>
          <w:p>
            <w:pPr>
              <w:ind w:left="220"/>
              <w:spacing w:after="0"/>
              <w:rPr>
                <w:sz w:val="20"/>
                <w:szCs w:val="20"/>
                <w:color w:val="auto"/>
              </w:rPr>
            </w:pPr>
            <w:r>
              <w:rPr>
                <w:rFonts w:ascii="Arial" w:cs="Arial" w:eastAsia="Arial" w:hAnsi="Arial"/>
                <w:sz w:val="18"/>
                <w:szCs w:val="18"/>
                <w:color w:val="auto"/>
              </w:rPr>
              <w:t>James Campbell</w:t>
            </w:r>
          </w:p>
        </w:tc>
        <w:tc>
          <w:tcPr>
            <w:tcW w:w="2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8"/>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Trustees of the Laurence Thomsen Trust u/a 10/16/67</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144,562(27)</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144,562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Trustees of the Residuary Trust u/w S. James Campbell</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32,678(28)</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32,678</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Trustees of Trust No. 2 u/w Michael T. Campbell</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48,268(29)</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48,268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Jamie N. Campbell</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2,179(30)</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2,179</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Virginia T. Campbell</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58,886(31)</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58,886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Estate of William B. Campbell</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26,321(32)</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26,321</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Brett Campbell Alcarese</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1,756(33)</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1,756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Dollenberg Family Limited Partnership</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11,827(34)</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11,827</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8"/>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Douglas F. Campbell, Custodian for Connor M. Campbell under OR-</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386(35)</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386</w:t>
            </w:r>
          </w:p>
        </w:tc>
        <w:tc>
          <w:tcPr>
            <w:tcW w:w="680" w:type="dxa"/>
            <w:vAlign w:val="bottom"/>
            <w:shd w:val="clear" w:color="auto" w:fill="CCEEFF"/>
          </w:tcPr>
          <w:p>
            <w:pPr>
              <w:spacing w:after="0"/>
              <w:rPr>
                <w:sz w:val="18"/>
                <w:szCs w:val="18"/>
                <w:color w:val="auto"/>
              </w:rPr>
            </w:pPr>
          </w:p>
        </w:tc>
      </w:tr>
      <w:tr>
        <w:trPr>
          <w:trHeight w:val="224"/>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UGMA</w:t>
            </w:r>
          </w:p>
        </w:tc>
        <w:tc>
          <w:tcPr>
            <w:tcW w:w="2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8"/>
        </w:trPr>
        <w:tc>
          <w:tcPr>
            <w:tcW w:w="5940" w:type="dxa"/>
            <w:vAlign w:val="bottom"/>
          </w:tcPr>
          <w:p>
            <w:pPr>
              <w:spacing w:after="0"/>
              <w:rPr>
                <w:sz w:val="20"/>
                <w:szCs w:val="20"/>
                <w:color w:val="auto"/>
              </w:rPr>
            </w:pPr>
            <w:r>
              <w:rPr>
                <w:rFonts w:ascii="Arial" w:cs="Arial" w:eastAsia="Arial" w:hAnsi="Arial"/>
                <w:sz w:val="18"/>
                <w:szCs w:val="18"/>
                <w:color w:val="auto"/>
              </w:rPr>
              <w:t>Douglas F. Campbell, Custodian for Mitchell W. Campbell under OR-</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386(36)</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386</w:t>
            </w:r>
          </w:p>
        </w:tc>
        <w:tc>
          <w:tcPr>
            <w:tcW w:w="680" w:type="dxa"/>
            <w:vAlign w:val="bottom"/>
          </w:tcPr>
          <w:p>
            <w:pPr>
              <w:spacing w:after="0"/>
              <w:rPr>
                <w:sz w:val="18"/>
                <w:szCs w:val="18"/>
                <w:color w:val="auto"/>
              </w:rPr>
            </w:pPr>
          </w:p>
        </w:tc>
      </w:tr>
      <w:tr>
        <w:trPr>
          <w:trHeight w:val="222"/>
        </w:trPr>
        <w:tc>
          <w:tcPr>
            <w:tcW w:w="5940" w:type="dxa"/>
            <w:vAlign w:val="bottom"/>
          </w:tcPr>
          <w:p>
            <w:pPr>
              <w:ind w:left="220"/>
              <w:spacing w:after="0"/>
              <w:rPr>
                <w:sz w:val="20"/>
                <w:szCs w:val="20"/>
                <w:color w:val="auto"/>
              </w:rPr>
            </w:pPr>
            <w:r>
              <w:rPr>
                <w:rFonts w:ascii="Arial" w:cs="Arial" w:eastAsia="Arial" w:hAnsi="Arial"/>
                <w:sz w:val="18"/>
                <w:szCs w:val="18"/>
                <w:color w:val="auto"/>
              </w:rPr>
              <w:t>UGMA</w:t>
            </w:r>
          </w:p>
        </w:tc>
        <w:tc>
          <w:tcPr>
            <w:tcW w:w="2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8"/>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Douglas F. Campbell, Custodian for Sarah A. Campbell under OR-UGMA</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386(37)</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 Mills Dancy</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348(38)</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348</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George Beall</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174(39)</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174</w:t>
            </w:r>
          </w:p>
        </w:tc>
        <w:tc>
          <w:tcPr>
            <w:tcW w:w="6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James C. Alban, IV</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348(40)</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348</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Jesse R. Modica</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348(41)</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Jessica C. Hughes</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1,505(42)</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1,505</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Marcie C. McHale, Custodian for Claire J. McHale under WA-UGMA</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386(43)</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Marcie C. McHale, Custodian for Madeline C. McHale under WA-UGMA</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386(44)</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386</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Marcie C. McHale, Custodian for Samuel H. McHale under WA-UGMA</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386(45)</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Meredith McLean Alcarese</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1,756(46)</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1,756</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Mitchell W. Hook</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348(47)</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Natal Modica</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348(48)</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348</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Nicholas G. Alban</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348(49)</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FR White Marsh, Inc.</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20(50)</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20</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Richard E. Hook, IV</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174(51)</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Russell T. Campbell, Custodian for Jessica J. Campbell under OR-UGMA</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290(52)</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290</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Russell T. Campbell, Custodian for Kelsey N. Campbell under OR-UGMA</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290(53)</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8"/>
        </w:trPr>
        <w:tc>
          <w:tcPr>
            <w:tcW w:w="5940" w:type="dxa"/>
            <w:vAlign w:val="bottom"/>
          </w:tcPr>
          <w:p>
            <w:pPr>
              <w:spacing w:after="0"/>
              <w:rPr>
                <w:sz w:val="20"/>
                <w:szCs w:val="20"/>
                <w:color w:val="auto"/>
              </w:rPr>
            </w:pPr>
            <w:r>
              <w:rPr>
                <w:rFonts w:ascii="Arial" w:cs="Arial" w:eastAsia="Arial" w:hAnsi="Arial"/>
                <w:sz w:val="18"/>
                <w:szCs w:val="18"/>
                <w:color w:val="auto"/>
              </w:rPr>
              <w:t>Russell T. Campbell, Custodian for Lindsey M. Campbell under OR-</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290(54)</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290</w:t>
            </w:r>
          </w:p>
        </w:tc>
        <w:tc>
          <w:tcPr>
            <w:tcW w:w="680" w:type="dxa"/>
            <w:vAlign w:val="bottom"/>
          </w:tcPr>
          <w:p>
            <w:pPr>
              <w:spacing w:after="0"/>
              <w:rPr>
                <w:sz w:val="18"/>
                <w:szCs w:val="18"/>
                <w:color w:val="auto"/>
              </w:rPr>
            </w:pPr>
          </w:p>
        </w:tc>
      </w:tr>
      <w:tr>
        <w:trPr>
          <w:trHeight w:val="222"/>
        </w:trPr>
        <w:tc>
          <w:tcPr>
            <w:tcW w:w="5940" w:type="dxa"/>
            <w:vAlign w:val="bottom"/>
          </w:tcPr>
          <w:p>
            <w:pPr>
              <w:ind w:left="220"/>
              <w:spacing w:after="0"/>
              <w:rPr>
                <w:sz w:val="20"/>
                <w:szCs w:val="20"/>
                <w:color w:val="auto"/>
              </w:rPr>
            </w:pPr>
            <w:r>
              <w:rPr>
                <w:rFonts w:ascii="Arial" w:cs="Arial" w:eastAsia="Arial" w:hAnsi="Arial"/>
                <w:sz w:val="18"/>
                <w:szCs w:val="18"/>
                <w:color w:val="auto"/>
              </w:rPr>
              <w:t>UGMA</w:t>
            </w:r>
          </w:p>
        </w:tc>
        <w:tc>
          <w:tcPr>
            <w:tcW w:w="2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8"/>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Russell T. Campbell, Custodian for Tyler W. Campbell under OR-UGMA</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290(55)</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Trustees of Trust u/w Michael T. Campbell f/b/o Jamie N. Campbell</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8,991(56)</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8,991</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Trustees u/a dated 4/23/85 (Richard E. Hook, IV, Grantor)</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348(57)</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Taber A. Frederick</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348(58)</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348</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NPI Liquidating Trust</w:t>
            </w:r>
          </w:p>
        </w:tc>
        <w:tc>
          <w:tcPr>
            <w:tcW w:w="21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54,114(59)</w:t>
            </w:r>
          </w:p>
        </w:tc>
        <w:tc>
          <w:tcPr>
            <w:tcW w:w="1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54,114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2100" w:type="dxa"/>
            <w:vAlign w:val="bottom"/>
          </w:tcPr>
          <w:p>
            <w:pPr>
              <w:jc w:val="right"/>
              <w:ind w:right="512"/>
              <w:spacing w:after="0"/>
              <w:rPr>
                <w:sz w:val="20"/>
                <w:szCs w:val="20"/>
                <w:color w:val="auto"/>
              </w:rPr>
            </w:pPr>
            <w:r>
              <w:rPr>
                <w:rFonts w:ascii="Arial" w:cs="Arial" w:eastAsia="Arial" w:hAnsi="Arial"/>
                <w:sz w:val="18"/>
                <w:szCs w:val="18"/>
                <w:color w:val="auto"/>
              </w:rPr>
              <w:t>54,114(60)</w:t>
            </w:r>
          </w:p>
        </w:tc>
        <w:tc>
          <w:tcPr>
            <w:tcW w:w="1780" w:type="dxa"/>
            <w:vAlign w:val="bottom"/>
          </w:tcPr>
          <w:p>
            <w:pPr>
              <w:jc w:val="right"/>
              <w:ind w:right="512"/>
              <w:spacing w:after="0"/>
              <w:rPr>
                <w:sz w:val="20"/>
                <w:szCs w:val="20"/>
                <w:color w:val="auto"/>
              </w:rPr>
            </w:pPr>
            <w:r>
              <w:rPr>
                <w:rFonts w:ascii="Arial" w:cs="Arial" w:eastAsia="Arial" w:hAnsi="Arial"/>
                <w:sz w:val="18"/>
                <w:szCs w:val="18"/>
                <w:color w:val="auto"/>
              </w:rPr>
              <w:t>54,114</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line="30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Assuming (i) the conversion (upon the election of the preferred shareholders) as of the date hereof of all outstanding preferred shares, and (ii) the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hereof.</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Assuming the sale of all of the shares being offered under this registration statement.</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9,517 outstanding common shares, 0 common shares that are issuable to the selling shareholder upon conversion of all preferred shares owned by the selling shareholder, and 5,306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10,214 outstanding common shares, 0 common shares that are issuable to the selling shareholder upon conversion of all preferred shares owned by the selling shareholder, and 907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33,825 outstanding common shares, 9,757 common shares that are issuable to the selling shareholder upon conversion of all preferred shares owned by the selling shareholder, and 7,023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1,281 outstanding common shares, 369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9,517 outstanding common shares, 0 common shares that are issuable to the selling shareholder upon conversion of all preferred shares owned by the selling shareholder, and 5,306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1,741 outstanding common shares, 0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39,481 outstanding common shares, 0 common shares that are issuable to the selling shareholder upon conversion of all preferred shares owned by the selling shareholder, and 7,332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39,481 outstanding common shares, 0 common shares that are issuable to the selling shareholder upon conversion of all preferred shares owned by the selling shareholder, and 3,473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10,932 outstanding common shares, 33,585 common shares that are issuable to the selling shareholder upon conversion of all preferred shares owned by the selling shareholder, and 8,142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12,725 outstanding common shares, 0 common shares that are issuable to the selling shareholder upon conversion of all preferred shares owned by the selling shareholder, and 6,020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19,296 outstanding common shares, 26,868 common shares that are issuable to the selling shareholder upon conversion of all preferred shares owned by the selling shareholder, and 9,647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39,481 outstanding common shares, 0 common shares that are issuable to the selling shareholder upon conversion of all preferred shares owned by the selling shareholder, and 3,473 common shares that are issuable to the selling shareholder upon redemption of all of the downREIT units owned by the selling shareholder.</w:t>
      </w:r>
    </w:p>
    <w:p>
      <w:pPr>
        <w:jc w:val="both"/>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81,083 outstanding common shares, 0 common shares that are issuable to the selling shareholder upon conversion of all preferred shares owned by the selling shareholder, and 232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1,741 outstanding common shares, 0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39,481 outstanding common shares, 0 common shares that are issuable to the selling shareholder upon conversion of all preferred shares owned by the selling shareholder, and 7,679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12,535 outstanding common shares, 0 common shares that are issuable to the selling shareholder upon conversion of all preferred shares owned by the selling shareholder, and 6,020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12,535 outstanding common shares, 0 common shares that are issuable to the selling shareholder upon conversion of all preferred shares owned by the selling shareholder, and 7,177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12,725 outstanding common shares, 0 common shares that are issuable to the selling shareholder upon conversion of all preferred shares owned by the selling shareholder, and 6,020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9,517 outstanding common shares, 0 common shares that are issuable to the selling shareholder upon conversion of all preferred shares owned by the selling shareholder, and 5,306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1,281 outstanding common shares, 369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37,394 outstanding common shares, 1,675 common shares that are issuable to the selling shareholder upon conversion of all preferred shares owned by the selling shareholder, and 7,332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38,743 outstanding common shares, 11,175 common shares that are issuable to the selling shareholder upon conversion of all preferred shares owned by the selling shareholder, and 9,647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29,268 outstanding common shares, 0 common shares that are issuable to the selling shareholder upon conversion of all preferred shares owned by the selling shareholder, and 2,566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57,215 outstanding common shares, 0 common shares that are issuable to the selling shareholder upon conversion of all preferred shares owned by the selling shareholder, and 9,550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119,095 outstanding common shares, 0 common shares that are issuable to the selling shareholder upon conversion of all preferred shares owned by the selling shareholder, and 25,467 common shares that are issuable to the selling shareholder upon redemption of all of the downREIT units owned by the selling shareholder.</w:t>
      </w:r>
    </w:p>
    <w:p>
      <w:pPr>
        <w:ind w:left="460" w:right="4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32,678 outstanding common shares, 0 common shares that are issuable to the selling shareholder upon conversion of all preferred shares owned by the selling shareholder, and 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37,462 outstanding common shares, 10,806 common shares that are issuable to the selling shareholder upon conversion of all preferred shares owned by the selling shareholder, and 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637 outstanding common shares, 886 common shares that are issuable to the selling shareholder upon conversion of all preferred shares owned by the selling shareholder, and 656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52,750 outstanding common shares, 0 common shares that are issuable to the selling shareholder upon conversion of all preferred shares owned by the selling shareholder, and 6,136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26,321 outstanding common shares, 0 common shares that are issuable to the selling shareholder upon conversion of all preferred shares owned by the selling shareholder, and 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1,756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11,827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174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2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jc w:val="both"/>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1,505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386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1,756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174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290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290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290 common shares that are issuable to the selling shareholder upon redemption of all of the downREIT units owned by the selling shareholder.</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290 common shares that are issuable to the selling shareholder upon redemption of all of the downREIT units owned by the selling shareholder.</w:t>
      </w:r>
    </w:p>
    <w:p>
      <w:pPr>
        <w:jc w:val="both"/>
        <w:ind w:left="460" w:right="1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8,991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348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54,114 outstanding common shares, 0 common shares that are issuable to the selling shareholder upon conversion of all preferred shares owned by the selling shareholder, and 0 common shares that are issuable to the selling shareholder upon redemption of all of the downREIT units owned by the selling shareholder. These 54,114 common shares, or the escrow shares, are pledged by NPI Liquidating Trust to US Bank, National Association pursuant to the terms of an escrow agreement, and will be held by US Bank, National Association in its capacity as escrow agent during the term of the escrow agreement. During the term of the escrow agreement US Bank, National Association has sole authority to dispose of the escrow shares, and NPI Liquidating Trust retains all other rights associated with the escrow shares. Upon the termination of the escrow agreement, the pledge of the escrow shares will cease, and NPI Liquidating Trust will thereafter have all rights associated with the escrow shares, including the sole authority to dispose of the escrow shares.</w:t>
      </w:r>
    </w:p>
    <w:p>
      <w:pPr>
        <w:spacing w:after="0" w:line="3" w:lineRule="exact"/>
        <w:rPr>
          <w:rFonts w:ascii="Arial" w:cs="Arial" w:eastAsia="Arial" w:hAnsi="Arial"/>
          <w:sz w:val="18"/>
          <w:szCs w:val="18"/>
          <w:color w:val="auto"/>
        </w:rPr>
      </w:pPr>
    </w:p>
    <w:p>
      <w:pPr>
        <w:ind w:left="460" w:right="60" w:hanging="452"/>
        <w:spacing w:after="0" w:line="252"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54,114 outstanding common shares, 0 common shares that are issuable to the selling shareholder upon conversion of all preferred shares owned by the selling shareholder, and 0 common shares that are issuable to the selling shareholder upon redemption of all of the downREIT units owned by the selling shareholder. These 54,114 common shares, or the escrow shares, are pledged by NPI Liquidating Trust to US Bank, National Association pursuant to the terms of an escrow agreement, and will be held by US Bank, National Association in its capacity as escrow agent during the term of the escrow agreement. During the term of the escrow agreement US Bank, National Association has sole authority to dispose of the escrow shares, and NPI Liquidating Trust retains all other rights associated with the escrow shares. Upon the termination of the escrow agreement, the pledge of the escrow shares will cease, and NPI Liquidating Trust will thereafter have all rights associated with the escrow shares, including the sole authority to dispose of the escrow shares.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has been prepared based solely upon information furnished to us by the selling shareholders listed above.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INCOME TAX CONSIDERATIONS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dealers or brokers in securities, non-U.S. individuals and foreign corporations (except to the extent discussed in “— Taxation of Non-U.S. Shareholders” below), and shareholders that hold their shares as part of a hedge, appreciated financial position, straddle or conversion transaction.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through the year ended December 31, 2006;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2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corporation. However, we will be subject to federal tax in the following circumstances:</w:t>
      </w:r>
    </w:p>
    <w:p>
      <w:pPr>
        <w:spacing w:after="0" w:line="59" w:lineRule="exact"/>
        <w:rPr>
          <w:sz w:val="20"/>
          <w:szCs w:val="20"/>
          <w:color w:val="auto"/>
        </w:rPr>
      </w:pPr>
    </w:p>
    <w:p>
      <w:pPr>
        <w:ind w:left="900" w:right="5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subject to the “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4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4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40" w:hanging="325"/>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U.S. Department of Treasury (“Treasury”);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our Annual Report on Form 10-K for the fiscal year ended December 31, 2006 in “Risk Factors–To maintain our status as a REIT, we limit the amount of shares any one shareholder can own.”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60" w:hanging="325"/>
        <w:spacing w:after="0" w:line="25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61"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and certain real estate liability hedges)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Rent that we receive from real property that we own and lease to tenants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qualify as “rents from real property” (which is qualifying income for purposes of the 75% and 95% gross income tests) only if several conditions are met under the REIT tax rules:</w:t>
      </w:r>
    </w:p>
    <w:p>
      <w:pPr>
        <w:spacing w:after="0" w:line="59" w:lineRule="exact"/>
        <w:rPr>
          <w:sz w:val="20"/>
          <w:szCs w:val="20"/>
          <w:color w:val="auto"/>
        </w:rPr>
      </w:pPr>
    </w:p>
    <w:p>
      <w:pPr>
        <w:jc w:val="both"/>
        <w:ind w:left="900" w:right="160" w:hanging="325"/>
        <w:spacing w:after="0" w:line="335"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 (except where we have determined that the rent received will not jeopardize our status as a REIT);</w:t>
      </w:r>
    </w:p>
    <w:p>
      <w:pPr>
        <w:spacing w:after="0" w:line="7" w:lineRule="exact"/>
        <w:rPr>
          <w:rFonts w:ascii="Arial" w:cs="Arial" w:eastAsia="Arial" w:hAnsi="Arial"/>
          <w:sz w:val="15"/>
          <w:szCs w:val="15"/>
          <w:color w:val="auto"/>
        </w:rPr>
      </w:pPr>
    </w:p>
    <w:p>
      <w:pPr>
        <w:ind w:left="900" w:hanging="325"/>
        <w:spacing w:after="0" w:line="290"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56" w:lineRule="auto"/>
        <w:rPr>
          <w:sz w:val="20"/>
          <w:szCs w:val="20"/>
          <w:color w:val="auto"/>
        </w:rPr>
      </w:pPr>
      <w:r>
        <w:rPr>
          <w:rFonts w:ascii="Arial" w:cs="Arial" w:eastAsia="Arial" w:hAnsi="Arial"/>
          <w:sz w:val="18"/>
          <w:szCs w:val="18"/>
          <w:color w:val="auto"/>
        </w:rPr>
        <w:t>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76" w:lineRule="exact"/>
        <w:rPr>
          <w:sz w:val="20"/>
          <w:szCs w:val="20"/>
          <w:color w:val="auto"/>
        </w:rPr>
      </w:pPr>
    </w:p>
    <w:p>
      <w:pPr>
        <w:ind w:left="900" w:right="20" w:hanging="325"/>
        <w:spacing w:after="0" w:line="25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certain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63"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 and</w:t>
      </w:r>
    </w:p>
    <w:p>
      <w:pPr>
        <w:spacing w:after="0" w:line="31" w:lineRule="exact"/>
        <w:rPr>
          <w:rFonts w:ascii="Arial" w:cs="Arial" w:eastAsia="Arial" w:hAnsi="Arial"/>
          <w:sz w:val="16"/>
          <w:szCs w:val="16"/>
          <w:color w:val="auto"/>
        </w:rPr>
      </w:pPr>
    </w:p>
    <w:p>
      <w:pPr>
        <w:ind w:left="900" w:hanging="325"/>
        <w:spacing w:after="0" w:line="290"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Based on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90" w:lineRule="exact"/>
        <w:rPr>
          <w:sz w:val="20"/>
          <w:szCs w:val="20"/>
          <w:color w:val="auto"/>
        </w:rPr>
      </w:pPr>
    </w:p>
    <w:p>
      <w:pPr>
        <w:ind w:left="900" w:right="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50" w:lineRule="exact"/>
        <w:rPr>
          <w:rFonts w:ascii="Arial" w:cs="Arial" w:eastAsia="Arial" w:hAnsi="Arial"/>
          <w:sz w:val="18"/>
          <w:szCs w:val="18"/>
          <w:color w:val="auto"/>
        </w:rPr>
      </w:pPr>
    </w:p>
    <w:p>
      <w:pPr>
        <w:ind w:left="900" w:right="26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50" w:lineRule="exact"/>
        <w:rPr>
          <w:rFonts w:ascii="Arial" w:cs="Arial" w:eastAsia="Arial" w:hAnsi="Arial"/>
          <w:sz w:val="18"/>
          <w:szCs w:val="18"/>
          <w:color w:val="auto"/>
        </w:rPr>
      </w:pPr>
    </w:p>
    <w:p>
      <w:pPr>
        <w:jc w:val="both"/>
        <w:ind w:left="900" w:right="420" w:hanging="325"/>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40"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2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40" w:hanging="325"/>
        <w:spacing w:after="0" w:line="370"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Tax on Prohibited Transactions</w:t>
      </w:r>
      <w:r>
        <w:rPr>
          <w:rFonts w:ascii="Arial" w:cs="Arial" w:eastAsia="Arial" w:hAnsi="Arial"/>
          <w:sz w:val="16"/>
          <w:szCs w:val="16"/>
          <w:color w:val="auto"/>
        </w:rPr>
        <w:t>. A REIT will incur a 100% tax on net income derived from any “prohibited transaction.” A “prohibited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Not taking into account properties held by our taxable REIT subsidiaries, we believe that none of the assets we are treated as holding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3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right="240" w:hanging="446"/>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50" w:lineRule="exact"/>
        <w:rPr>
          <w:rFonts w:ascii="Arial" w:cs="Arial" w:eastAsia="Arial" w:hAnsi="Arial"/>
          <w:sz w:val="18"/>
          <w:szCs w:val="18"/>
          <w:color w:val="auto"/>
        </w:rPr>
      </w:pPr>
    </w:p>
    <w:p>
      <w:pPr>
        <w:jc w:val="both"/>
        <w:ind w:left="1480" w:right="320" w:hanging="446"/>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50" w:lineRule="exact"/>
        <w:rPr>
          <w:rFonts w:ascii="Arial" w:cs="Arial" w:eastAsia="Arial" w:hAnsi="Arial"/>
          <w:sz w:val="18"/>
          <w:szCs w:val="18"/>
          <w:color w:val="auto"/>
        </w:rPr>
      </w:pPr>
    </w:p>
    <w:p>
      <w:pPr>
        <w:ind w:left="900" w:right="180" w:hanging="325"/>
        <w:spacing w:after="0" w:line="28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generally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88" w:lineRule="auto"/>
        <w:tabs>
          <w:tab w:leader="none" w:pos="2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it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following taxable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such year. In such event, to the extent of our earnings and profits, all distributions to shareholders would be taxable as ordinary income. Such distributions would, however, be “qualified dividend income,” which is taxable at long-term capital gain rates for individual shareholders.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“taxable U.S. shareholder” means a taxable holder of common shares that for U.S. federal income tax purposes is</w:t>
      </w:r>
    </w:p>
    <w:p>
      <w:pPr>
        <w:spacing w:after="0" w:line="113"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corporation, partnership, or other entity created or organized in or under the laws of the United States, any of its states or the District of Columbia;</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20" w:hanging="325"/>
        <w:spacing w:after="0" w:line="29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taxable U.S. shareholders.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 partnership, including an entity that is treated as a partnership for U.S. federal income tax purposes, is a beneficial owner of our shares, the treatment of a partner in the partnership will generally depend on the status of the partner and the activities of the partnership.</w:t>
      </w:r>
    </w:p>
    <w:p>
      <w:pPr>
        <w:spacing w:after="0" w:line="13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b w:val="1"/>
          <w:bCs w:val="1"/>
          <w:i w:val="1"/>
          <w:iCs w:val="1"/>
          <w:color w:val="auto"/>
        </w:rPr>
        <w:t xml:space="preserve">Dividends and Other Taxable U.S. Shareholder Distributions. </w:t>
      </w:r>
      <w:r>
        <w:rPr>
          <w:rFonts w:ascii="Arial" w:cs="Arial" w:eastAsia="Arial" w:hAnsi="Arial"/>
          <w:sz w:val="15"/>
          <w:szCs w:val="15"/>
          <w:color w:val="auto"/>
        </w:rPr>
        <w:t>As long as we qualify as a REIT, a taxable U.S. shareholder must take into account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8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the common shares as long-term capital gain or loss if the taxable U.S. shareholder has held its shares for more than one year and otherwise as short-term capital gain or loss.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shares may be disallowed if the taxable U.S. shareholder purchases substantially identical shares within the 61-day period beginning 30 days before and ending 30 days after the disposition.</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 ordinary income for non-corporate taxpayers is significant.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35"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Without legislation,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We will report to our shareholders and to the IRS the amount of dividends we pay during each calendar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U.S. shareholder’s income tax liability. In addition, we may be required to withhold a portion of capital gain distributions to any shareholders who fail to certify their non-foreign status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rules governing U.S. federal income taxation of non-U.S. shareholders are complex. This section is only a summary of such rules. We urge non-U.S. shareholders to consult their own tax advisors to determine the impact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of federal, state, and local income tax laws on ownership of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2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an ordinary dividend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our shares, the non-U.S. shareholder incurs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4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shares as long as we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non-U.S. persons held, directly or indirectly, less than 50% in value of our shares. We anticipate that we will continue to be a “domestically controlled REIT.” In addition, a non-U.S. shareholder that owns, actually or constructively, 5% or less of a class of our outstanding shares at all times during a specified testing period will not incur tax under FIRPTA on a sale of such shares if the shares are “regularly traded” on an established securities market. If neither of these exceptions were to apply, the gain on the sale of the common shares would be taxed under FIRPTA, in which case a non-U.S. shareholder would be taxed in the same manner as taxable U.S. shareholders with respect to such gain (subject to applicable alternative minimum tax and a special alternative minimum tax in the case of nonresident alien individuals), and the purchaser of the shares would be required to withhold and remit to the IRS 10% of the purchase price.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Backup withholding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6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 are held by U.S. persons or if it is engaged in the conduct of a trade or business in the U.S.,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96"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color w:val="auto"/>
        </w:rPr>
        <w:t>. We and/or you may be subject to state and local tax in various states and localities, including those states and localities in which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common shares.</w:t>
      </w:r>
    </w:p>
    <w:p>
      <w:pPr>
        <w:spacing w:after="0" w:line="24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the common shares covered by this prospectus.</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sale or distribution of all or any portion of the common shares covered by this prospectus may be effected from time to time by the selling shareholders, or any of their permissible transferees.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may be made at market prices prevailing at the time of sale, at prices related to such prevailing market prices or at negotiated prices.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the common shares covered by this prospectus may be sold or distributed include:</w:t>
      </w:r>
    </w:p>
    <w:p>
      <w:pPr>
        <w:spacing w:after="0" w:line="90" w:lineRule="exact"/>
        <w:rPr>
          <w:sz w:val="20"/>
          <w:szCs w:val="20"/>
          <w:color w:val="auto"/>
        </w:rPr>
      </w:pPr>
    </w:p>
    <w:p>
      <w:pPr>
        <w:ind w:left="900" w:right="76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 rata distributions as part of the liquidation and winding up of the affairs of the selling shareholders or successor in interest that is an entity;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pledges to a lender as collateral to secure loans, credit or other financing arrangements and any subsequent foreclosure, if any, thereunder;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effecting sales, brokers or dealers engaged by the selling shareholders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selling shareholders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shareholders also may enter into hedging transactions with brokers, dealers or other financial institutions, which may in turn engage in short sales of the common shares covered by this prospectus in the course of hedging the positions they assume.</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selling shareholders and the brokers or dealers participating in the distribution of the common shares covered by this prospectus may be deemed “underwriters” within the meaning of the Securities Act. Any profit on the sale of the common shares covered by this prospectus by the selling shareholders and any discounts, concessions or commissions received by any such brokers or dealers may be regarded as underwriting commissions under the Securities Act.</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sale or distribution of the common shares covered by this prospectus, the rules of the Commission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pay all expenses in connection with the registration of the common shares covered by this prospectus. The selling shareholders will pay for any brokerage or underwriting commissions and taxes of any kind (including, without limitation, transfer taxes) with respect to any disposition, sale or transfer of the common shares covered by this prospectus.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(or persons whose offered shares are aggregated) who has satisfied a one-year holding period may, under certain circumstances, sell within any three-month period a number of the common shares covered by this prospectus which does not exceed the greater of one percent of our outstanding common shares or the average weekly reported trading volume of our common shares during the four calendar weeks prior to such sale. Rule 144 also permits, under certain circumstances, the sale of the common shares covered by this prospectus by a person who is not an affiliate of ours and who has satisfied a two-year holding period without any volume limitation. Therefore, both during and after the effectiveness of the registration statement, the selling shareholders may sell the common shares covered by this prospectus pursuant to Rule 144.</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validity of the offered common shares and the accuracy of the discussion under “Federal Income Tax Considerations” will be passed upon for us by Pillsbury Winthrop Shaw Pittman LLP, Washington D.C.</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Pursuant to the Securities Act of 1933 and the rules promulgated thereunder, we are required to, and have incorporated into this registration statement our Annual Report on Form 10-K for the year ended December 31, 2006. The financial statements, schedules and management’s assessment of the effectiveness of internal control over financial reporting included therein have been audited by Grant Thornton LLP, independent registered public accountants, as indicated in their reports with respect thereto (which report on the financial statements and schedules expressed an unqualified opinion and contains an explanatory paragraph related to the adoption of SFAS No. 123R, “Share-Based Payment,” effective January 1, 2006), and are included herein in reliance upon the authority of said firm as experts in giving said reports.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5"/>
          <w:szCs w:val="15"/>
          <w:i w:val="1"/>
          <w:iCs w:val="1"/>
          <w:color w:val="auto"/>
        </w:rPr>
        <w:t>www.sec.gov</w:t>
      </w:r>
      <w:r>
        <w:rPr>
          <w:rFonts w:ascii="Arial" w:cs="Arial" w:eastAsia="Arial" w:hAnsi="Arial"/>
          <w:sz w:val="15"/>
          <w:szCs w:val="15"/>
          <w:color w:val="auto"/>
        </w:rPr>
        <w:t>. You may also read and copy any document we file at the SEC’s Public Reference Room at 100 F Street, N.E., Washington, D.C. 20549.</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Securities Exchange Act of 1934, as amended (Exchange Act File No. 1-07533), made from the date of this prospectus until we sell all of the securities under this prospectus as supplemented.</w:t>
      </w:r>
    </w:p>
    <w:p>
      <w:pPr>
        <w:spacing w:after="0" w:line="35"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Current Report on Form 8-K, filed February 16,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Current Report on Form 8-K, filed March 13,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Description of our Common Share Purchase Rights included in the Registration Statement on Form 8-A/A, filed 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Copies of these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Please direct your request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Senior Vice President, Capital Markets and Investor Relations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(301) 998-8100 or (301) 658-8980</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Printing and Duplicating Costs</w:t>
            </w: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0"/>
              </w:rPr>
              <w:t>250,000.00*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40" w:type="dxa"/>
            <w:vAlign w:val="bottom"/>
            <w:gridSpan w:val="3"/>
            <w:vMerge w:val="restart"/>
          </w:tcPr>
          <w:p>
            <w:pPr>
              <w:ind w:left="180"/>
              <w:spacing w:after="0"/>
              <w:rPr>
                <w:sz w:val="20"/>
                <w:szCs w:val="20"/>
                <w:color w:val="auto"/>
              </w:rPr>
            </w:pPr>
            <w:r>
              <w:rPr>
                <w:rFonts w:ascii="Arial" w:cs="Arial" w:eastAsia="Arial" w:hAnsi="Arial"/>
                <w:sz w:val="18"/>
                <w:szCs w:val="18"/>
                <w:color w:val="auto"/>
              </w:rPr>
              <w:t>Total</w:t>
            </w:r>
          </w:p>
        </w:tc>
        <w:tc>
          <w:tcPr>
            <w:tcW w:w="3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 w:type="dxa"/>
            <w:vAlign w:val="bottom"/>
          </w:tcPr>
          <w:p>
            <w:pPr>
              <w:spacing w:after="0"/>
              <w:rPr>
                <w:sz w:val="19"/>
                <w:szCs w:val="19"/>
                <w:color w:val="auto"/>
              </w:rPr>
            </w:pPr>
          </w:p>
        </w:tc>
        <w:tc>
          <w:tcPr>
            <w:tcW w:w="6040" w:type="dxa"/>
            <w:vAlign w:val="bottom"/>
            <w:gridSpan w:val="3"/>
            <w:vMerge w:val="continue"/>
          </w:tcPr>
          <w:p>
            <w:pPr>
              <w:spacing w:after="0"/>
              <w:rPr>
                <w:sz w:val="19"/>
                <w:szCs w:val="19"/>
                <w:color w:val="auto"/>
              </w:rPr>
            </w:pPr>
          </w:p>
        </w:tc>
        <w:tc>
          <w:tcPr>
            <w:tcW w:w="3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0"/>
              </w:rPr>
              <w:t>289,058.42*</w:t>
            </w:r>
          </w:p>
        </w:tc>
        <w:tc>
          <w:tcPr>
            <w:tcW w:w="0" w:type="dxa"/>
            <w:vAlign w:val="bottom"/>
          </w:tcPr>
          <w:p>
            <w:pPr>
              <w:spacing w:after="0"/>
              <w:rPr>
                <w:sz w:val="1"/>
                <w:szCs w:val="1"/>
                <w:color w:val="auto"/>
              </w:rPr>
            </w:pPr>
          </w:p>
        </w:tc>
      </w:tr>
      <w:tr>
        <w:trPr>
          <w:trHeight w:val="116"/>
        </w:trPr>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53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40" w:type="dxa"/>
            <w:vAlign w:val="bottom"/>
            <w:gridSpan w:val="3"/>
          </w:tcPr>
          <w:p>
            <w:pPr>
              <w:ind w:left="180"/>
              <w:spacing w:after="0"/>
              <w:rPr>
                <w:sz w:val="20"/>
                <w:szCs w:val="20"/>
                <w:color w:val="auto"/>
              </w:rPr>
            </w:pPr>
            <w:r>
              <w:rPr>
                <w:rFonts w:ascii="Arial" w:cs="Arial" w:eastAsia="Arial" w:hAnsi="Arial"/>
                <w:sz w:val="18"/>
                <w:szCs w:val="18"/>
                <w:color w:val="auto"/>
              </w:rPr>
              <w:t>Estimated</w:t>
            </w:r>
          </w:p>
        </w:tc>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Trustees and Officers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1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2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16.</w:t>
            </w:r>
          </w:p>
        </w:tc>
        <w:tc>
          <w:tcPr>
            <w:tcW w:w="1060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Exhibits</w:t>
            </w:r>
          </w:p>
        </w:tc>
      </w:tr>
      <w:tr>
        <w:trPr>
          <w:trHeight w:val="297"/>
        </w:trPr>
        <w:tc>
          <w:tcPr>
            <w:tcW w:w="20" w:type="dxa"/>
            <w:vAlign w:val="bottom"/>
          </w:tcPr>
          <w:p>
            <w:pPr>
              <w:spacing w:after="0"/>
              <w:rPr>
                <w:sz w:val="24"/>
                <w:szCs w:val="24"/>
                <w:color w:val="auto"/>
              </w:rPr>
            </w:pPr>
          </w:p>
        </w:tc>
        <w:tc>
          <w:tcPr>
            <w:tcW w:w="11400" w:type="dxa"/>
            <w:vAlign w:val="bottom"/>
            <w:gridSpan w:val="4"/>
          </w:tcPr>
          <w:p>
            <w:pPr>
              <w:ind w:left="44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tc>
      </w:tr>
      <w:tr>
        <w:trPr>
          <w:trHeight w:val="367"/>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ind w:right="92"/>
              <w:spacing w:after="0" w:line="201"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Declaration of Trust of Federal Realty Investment Trust dated May 5, 1999 as amended by the Articles of Amendment of Declaration of Trust of</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w w:val="91"/>
              </w:rPr>
              <w:t>Federal Realty Investment Trust dated May 6, 2004, as corrected by the Certificate of Correction of Articles of Amendment of Declaration of</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w w:val="90"/>
              </w:rPr>
              <w:t>Trust of Federal Realty Investment Trust dated June 17, 2004 (previously filed as Exhibit 3.1 to the Trust’s Quarterly Report on Form 10-Q for</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rPr>
              <w:t>the quarter ended June 30, 2005 (File No. 1-07533) and incorporated herein by reference)</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Amended and Restated Bylaws of Federal Realty Investment Trust dated February 12, 2003, as amended October 29, 2003, May 5, 2004 and</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w w:val="90"/>
              </w:rPr>
              <w:t>February 17, 2006 (previously filed as Exhibit 3.2 to the Trust’s Annual Report on Form 10-K for the year ended December 31, 2005 (File No.</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rPr>
              <w:t>1-07533) and incorporated herein by reference)</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Specimen Common Share certificate (filed as Exhibit 4(i) to the Trust’s Annual Report on Form 10-K for the year ended December 31, 1999, and</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Amended and Restated Rights Agreement, dated March 11, 1999, between the Trust and American Stock Transfer &amp; Trust Company (filed as</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w w:val="92"/>
              </w:rPr>
              <w:t>Exhibit 1 to the Trust’s Registration Statement No. 1-07533 on Form 8-A/A filed on March 11, 1999, and incorporated herein by reference)</w:t>
            </w: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700" w:right="160" w:hanging="816"/>
        <w:spacing w:after="0" w:line="259" w:lineRule="auto"/>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First Amendment to Amended and Restated Rights Agreement, dated as of November 2003, between the Trust and American Stock Transfer &amp; Trust Company (filed as Exhibit 4.5 to the Trust’s Annual Report on Form 10-K for the year ended December 31, 2003 filed on March 15, 2004, and incorporated herein by reference)</w:t>
      </w:r>
    </w:p>
    <w:p>
      <w:pPr>
        <w:spacing w:after="0" w:line="86" w:lineRule="exact"/>
        <w:rPr>
          <w:sz w:val="20"/>
          <w:szCs w:val="20"/>
          <w:color w:val="auto"/>
        </w:rPr>
      </w:pPr>
    </w:p>
    <w:p>
      <w:pPr>
        <w:ind w:left="700" w:right="60" w:hanging="816"/>
        <w:spacing w:after="0" w:line="268" w:lineRule="auto"/>
        <w:tabs>
          <w:tab w:leader="none" w:pos="6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Articles Supplementary relating to the 5.417% Series 1 Cumulative Convertible Preferred Shares (previously filed as Exhibit 4.1 to the Trust’s Current Report on Form 8-K filed on March 13, 2007 and incorporated herein by reference)</w:t>
      </w:r>
    </w:p>
    <w:p>
      <w:pPr>
        <w:spacing w:after="0" w:line="78" w:lineRule="exact"/>
        <w:rPr>
          <w:sz w:val="20"/>
          <w:szCs w:val="20"/>
          <w:color w:val="auto"/>
        </w:rPr>
      </w:pPr>
    </w:p>
    <w:p>
      <w:pPr>
        <w:ind w:left="700" w:right="20" w:hanging="816"/>
        <w:spacing w:after="0" w:line="259" w:lineRule="auto"/>
        <w:tabs>
          <w:tab w:leader="none" w:pos="6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Indenture dated December 13, 1993 related to the Trust’s 7.48% Debentures due August 15, 2026; and 6.82% Medium Term Notes due August 1, 2027 (previously filed as Exhibit 4(a) to the Trust’s Registration Statement on Form S-3 (File No. 33-51029), and amended on Form S-3 (File No. 33-63687), filed on December 13, 1993 and incorporated herein by reference)</w:t>
      </w:r>
    </w:p>
    <w:p>
      <w:pPr>
        <w:spacing w:after="0" w:line="86" w:lineRule="exact"/>
        <w:rPr>
          <w:sz w:val="20"/>
          <w:szCs w:val="20"/>
          <w:color w:val="auto"/>
        </w:rPr>
      </w:pPr>
    </w:p>
    <w:p>
      <w:pPr>
        <w:ind w:left="700" w:right="20" w:hanging="816"/>
        <w:spacing w:after="0" w:line="306" w:lineRule="auto"/>
        <w:tabs>
          <w:tab w:leader="none" w:pos="6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Indenture dated September 1, 1998 related to the Trust’s 8.75% Notes due December 1, 2009; 6 1/8% Notes due November 15, 2007; 4.50% Notes due 2011; 5.65% Notes due 2016; 6.00% Notes due 2012; 6.20% Notes due 2017; and 5.40% Notes due 2013 (previously filed as Exhibit 4(a) to the Trust’s Registration Statement on Form S-3 (File No. 333-63619) filed on September 17, 1998 and incorporated herein by reference)</w:t>
      </w:r>
    </w:p>
    <w:p>
      <w:pPr>
        <w:spacing w:after="0" w:line="53" w:lineRule="exact"/>
        <w:rPr>
          <w:sz w:val="20"/>
          <w:szCs w:val="20"/>
          <w:color w:val="auto"/>
        </w:rPr>
      </w:pPr>
    </w:p>
    <w:p>
      <w:pPr>
        <w:ind w:left="700" w:right="200" w:hanging="816"/>
        <w:spacing w:after="0" w:line="268" w:lineRule="auto"/>
        <w:tabs>
          <w:tab w:leader="none" w:pos="6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7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Pillsbury Winthrop Shaw Pittman LLP regarding the validity of the securities being registered (filed herewith)</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Pillsbury Winthrop Shaw Pittman LLP regarding certain tax matters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 independent registered public accounting firm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Pillsbury Winthrop Shaw Pittman LLP (included in Exhibit 5.1)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Pillsbury Winthrop Shaw Pittman LLP (included in Exhibit 8.1)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460" w:firstLine="443"/>
        <w:spacing w:after="0" w:line="291" w:lineRule="auto"/>
        <w:tabs>
          <w:tab w:leader="none" w:pos="1157" w:val="left"/>
        </w:tabs>
        <w:numPr>
          <w:ilvl w:val="1"/>
          <w:numId w:val="2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9" w:lineRule="exact"/>
        <w:rPr>
          <w:rFonts w:ascii="Arial" w:cs="Arial" w:eastAsia="Arial" w:hAnsi="Arial"/>
          <w:sz w:val="16"/>
          <w:szCs w:val="16"/>
          <w:color w:val="auto"/>
        </w:rPr>
      </w:pPr>
    </w:p>
    <w:p>
      <w:pPr>
        <w:ind w:left="460" w:right="20" w:firstLine="443"/>
        <w:spacing w:after="0" w:line="268" w:lineRule="auto"/>
        <w:tabs>
          <w:tab w:leader="none" w:pos="120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(1) (i), (1) (ii) and (1) (iii)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2" w:lineRule="exact"/>
        <w:rPr>
          <w:sz w:val="20"/>
          <w:szCs w:val="20"/>
          <w:color w:val="auto"/>
        </w:rPr>
      </w:pPr>
    </w:p>
    <w:p>
      <w:pPr>
        <w:ind w:right="200" w:firstLine="464"/>
        <w:spacing w:after="0" w:line="259"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offering.</w:t>
      </w:r>
    </w:p>
    <w:p>
      <w:pPr>
        <w:spacing w:after="0" w:line="164" w:lineRule="exact"/>
        <w:rPr>
          <w:rFonts w:ascii="Arial" w:cs="Arial" w:eastAsia="Arial" w:hAnsi="Arial"/>
          <w:sz w:val="15"/>
          <w:szCs w:val="15"/>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86"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460" w:right="140" w:firstLine="443"/>
        <w:spacing w:after="0" w:line="286" w:lineRule="auto"/>
        <w:tabs>
          <w:tab w:leader="none" w:pos="1176"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7" w:lineRule="exact"/>
        <w:rPr>
          <w:rFonts w:ascii="Arial" w:cs="Arial" w:eastAsia="Arial" w:hAnsi="Arial"/>
          <w:sz w:val="16"/>
          <w:szCs w:val="16"/>
          <w:color w:val="auto"/>
        </w:rPr>
      </w:pPr>
    </w:p>
    <w:p>
      <w:pPr>
        <w:ind w:firstLine="464"/>
        <w:spacing w:after="0" w:line="298"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2" w:lineRule="exact"/>
        <w:rPr>
          <w:sz w:val="20"/>
          <w:szCs w:val="20"/>
          <w:color w:val="auto"/>
        </w:rPr>
      </w:pPr>
    </w:p>
    <w:p>
      <w:pPr>
        <w:ind w:left="1120" w:hanging="217"/>
        <w:spacing w:after="0"/>
        <w:tabs>
          <w:tab w:leader="none" w:pos="11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460" w:right="840" w:firstLine="443"/>
        <w:spacing w:after="0" w:line="268" w:lineRule="auto"/>
        <w:tabs>
          <w:tab w:leader="none" w:pos="115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2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jc w:val="both"/>
        <w:ind w:right="380" w:firstLine="464"/>
        <w:spacing w:after="0" w:line="259"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registrant’s annual report pursuant to Section 13(a) or 15(d) of the Securities Exchange Act of 1934 (and, where applicable, each filing of an employee benefit plan’s annual report pursuant to Section 15(d) of the Securities Exchange Act of 1934)</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2" w:lineRule="exact"/>
        <w:rPr>
          <w:sz w:val="20"/>
          <w:szCs w:val="20"/>
          <w:color w:val="auto"/>
        </w:rPr>
      </w:pPr>
    </w:p>
    <w:p>
      <w:pPr>
        <w:ind w:firstLine="464"/>
        <w:spacing w:after="0" w:line="312" w:lineRule="auto"/>
        <w:tabs>
          <w:tab w:leader="none" w:pos="632"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April 13, 2007.</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Donald C. Wood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Chief Executive Officer and Trustee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3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1620"/>
        <w:spacing w:after="0"/>
        <w:tabs>
          <w:tab w:leader="none" w:pos="5840" w:val="left"/>
          <w:tab w:leader="none" w:pos="95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Larry E. Finger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Jon E. Bortz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David W. Faeder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Kristin Gamble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Walter F. Loeb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Walter F. Loeb</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Gail P. Steinel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/s/ Joseph S. Vassalluzzo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538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Joseph S. Vassalluzzo</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President, Chief Executive Officer and Trustee</w:t>
            </w:r>
          </w:p>
        </w:tc>
        <w:tc>
          <w:tcPr>
            <w:tcW w:w="1900" w:type="dxa"/>
            <w:vAlign w:val="bottom"/>
          </w:tcPr>
          <w:p>
            <w:pPr>
              <w:jc w:val="center"/>
              <w:ind w:left="792"/>
              <w:spacing w:after="0"/>
              <w:rPr>
                <w:sz w:val="20"/>
                <w:szCs w:val="20"/>
                <w:color w:val="auto"/>
              </w:rPr>
            </w:pPr>
            <w:r>
              <w:rPr>
                <w:rFonts w:ascii="Arial" w:cs="Arial" w:eastAsia="Arial" w:hAnsi="Arial"/>
                <w:sz w:val="18"/>
                <w:szCs w:val="18"/>
                <w:color w:val="auto"/>
                <w:w w:val="91"/>
              </w:rPr>
              <w:t>April 13, 2007</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900" w:type="dxa"/>
            <w:vAlign w:val="bottom"/>
          </w:tcPr>
          <w:p>
            <w:pPr>
              <w:spacing w:after="0"/>
              <w:rPr>
                <w:sz w:val="19"/>
                <w:szCs w:val="19"/>
                <w:color w:val="auto"/>
              </w:rPr>
            </w:pPr>
          </w:p>
        </w:tc>
      </w:tr>
      <w:tr>
        <w:trPr>
          <w:trHeight w:val="439"/>
        </w:trPr>
        <w:tc>
          <w:tcPr>
            <w:tcW w:w="414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c>
          <w:tcPr>
            <w:tcW w:w="1900" w:type="dxa"/>
            <w:vAlign w:val="bottom"/>
          </w:tcPr>
          <w:p>
            <w:pPr>
              <w:jc w:val="center"/>
              <w:ind w:left="792"/>
              <w:spacing w:after="0"/>
              <w:rPr>
                <w:sz w:val="20"/>
                <w:szCs w:val="20"/>
                <w:color w:val="auto"/>
              </w:rPr>
            </w:pPr>
            <w:r>
              <w:rPr>
                <w:rFonts w:ascii="Arial" w:cs="Arial" w:eastAsia="Arial" w:hAnsi="Arial"/>
                <w:sz w:val="18"/>
                <w:szCs w:val="18"/>
                <w:color w:val="auto"/>
                <w:w w:val="92"/>
              </w:rPr>
              <w:t>April 3, 2007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Officer and Treasurer (principal financial and</w:t>
            </w:r>
          </w:p>
        </w:tc>
        <w:tc>
          <w:tcPr>
            <w:tcW w:w="1900" w:type="dxa"/>
            <w:vAlign w:val="bottom"/>
          </w:tcPr>
          <w:p>
            <w:pPr>
              <w:spacing w:after="0"/>
              <w:rPr>
                <w:sz w:val="18"/>
                <w:szCs w:val="18"/>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accounting officer)</w:t>
            </w:r>
          </w:p>
        </w:tc>
        <w:tc>
          <w:tcPr>
            <w:tcW w:w="1900" w:type="dxa"/>
            <w:vAlign w:val="bottom"/>
          </w:tcPr>
          <w:p>
            <w:pPr>
              <w:spacing w:after="0"/>
              <w:rPr>
                <w:sz w:val="19"/>
                <w:szCs w:val="19"/>
                <w:color w:val="auto"/>
              </w:rPr>
            </w:pPr>
          </w:p>
        </w:tc>
      </w:tr>
      <w:tr>
        <w:trPr>
          <w:trHeight w:val="432"/>
        </w:trPr>
        <w:tc>
          <w:tcPr>
            <w:tcW w:w="4140" w:type="dxa"/>
            <w:vAlign w:val="bottom"/>
          </w:tcPr>
          <w:p>
            <w:pPr>
              <w:spacing w:after="0"/>
              <w:rPr>
                <w:sz w:val="24"/>
                <w:szCs w:val="24"/>
                <w:color w:val="auto"/>
              </w:rPr>
            </w:pPr>
          </w:p>
        </w:tc>
        <w:tc>
          <w:tcPr>
            <w:tcW w:w="1900" w:type="dxa"/>
            <w:vAlign w:val="bottom"/>
          </w:tcPr>
          <w:p>
            <w:pPr>
              <w:jc w:val="center"/>
              <w:ind w:left="792"/>
              <w:spacing w:after="0"/>
              <w:rPr>
                <w:sz w:val="20"/>
                <w:szCs w:val="20"/>
                <w:color w:val="auto"/>
              </w:rPr>
            </w:pPr>
            <w:r>
              <w:rPr>
                <w:rFonts w:ascii="Arial" w:cs="Arial" w:eastAsia="Arial" w:hAnsi="Arial"/>
                <w:sz w:val="18"/>
                <w:szCs w:val="18"/>
                <w:color w:val="auto"/>
                <w:w w:val="91"/>
              </w:rPr>
              <w:t>April 13, 2007</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Trustee</w:t>
            </w:r>
          </w:p>
        </w:tc>
        <w:tc>
          <w:tcPr>
            <w:tcW w:w="1900" w:type="dxa"/>
            <w:vAlign w:val="bottom"/>
          </w:tcPr>
          <w:p>
            <w:pPr>
              <w:spacing w:after="0"/>
              <w:rPr>
                <w:sz w:val="21"/>
                <w:szCs w:val="21"/>
                <w:color w:val="auto"/>
              </w:rPr>
            </w:pPr>
          </w:p>
        </w:tc>
      </w:tr>
      <w:tr>
        <w:trPr>
          <w:trHeight w:val="432"/>
        </w:trPr>
        <w:tc>
          <w:tcPr>
            <w:tcW w:w="4140" w:type="dxa"/>
            <w:vAlign w:val="bottom"/>
          </w:tcPr>
          <w:p>
            <w:pPr>
              <w:spacing w:after="0"/>
              <w:rPr>
                <w:sz w:val="24"/>
                <w:szCs w:val="24"/>
                <w:color w:val="auto"/>
              </w:rPr>
            </w:pPr>
          </w:p>
        </w:tc>
        <w:tc>
          <w:tcPr>
            <w:tcW w:w="1900" w:type="dxa"/>
            <w:vAlign w:val="bottom"/>
          </w:tcPr>
          <w:p>
            <w:pPr>
              <w:jc w:val="center"/>
              <w:ind w:left="792"/>
              <w:spacing w:after="0"/>
              <w:rPr>
                <w:sz w:val="20"/>
                <w:szCs w:val="20"/>
                <w:color w:val="auto"/>
              </w:rPr>
            </w:pPr>
            <w:r>
              <w:rPr>
                <w:rFonts w:ascii="Arial" w:cs="Arial" w:eastAsia="Arial" w:hAnsi="Arial"/>
                <w:sz w:val="18"/>
                <w:szCs w:val="18"/>
                <w:color w:val="auto"/>
                <w:w w:val="92"/>
              </w:rPr>
              <w:t>April 6, 2007</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Trustee</w:t>
            </w:r>
          </w:p>
        </w:tc>
        <w:tc>
          <w:tcPr>
            <w:tcW w:w="1900" w:type="dxa"/>
            <w:vAlign w:val="bottom"/>
          </w:tcPr>
          <w:p>
            <w:pPr>
              <w:spacing w:after="0"/>
              <w:rPr>
                <w:sz w:val="21"/>
                <w:szCs w:val="21"/>
                <w:color w:val="auto"/>
              </w:rPr>
            </w:pPr>
          </w:p>
        </w:tc>
      </w:tr>
      <w:tr>
        <w:trPr>
          <w:trHeight w:val="432"/>
        </w:trPr>
        <w:tc>
          <w:tcPr>
            <w:tcW w:w="4140" w:type="dxa"/>
            <w:vAlign w:val="bottom"/>
          </w:tcPr>
          <w:p>
            <w:pPr>
              <w:spacing w:after="0"/>
              <w:rPr>
                <w:sz w:val="24"/>
                <w:szCs w:val="24"/>
                <w:color w:val="auto"/>
              </w:rPr>
            </w:pPr>
          </w:p>
        </w:tc>
        <w:tc>
          <w:tcPr>
            <w:tcW w:w="1900" w:type="dxa"/>
            <w:vAlign w:val="bottom"/>
          </w:tcPr>
          <w:p>
            <w:pPr>
              <w:jc w:val="center"/>
              <w:ind w:left="792"/>
              <w:spacing w:after="0"/>
              <w:rPr>
                <w:sz w:val="20"/>
                <w:szCs w:val="20"/>
                <w:color w:val="auto"/>
              </w:rPr>
            </w:pPr>
            <w:r>
              <w:rPr>
                <w:rFonts w:ascii="Arial" w:cs="Arial" w:eastAsia="Arial" w:hAnsi="Arial"/>
                <w:sz w:val="18"/>
                <w:szCs w:val="18"/>
                <w:color w:val="auto"/>
                <w:w w:val="92"/>
              </w:rPr>
              <w:t>April 2, 2007</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Trustee</w:t>
            </w:r>
          </w:p>
        </w:tc>
        <w:tc>
          <w:tcPr>
            <w:tcW w:w="1900" w:type="dxa"/>
            <w:vAlign w:val="bottom"/>
          </w:tcPr>
          <w:p>
            <w:pPr>
              <w:spacing w:after="0"/>
              <w:rPr>
                <w:sz w:val="21"/>
                <w:szCs w:val="21"/>
                <w:color w:val="auto"/>
              </w:rPr>
            </w:pPr>
          </w:p>
        </w:tc>
      </w:tr>
      <w:tr>
        <w:trPr>
          <w:trHeight w:val="432"/>
        </w:trPr>
        <w:tc>
          <w:tcPr>
            <w:tcW w:w="4140" w:type="dxa"/>
            <w:vAlign w:val="bottom"/>
          </w:tcPr>
          <w:p>
            <w:pPr>
              <w:spacing w:after="0"/>
              <w:rPr>
                <w:sz w:val="24"/>
                <w:szCs w:val="24"/>
                <w:color w:val="auto"/>
              </w:rPr>
            </w:pPr>
          </w:p>
        </w:tc>
        <w:tc>
          <w:tcPr>
            <w:tcW w:w="1900" w:type="dxa"/>
            <w:vAlign w:val="bottom"/>
          </w:tcPr>
          <w:p>
            <w:pPr>
              <w:jc w:val="center"/>
              <w:ind w:left="792"/>
              <w:spacing w:after="0"/>
              <w:rPr>
                <w:sz w:val="20"/>
                <w:szCs w:val="20"/>
                <w:color w:val="auto"/>
              </w:rPr>
            </w:pPr>
            <w:r>
              <w:rPr>
                <w:rFonts w:ascii="Arial" w:cs="Arial" w:eastAsia="Arial" w:hAnsi="Arial"/>
                <w:sz w:val="18"/>
                <w:szCs w:val="18"/>
                <w:color w:val="auto"/>
                <w:w w:val="91"/>
              </w:rPr>
              <w:t>April 13, 2007</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Trustee</w:t>
            </w:r>
          </w:p>
        </w:tc>
        <w:tc>
          <w:tcPr>
            <w:tcW w:w="1900" w:type="dxa"/>
            <w:vAlign w:val="bottom"/>
          </w:tcPr>
          <w:p>
            <w:pPr>
              <w:spacing w:after="0"/>
              <w:rPr>
                <w:sz w:val="21"/>
                <w:szCs w:val="21"/>
                <w:color w:val="auto"/>
              </w:rPr>
            </w:pPr>
          </w:p>
        </w:tc>
      </w:tr>
      <w:tr>
        <w:trPr>
          <w:trHeight w:val="432"/>
        </w:trPr>
        <w:tc>
          <w:tcPr>
            <w:tcW w:w="4140" w:type="dxa"/>
            <w:vAlign w:val="bottom"/>
          </w:tcPr>
          <w:p>
            <w:pPr>
              <w:spacing w:after="0"/>
              <w:rPr>
                <w:sz w:val="24"/>
                <w:szCs w:val="24"/>
                <w:color w:val="auto"/>
              </w:rPr>
            </w:pPr>
          </w:p>
        </w:tc>
        <w:tc>
          <w:tcPr>
            <w:tcW w:w="1900" w:type="dxa"/>
            <w:vAlign w:val="bottom"/>
          </w:tcPr>
          <w:p>
            <w:pPr>
              <w:jc w:val="center"/>
              <w:ind w:left="792"/>
              <w:spacing w:after="0"/>
              <w:rPr>
                <w:sz w:val="20"/>
                <w:szCs w:val="20"/>
                <w:color w:val="auto"/>
              </w:rPr>
            </w:pPr>
            <w:r>
              <w:rPr>
                <w:rFonts w:ascii="Arial" w:cs="Arial" w:eastAsia="Arial" w:hAnsi="Arial"/>
                <w:sz w:val="18"/>
                <w:szCs w:val="18"/>
                <w:color w:val="auto"/>
                <w:w w:val="91"/>
              </w:rPr>
              <w:t>April 13, 2007</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Trustee</w:t>
            </w:r>
          </w:p>
        </w:tc>
        <w:tc>
          <w:tcPr>
            <w:tcW w:w="1900" w:type="dxa"/>
            <w:vAlign w:val="bottom"/>
          </w:tcPr>
          <w:p>
            <w:pPr>
              <w:spacing w:after="0"/>
              <w:rPr>
                <w:sz w:val="21"/>
                <w:szCs w:val="21"/>
                <w:color w:val="auto"/>
              </w:rPr>
            </w:pPr>
          </w:p>
        </w:tc>
      </w:tr>
      <w:tr>
        <w:trPr>
          <w:trHeight w:val="432"/>
        </w:trPr>
        <w:tc>
          <w:tcPr>
            <w:tcW w:w="4140" w:type="dxa"/>
            <w:vAlign w:val="bottom"/>
          </w:tcPr>
          <w:p>
            <w:pPr>
              <w:spacing w:after="0"/>
              <w:rPr>
                <w:sz w:val="24"/>
                <w:szCs w:val="24"/>
                <w:color w:val="auto"/>
              </w:rPr>
            </w:pPr>
          </w:p>
        </w:tc>
        <w:tc>
          <w:tcPr>
            <w:tcW w:w="1900" w:type="dxa"/>
            <w:vAlign w:val="bottom"/>
          </w:tcPr>
          <w:p>
            <w:pPr>
              <w:jc w:val="center"/>
              <w:ind w:left="792"/>
              <w:spacing w:after="0"/>
              <w:rPr>
                <w:sz w:val="20"/>
                <w:szCs w:val="20"/>
                <w:color w:val="auto"/>
              </w:rPr>
            </w:pPr>
            <w:r>
              <w:rPr>
                <w:rFonts w:ascii="Arial" w:cs="Arial" w:eastAsia="Arial" w:hAnsi="Arial"/>
                <w:sz w:val="18"/>
                <w:szCs w:val="18"/>
                <w:color w:val="auto"/>
                <w:w w:val="92"/>
              </w:rPr>
              <w:t>April 4, 2007</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Trustee</w:t>
            </w:r>
          </w:p>
        </w:tc>
        <w:tc>
          <w:tcPr>
            <w:tcW w:w="1900" w:type="dxa"/>
            <w:vAlign w:val="bottom"/>
          </w:tcPr>
          <w:p>
            <w:pPr>
              <w:spacing w:after="0"/>
              <w:rPr>
                <w:sz w:val="21"/>
                <w:szCs w:val="21"/>
                <w:color w:val="auto"/>
              </w:rPr>
            </w:pPr>
          </w:p>
        </w:tc>
      </w:tr>
    </w:tbl>
    <w:p>
      <w:pPr>
        <w:sectPr>
          <w:pgSz w:w="11900" w:h="16838" w:orient="portrait"/>
          <w:cols w:equalWidth="0" w:num="2">
            <w:col w:w="3520" w:space="720"/>
            <w:col w:w="718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Number</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ind w:right="92"/>
              <w:spacing w:after="0" w:line="201" w:lineRule="exact"/>
              <w:rPr>
                <w:sz w:val="20"/>
                <w:szCs w:val="20"/>
                <w:color w:val="auto"/>
              </w:rPr>
            </w:pPr>
            <w:r>
              <w:rPr>
                <w:rFonts w:ascii="Arial" w:cs="Arial" w:eastAsia="Arial" w:hAnsi="Arial"/>
                <w:sz w:val="18"/>
                <w:szCs w:val="18"/>
                <w:color w:val="auto"/>
              </w:rPr>
              <w:t>3.1</w:t>
            </w:r>
          </w:p>
        </w:tc>
        <w:tc>
          <w:tcPr>
            <w:tcW w:w="66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Declaration of Trust of Federal Realty Investment Trust dated May 5, 1999 as amended by the Articles of Amendment of Declaration of Trust of</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0"/>
              </w:rPr>
              <w:t>Federal Realty Investment Trust dated May 6, 2004, as corrected by the Certificate of Correction of Articles of Amendment of Declaration of</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89"/>
              </w:rPr>
              <w:t>Trust of Federal Realty Investment Trust dated June 17, 2004 (previously filed as Exhibit 3.1 to the Trust’s Quarterly Report on Form 10-Q for</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the quarter ended June 30, 2005 (File No. 1-07533) and incorporated herein by reference)</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Amended and Restated Bylaws of Federal Realty Investment Trust dated February 12, 2003, as amended October 29, 2003, May 5, 2004 and</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89"/>
              </w:rPr>
              <w:t>February 17, 2006 (previously filed as Exhibit 3.2 to the Trust’s Annual Report on Form 10-K for the year ended December 31, 2005 (File No.</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1-07533) and incorporated herein by reference)</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Specimen Common Share certificate (filed as Exhibit 4(i) to the Trust’s Annual Report on Form 10-K for the year ended December 31, 1999, and</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Amended and Restated Rights Agreement, dated March 11, 1999, between the Trust and American Stock Transfer &amp; Trust Company (filed as</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1"/>
              </w:rPr>
              <w:t>Exhibit 1 to the Trust’s Registration Statement No. 1-07533 on Form 8-A/A filed on March 11, 1999, and incorporated herein by reference)</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First Amendment to Amended and Restated Rights Agreement, dated as of November 2003, between the Trust and American Stock Transfer &amp;</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2"/>
              </w:rPr>
              <w:t>Trust Company (filed as Exhibit 4.5 to the Trust’s Annual Report on Form 10-K for the year ended December 31, 2003 filed on March 15,</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2004, and incorporated herein by reference)</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Articles Supplementary relating to the 5.417% Series 1 Cumulative Convertible Preferred Shares (previously filed as Exhibit 4.1 to the Trust’s</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Current Report on Form 8-K filed on March 13, 2007 and incorporated herein by reference)</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7"/>
              </w:rPr>
              <w:t>Indenture dated December 13, 1993 related to the Trust’s 7.48% Debentures due August 15, 2026; and 6.82% Medium Term Notes due August 1,</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89"/>
              </w:rPr>
              <w:t>2027 (previously filed as Exhibit 4(a) to the Trust’s Registration Statement on Form S-3 (File No. 33-51029), and amended on Form S-3 (File</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No. 33-63687), filed on December 13, 1993 and incorporated herein by reference)</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Indenture dated September 1, 1998 related to the Trust’s 8.75% Notes due December 1, 2009; 6 1/8% Notes due November 15, 2007; 4.50%</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92"/>
              </w:rPr>
              <w:t>Notes due 2011; 5.65% Notes due 2016; 6.00% Notes due 2012; 6.20% Notes due 2017; and 5.40% Notes due 2013 (previously filed as</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w w:val="89"/>
              </w:rPr>
              <w:t>Exhibit 4(a) to the Trust’s Registration Statement on Form S-3 (File No. 333-63619) filed on September 17, 1998 and incorporated herein by</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reference)</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Pillsbury Winthrop Shaw Pittman LLP regarding the validity of the securities being registered (filed herewith)</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8.1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Pillsbury Winthrop Shaw Pittman LLP regarding certain tax matters (filed herewith)</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23.1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Grant Thornton LLP, independent registered public accounting firm (filed herewith)</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23.2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23.3</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Pillsbury Winthrop Shaw Pittman LLP (included in Exhibit 8.1)</w:t>
            </w:r>
          </w:p>
        </w:tc>
      </w:tr>
    </w:tbl>
    <w:p>
      <w:pPr>
        <w:sectPr>
          <w:pgSz w:w="11900" w:h="16838" w:orient="portrait"/>
          <w:cols w:equalWidth="0" w:num="1">
            <w:col w:w="11420"/>
          </w:cols>
          <w:pgMar w:left="240" w:top="4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 LETTERHEAD]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19,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We have acted as counsel to Federal Realty Investment Trust, a Maryland real estate investment trust (the “Company”), in connection with a registration statement on Form S-3 (the “Registration Statement”), filed with the Securities and Exchange Commission the (“Commission”) under Rule 462(e) under the Securities Act of 1933, as amended (the “Act”). The Registration Statement relates to the proposed offering and resale from time to time of up to 1,165,065 of the Company’s common shares of beneficial interest, par value $.01 per share, including rights to acquire common shares that are attached to, or trade with, such common shares (the “Common Shares”), by the selling shareholders listed under “Selling Shareholders” in the prospectus included in the Registration Statement, as updated by any related prospectus supplements thereto (collectively, the “Prospectus”). The Common Shares include shares (a) already issued by the Company (the “Issued Shares”), and (b) issuable upon (i) the conversion of the Company’s 5.417% Series 1 Cumulative Convertible Preferred Shares of Beneficial Interest, par value $0.01 per share (the “Preferred Shares”), or (ii) the redemption of units (the “DownREIT Units”) of limited liability company interest in NVI-Avenue, LLC (“NVI-Avenue”), a consolidated subsidiary of the Company (all such Common Shares described in (b)(i) and (b)(ii) are the “Issuable Shares”).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we have examined the following documents (each a “Document” and together the “Documents”):</w:t>
      </w:r>
    </w:p>
    <w:p>
      <w:pPr>
        <w:spacing w:after="0" w:line="9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executed copy of the Registration Statement;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90"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Declaration of Trust of the Company dated May 5, 1999, as amended by the Articles of Amendment of Declaration of Trust of the Company dated May 6, 2004, as corrected by the Certificate of Correction of Articles of Amendment of Declaration of Trust of the Company dated June 17, 2004 (the “Declaration of Trust”), as certified by the Maryland State Department of Assessments and Taxation (the “SDAT”) on April 11, 2007 and as certified to us by the Secretary of the Company as being in effect as of the date hereof;</w:t>
      </w:r>
    </w:p>
    <w:p>
      <w:pPr>
        <w:spacing w:after="0" w:line="62"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Amended and Restated Bylaws of the Company dated February 12, 2003, as amended October 29, 2003, May 5, 2004 and February 17, 2006 (the “Bylaws”), as Federal Realty Investment Trust certified to us by the Secretary of the Company as being in effect as of the date hereof;</w:t>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2" w:lineRule="exact"/>
        <w:rPr>
          <w:sz w:val="20"/>
          <w:szCs w:val="20"/>
          <w:color w:val="auto"/>
        </w:rPr>
      </w:pPr>
    </w:p>
    <w:p>
      <w:pPr>
        <w:jc w:val="both"/>
        <w:ind w:left="460" w:right="8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Amended and Restated Rights Agreement, dated March 11, 1999, between the Company and American Stock Transfer &amp; Trust Company, as amended by the First Amendment to Amended and Restated Rights Agreement, dated as of November 2003, between the Company and American Stock Transfer &amp; Trust Company;</w:t>
      </w:r>
    </w:p>
    <w:p>
      <w:pPr>
        <w:spacing w:after="0" w:line="59"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Registration Rights Agreement, dated March 8, 2007, between the Company and J. Joseph Credit, as agent, pursuant to a power to a power of attorney on behalf of each of the Selling Shareholders (as defined therein);</w:t>
      </w:r>
    </w:p>
    <w:p>
      <w:pPr>
        <w:spacing w:after="0" w:line="5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resolutions of the Board of Trustees of the Company adopted at a meeting held on November 22, 2006, and the resolutions of the Pricing Committee of the Company adopted by written consent dated March 8, 2007, as certified to us by the Secretary of the Company as being in effect as of the date hereof (together, the “Resolutions”);</w:t>
      </w:r>
    </w:p>
    <w:p>
      <w:pPr>
        <w:spacing w:after="0" w:line="59" w:lineRule="exact"/>
        <w:rPr>
          <w:rFonts w:ascii="Arial" w:cs="Arial" w:eastAsia="Arial" w:hAnsi="Arial"/>
          <w:sz w:val="18"/>
          <w:szCs w:val="18"/>
          <w:color w:val="auto"/>
        </w:rPr>
      </w:pPr>
    </w:p>
    <w:p>
      <w:pPr>
        <w:ind w:left="460" w:right="20" w:hanging="452"/>
        <w:spacing w:after="0" w:line="35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Articles Supplementary, dated March 8, 2007, establishing and fixing the rights and preferences of the Preferred Shares (the “Articles Supplementary”), as certified by the SDAT on April 11, 2007 and as certified to us by the Secretary of the Company as being in effect as of the date hereof;</w:t>
      </w:r>
    </w:p>
    <w:p>
      <w:pPr>
        <w:ind w:left="460" w:right="24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Articles of Organization of NVI-Avenue, as certified by the SDAT on April 17, 2007 and as certified to us by the Secretary of FR White Marsh, Inc., the sole managing member of NVI-Avenue, as being in effect as of the date hereof;</w:t>
      </w:r>
    </w:p>
    <w:p>
      <w:pPr>
        <w:spacing w:after="0" w:line="5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of NVI-Avenue, dated as of March 8, 2007, entered into by and between Nottingham Properties, Inc. and J. Joseph Credit, as agent pursuant to a power of attorney for the persons whose names are set forth on Exhibit A attached thereto, as certified to us by the Secretary of FR White Marsh, Inc., the sole managing member of NVI-Avenue, as being in effect as of the date hereof (the “Operating Agreement”);</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certificate of an officer of FR White Marsh, Inc. dated as of the date hereof.</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purposes of this opinion letter, we have not reviewed any documents other than the Documents. In particular, we have not reviewed any document (other than the Documents) that is referred to in or incorporated by reference into any Document reviewed by us. We have assumed that there exists no provision in any document that we have not reviewed that is inconsistent with the opinions stated herein.</w:t>
      </w:r>
    </w:p>
    <w:p>
      <w:pPr>
        <w:sectPr>
          <w:pgSz w:w="11900" w:h="16838" w:orient="portrait"/>
          <w:cols w:equalWidth="0" w:num="1">
            <w:col w:w="11400"/>
          </w:cols>
          <w:pgMar w:left="240" w:top="280"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2360"/>
        <w:spacing w:after="0" w:line="268" w:lineRule="auto"/>
        <w:rPr>
          <w:sz w:val="20"/>
          <w:szCs w:val="20"/>
          <w:color w:val="auto"/>
        </w:rPr>
      </w:pPr>
      <w:r>
        <w:rPr>
          <w:rFonts w:ascii="Arial" w:cs="Arial" w:eastAsia="Arial" w:hAnsi="Arial"/>
          <w:sz w:val="18"/>
          <w:szCs w:val="18"/>
          <w:color w:val="auto"/>
        </w:rPr>
        <w:t>In connection with this opinion letter, we have considered such matters of law and fact as we, in our professional judgment, have deemed necessary or appropriate to render the opinions contained herein.</w:t>
      </w:r>
    </w:p>
    <w:p>
      <w:pPr>
        <w:spacing w:after="0" w:line="1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our examination of the aforesaid documents, we have assumed without independent investigation (i) that each entity (other than the Company and NVI-Avenue) that is a party to any Document is, and has been at all times relevant to this opinion letter, duly formed or organized, validly existing and in good standing under the laws of the jurisdiction in which each is formed or organized; (ii) the due authorization, execution and delivery of each Document by each of the parties thereto (other than the Company and NVI-Avenue); and (iii)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without independent investigation that, at and prior to the time of the sale and delivery of any Common Shares pursuant to the Registration Statement, (i) any contemplated or necessary additional actions shall have been taken and the authorization of the issuance of the Issuable Shares will not have been modified or rescinded, (ii) the Registration Statement will have been declared effective and no stop order suspending the effectiveness of the Registration Statement will have been issued and no proceedings with respect thereto will have been commenced or threatened, (iii) there will not have occurred any change in law materially and adversely affecting the validity of the Common Shares and (iv) none of the Common Shares will be transferred in violation of the provisions of the Declaration of Trust relating to restrictions on ownership and transfer of capital stock.</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also assumed without independent investigation that the offer, sale and delivery of any Common Shares, and compliance by the Company with the rights, powers, privileges and preferences and other terms, if any, of such Common Shares will not at the time of such offering, sale and delivery violate or conflict with (i) the Declaration of Trust, as then amended, restated and supplemented, or the Bylaws, as then amended, restated or supplemented, (ii) any provision of any license, indenture, instrument, mortgage, contract, document or agreement to which the Company is then a party or by which the Company is then bound, or (iii) any law or regulation or any decree, judgment or order then applicable to the Company. We have further assumed that the number of Common Shares to be offered and sold pursuant to the Registration Statement will not at the time of such offering and sale exceed the amount of such class of capital shares authorized in the Declaration of Trust, as then amended, restated or supplemented, and unissued (and not otherwise reserved for issuance) at such time, and that the</w:t>
      </w:r>
    </w:p>
    <w:p>
      <w:pPr>
        <w:sectPr>
          <w:pgSz w:w="11900" w:h="16838" w:orient="portrait"/>
          <w:cols w:equalWidth="0" w:num="1">
            <w:col w:w="11420"/>
          </w:cols>
          <w:pgMar w:left="240" w:top="2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consideration received or proposed to be received for the issuance and sale or reservation for issuance of any offering of the Issuable Shares as contemplated by each of the Registration Statement and the Prospectus is not less than the par value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Based upon, subject to and limited by the foregoing, we are of the opinion that:</w:t>
      </w:r>
    </w:p>
    <w:p>
      <w:pPr>
        <w:spacing w:after="0" w:line="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Issued Shares are duly authorized, legally issued, fully paid and nonassessable.</w:t>
      </w:r>
    </w:p>
    <w:p>
      <w:pPr>
        <w:spacing w:after="0" w:line="90" w:lineRule="exact"/>
        <w:rPr>
          <w:rFonts w:ascii="Arial" w:cs="Arial" w:eastAsia="Arial" w:hAnsi="Arial"/>
          <w:sz w:val="18"/>
          <w:szCs w:val="18"/>
          <w:color w:val="auto"/>
        </w:rPr>
      </w:pPr>
    </w:p>
    <w:p>
      <w:pPr>
        <w:ind w:left="460" w:right="54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issuance and delivery of and payment in the manner contemplated by, and in accordance with, the Registration Statement, the Prospectus, the Resolutions, and either the Articles Supplementary or the Operating Agreement, as applicable, the Issuable Shares offered and sold pursuant to the Registration Statement will be legally issued, fully paid and nonassessable.</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Our opinions in Paragraphs 1 and 2 above are subject to and limited by the effect of bankruptcy, insolvency, fraudulent conveyance and other similar laws affecting or relating to the rights of creditors generally, and are limited by general equitable principles.</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This opinion letter is limited to the laws of the State of Maryland, excluding the securities laws, blue sky laws and the choice-of-law provisions thereof. We render no opinions with respect to the law of any other jurisdiction, including federal laws and rules and regulations relating thereto. Our opinions are rendered only with respect to the laws and the rules, regulations and orders thereunder that are currently in effect.</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opinions set forth in this letter are limited to the matters expressly addressed herein and no opinion is to be implied or may be inferred beyond the opinions expressly stated in this letter.</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assume no obligation to advise you of any changes in the foregoing subsequent to the delivery of this opinion. This opinion has been prepared solely for your use in connection with the filing of the Registration Statement, and should not be quoted in whole or in part or otherwise be referred to, nor otherwise be filed with or furnished to, any governmental agency or other person or entity, without our express prior written consent.</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therein under the caption “Legal Matters.” The giving of this consent, however, does not constitute an admission that we are “experts” within the meaning of Section 11 of the Act, or within the category of persons whose consent is required by Section 7 of the Act.</w:t>
      </w:r>
    </w:p>
    <w:p>
      <w:pPr>
        <w:sectPr>
          <w:pgSz w:w="11900" w:h="16838" w:orient="portrait"/>
          <w:cols w:equalWidth="0" w:num="1">
            <w:col w:w="11360"/>
          </w:cols>
          <w:pgMar w:left="240" w:top="280" w:right="29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PILLSBURY WINTHROP SHAW PITTMAN LLP</w:t>
      </w:r>
    </w:p>
    <w:p>
      <w:pPr>
        <w:sectPr>
          <w:pgSz w:w="11900" w:h="16838" w:orient="portrait"/>
          <w:cols w:equalWidth="0" w:num="1">
            <w:col w:w="10500"/>
          </w:cols>
          <w:pgMar w:left="240" w:top="280" w:right="11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8.1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 LETTERHEAD]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19,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all documents incorporated and deemed to be incorporated by reference therein) with the Securities and Exchange Commission.</w:t>
      </w:r>
    </w:p>
    <w:p>
      <w:pPr>
        <w:spacing w:after="0" w:line="10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w:t>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13" w:lineRule="exact"/>
        <w:rPr>
          <w:sz w:val="20"/>
          <w:szCs w:val="20"/>
          <w:color w:val="auto"/>
        </w:rPr>
      </w:pPr>
    </w:p>
    <w:p>
      <w:pPr>
        <w:ind w:right="160" w:firstLine="456"/>
        <w:spacing w:after="0" w:line="307" w:lineRule="auto"/>
        <w:rPr>
          <w:sz w:val="20"/>
          <w:szCs w:val="20"/>
          <w:color w:val="auto"/>
        </w:rPr>
      </w:pPr>
      <w:r>
        <w:rPr>
          <w:rFonts w:ascii="Arial" w:cs="Arial" w:eastAsia="Arial" w:hAnsi="Arial"/>
          <w:sz w:val="15"/>
          <w:szCs w:val="15"/>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2007;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(2007) taxable year and for future taxable years, and (iii) the discussions in (x) the Registration Statement under the caption “Federal Income Tax Considerations,” and (y) the Company’s Annual Report on Form 10-K for the year ended December 31, 2006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Registration Statement under “Federal Income Tax Considerations” are hereby confirmed.</w:t>
      </w:r>
    </w:p>
    <w:p>
      <w:pPr>
        <w:spacing w:after="0" w:line="11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20"/>
          </w:cols>
          <w:pgMar w:left="240" w:top="2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00"/>
          </w:cols>
          <w:pgMar w:left="240" w:top="280" w:right="2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have issued our report dated February 26, 2007, accompanying the consolidated financial statements and schedules (which report expressed an unqualified opinion and contains an explanatory paragraph related to the adoption of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effective January 1, 2006), and our report dated February 26, 2007 on management’s assessment of the effectiveness of internal control over financial reporting, included in the Annual Report of Federal Realty Investment Trust on Form 10-K for the year ended December 31, 2006. We hereby consent to the incorporation by reference of said reports in the Registration Statement of Federal Realty Investment Trust on Form S-3 filed on April 19, 2007, and to the use of our name as it appears under the caption “Experts.”</w:t>
      </w:r>
    </w:p>
    <w:p>
      <w:pPr>
        <w:spacing w:after="0" w:line="22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lowerRoman"/>
      <w:start w:val="2"/>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14"/>
    </w:lvl>
  </w:abstractNum>
  <w:abstractNum w:abstractNumId="5">
    <w:nsid w:val="62BBD95A"/>
    <w:multiLevelType w:val="hybridMultilevel"/>
    <w:lvl w:ilvl="0">
      <w:lvlJc w:val="left"/>
      <w:lvlText w:val="(%1)"/>
      <w:numFmt w:val="decimal"/>
      <w:start w:val="27"/>
    </w:lvl>
  </w:abstractNum>
  <w:abstractNum w:abstractNumId="6">
    <w:nsid w:val="436C6125"/>
    <w:multiLevelType w:val="hybridMultilevel"/>
    <w:lvl w:ilvl="0">
      <w:lvlJc w:val="left"/>
      <w:lvlText w:val="(%1)"/>
      <w:numFmt w:val="decimal"/>
      <w:start w:val="41"/>
    </w:lvl>
  </w:abstractNum>
  <w:abstractNum w:abstractNumId="7">
    <w:nsid w:val="628C895D"/>
    <w:multiLevelType w:val="hybridMultilevel"/>
    <w:lvl w:ilvl="0">
      <w:lvlJc w:val="left"/>
      <w:lvlText w:val="(%1)"/>
      <w:numFmt w:val="decimal"/>
      <w:start w:val="55"/>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lvl w:ilvl="1">
      <w:lvlJc w:val="left"/>
      <w:lvlText w:val="•"/>
      <w:numFmt w:val="bullet"/>
      <w:start w:val="1"/>
    </w:lvl>
  </w:abstractNum>
  <w:abstractNum w:abstractNumId="18">
    <w:nsid w:val="189A769B"/>
    <w:multiLevelType w:val="hybridMultilevel"/>
    <w:lvl w:ilvl="0">
      <w:lvlJc w:val="left"/>
      <w:lvlText w:val="(%1)"/>
      <w:numFmt w:val="lowerRoman"/>
      <w:start w:val="2"/>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lvl w:ilvl="1">
      <w:lvlJc w:val="left"/>
      <w:lvlText w:val="(%2)"/>
      <w:numFmt w:val="lowerRoman"/>
      <w:start w:val="1"/>
    </w:lvl>
  </w:abstractNum>
  <w:abstractNum w:abstractNumId="27">
    <w:nsid w:val="7C3DBD3D"/>
    <w:multiLevelType w:val="hybridMultilevel"/>
    <w:lvl w:ilvl="0">
      <w:lvlJc w:val="left"/>
      <w:lvlText w:val="%1."/>
      <w:numFmt w:val="decimal"/>
      <w:start w:val="2"/>
    </w:lvl>
    <w:lvl w:ilvl="1">
      <w:lvlJc w:val="left"/>
      <w:lvlText w:val="(%2)"/>
      <w:numFmt w:val="upperLetter"/>
      <w:start w:val="1"/>
    </w:lvl>
  </w:abstractNum>
  <w:abstractNum w:abstractNumId="28">
    <w:nsid w:val="737B8DDC"/>
    <w:multiLevelType w:val="hybridMultilevel"/>
    <w:lvl w:ilvl="0">
      <w:lvlJc w:val="left"/>
      <w:lvlText w:val="%1"/>
      <w:numFmt w:val="decimal"/>
      <w:start w:val="1"/>
    </w:lvl>
    <w:lvl w:ilvl="1">
      <w:lvlJc w:val="left"/>
      <w:lvlText w:val="(%2)"/>
      <w:numFmt w:val="lowerRoman"/>
      <w:start w:val="1"/>
    </w:lvl>
  </w:abstractNum>
  <w:abstractNum w:abstractNumId="29">
    <w:nsid w:val="6CEAF087"/>
    <w:multiLevelType w:val="hybridMultilevel"/>
    <w:lvl w:ilvl="0">
      <w:lvlJc w:val="left"/>
      <w:lvlText w:val="%1."/>
      <w:numFmt w:val="decimal"/>
      <w:start w:val="6"/>
    </w:lvl>
    <w:lvl w:ilvl="1">
      <w:lvlJc w:val="left"/>
      <w:lvlText w:val="%2"/>
      <w:numFmt w:val="lowerRoman"/>
      <w:start w:val="1"/>
    </w:lvl>
  </w:abstractNum>
  <w:abstractNum w:abstractNumId="30">
    <w:nsid w:val="22221A70"/>
    <w:multiLevelType w:val="hybridMultilevel"/>
    <w:lvl w:ilvl="0">
      <w:lvlJc w:val="left"/>
      <w:lvlText w:val="%1."/>
      <w:numFmt w:val="decimal"/>
      <w:start w:val="7"/>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5"/>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2019-12-13T00:53:32Z</dcterms:created>
  <dcterms:modified xsi:type="dcterms:W3CDTF">2019-12-13T00:53:32Z</dcterms:modified>
</cp:coreProperties>
</file>