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June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August 4, 2009, Federal Realty Investment Trust issued supplemental data pertaining to its operations, as well as a press release, to report its financial results for the quarter ended June 30, 2009. The supplemental data and press release are furnished as Exhibit 99.1 hereto.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June 30, 2009 (including press release dated August 4, 2009)</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August 4, 2009</w:t>
      </w:r>
      <w:r>
        <w:rPr>
          <w:sz w:val="20"/>
          <w:szCs w:val="20"/>
          <w:color w:val="auto"/>
        </w:rPr>
        <w:tab/>
      </w:r>
      <w:r>
        <w:rPr>
          <w:rFonts w:ascii="Arial" w:cs="Arial" w:eastAsia="Arial" w:hAnsi="Arial"/>
          <w:sz w:val="16"/>
          <w:szCs w:val="16"/>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Treasurer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u w:val="single" w:color="auto"/>
          <w:color w:val="auto"/>
        </w:rPr>
        <w:t>Exh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8890</wp:posOffset>
            </wp:positionV>
            <wp:extent cx="67322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June 30, 2009</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8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898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372"/>
        </w:trPr>
        <w:tc>
          <w:tcPr>
            <w:tcW w:w="8980" w:type="dxa"/>
            <w:vAlign w:val="bottom"/>
          </w:tcPr>
          <w:p>
            <w:pPr>
              <w:jc w:val="center"/>
              <w:ind w:left="2352"/>
              <w:spacing w:after="0"/>
              <w:rPr>
                <w:sz w:val="20"/>
                <w:szCs w:val="20"/>
                <w:color w:val="auto"/>
              </w:rPr>
            </w:pPr>
            <w:r>
              <w:rPr>
                <w:rFonts w:ascii="Arial" w:cs="Arial" w:eastAsia="Arial" w:hAnsi="Arial"/>
                <w:sz w:val="18"/>
                <w:szCs w:val="18"/>
                <w:b w:val="1"/>
                <w:bCs w:val="1"/>
                <w:color w:val="auto"/>
                <w:w w:val="99"/>
              </w:rPr>
              <w:t>FEDERAL REALTY INVESTMENT TRUST</w:t>
            </w:r>
          </w:p>
        </w:tc>
        <w:tc>
          <w:tcPr>
            <w:tcW w:w="2440" w:type="dxa"/>
            <w:vAlign w:val="bottom"/>
          </w:tcPr>
          <w:p>
            <w:pPr>
              <w:spacing w:after="0"/>
              <w:rPr>
                <w:sz w:val="24"/>
                <w:szCs w:val="24"/>
                <w:color w:val="auto"/>
              </w:rPr>
            </w:pPr>
          </w:p>
        </w:tc>
      </w:tr>
      <w:tr>
        <w:trPr>
          <w:trHeight w:val="216"/>
        </w:trPr>
        <w:tc>
          <w:tcPr>
            <w:tcW w:w="8980" w:type="dxa"/>
            <w:vAlign w:val="bottom"/>
          </w:tcPr>
          <w:p>
            <w:pPr>
              <w:jc w:val="center"/>
              <w:ind w:left="2372"/>
              <w:spacing w:after="0"/>
              <w:rPr>
                <w:sz w:val="20"/>
                <w:szCs w:val="20"/>
                <w:color w:val="auto"/>
              </w:rPr>
            </w:pPr>
            <w:r>
              <w:rPr>
                <w:rFonts w:ascii="Arial" w:cs="Arial" w:eastAsia="Arial" w:hAnsi="Arial"/>
                <w:sz w:val="18"/>
                <w:szCs w:val="18"/>
                <w:color w:val="auto"/>
                <w:w w:val="94"/>
              </w:rPr>
              <w:t>SUPPLEMENTAL INFORMATION</w:t>
            </w:r>
          </w:p>
        </w:tc>
        <w:tc>
          <w:tcPr>
            <w:tcW w:w="2440" w:type="dxa"/>
            <w:vAlign w:val="bottom"/>
          </w:tcPr>
          <w:p>
            <w:pPr>
              <w:spacing w:after="0"/>
              <w:rPr>
                <w:sz w:val="18"/>
                <w:szCs w:val="18"/>
                <w:color w:val="auto"/>
              </w:rPr>
            </w:pPr>
          </w:p>
        </w:tc>
      </w:tr>
      <w:tr>
        <w:trPr>
          <w:trHeight w:val="222"/>
        </w:trPr>
        <w:tc>
          <w:tcPr>
            <w:tcW w:w="8980" w:type="dxa"/>
            <w:vAlign w:val="bottom"/>
          </w:tcPr>
          <w:p>
            <w:pPr>
              <w:jc w:val="center"/>
              <w:ind w:left="2352"/>
              <w:spacing w:after="0"/>
              <w:rPr>
                <w:sz w:val="20"/>
                <w:szCs w:val="20"/>
                <w:color w:val="auto"/>
              </w:rPr>
            </w:pPr>
            <w:r>
              <w:rPr>
                <w:rFonts w:ascii="Arial" w:cs="Arial" w:eastAsia="Arial" w:hAnsi="Arial"/>
                <w:sz w:val="18"/>
                <w:szCs w:val="18"/>
                <w:color w:val="auto"/>
                <w:w w:val="85"/>
              </w:rPr>
              <w:t>June 30, 2009</w:t>
            </w:r>
          </w:p>
        </w:tc>
        <w:tc>
          <w:tcPr>
            <w:tcW w:w="2440" w:type="dxa"/>
            <w:vAlign w:val="bottom"/>
          </w:tcPr>
          <w:p>
            <w:pPr>
              <w:spacing w:after="0"/>
              <w:rPr>
                <w:sz w:val="19"/>
                <w:szCs w:val="19"/>
                <w:color w:val="auto"/>
              </w:rPr>
            </w:pPr>
          </w:p>
        </w:tc>
      </w:tr>
      <w:tr>
        <w:trPr>
          <w:trHeight w:val="378"/>
        </w:trPr>
        <w:tc>
          <w:tcPr>
            <w:tcW w:w="8980" w:type="dxa"/>
            <w:vAlign w:val="bottom"/>
          </w:tcPr>
          <w:p>
            <w:pPr>
              <w:jc w:val="center"/>
              <w:ind w:left="2372"/>
              <w:spacing w:after="0"/>
              <w:rPr>
                <w:sz w:val="20"/>
                <w:szCs w:val="20"/>
                <w:color w:val="auto"/>
              </w:rPr>
            </w:pPr>
            <w:r>
              <w:rPr>
                <w:rFonts w:ascii="Arial" w:cs="Arial" w:eastAsia="Arial" w:hAnsi="Arial"/>
                <w:sz w:val="18"/>
                <w:szCs w:val="18"/>
                <w:b w:val="1"/>
                <w:bCs w:val="1"/>
                <w:color w:val="auto"/>
                <w:w w:val="96"/>
              </w:rPr>
              <w:t>TABLE OF CONTENTS</w:t>
            </w:r>
          </w:p>
        </w:tc>
        <w:tc>
          <w:tcPr>
            <w:tcW w:w="2440" w:type="dxa"/>
            <w:vAlign w:val="bottom"/>
          </w:tcPr>
          <w:p>
            <w:pPr>
              <w:spacing w:after="0"/>
              <w:rPr>
                <w:sz w:val="24"/>
                <w:szCs w:val="24"/>
                <w:color w:val="auto"/>
              </w:rPr>
            </w:pPr>
          </w:p>
        </w:tc>
      </w:tr>
      <w:tr>
        <w:trPr>
          <w:trHeight w:val="419"/>
        </w:trPr>
        <w:tc>
          <w:tcPr>
            <w:tcW w:w="8980" w:type="dxa"/>
            <w:vAlign w:val="bottom"/>
          </w:tcPr>
          <w:p>
            <w:pPr>
              <w:spacing w:after="0"/>
              <w:rPr>
                <w:sz w:val="20"/>
                <w:szCs w:val="20"/>
                <w:color w:val="auto"/>
              </w:rPr>
            </w:pPr>
            <w:r>
              <w:rPr>
                <w:rFonts w:ascii="Arial" w:cs="Arial" w:eastAsia="Arial" w:hAnsi="Arial"/>
                <w:sz w:val="18"/>
                <w:szCs w:val="18"/>
                <w:color w:val="auto"/>
              </w:rPr>
              <w:t>1.   Second Quarter 2009 Earnings Press Release</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8980" w:type="dxa"/>
            <w:vAlign w:val="bottom"/>
          </w:tcPr>
          <w:p>
            <w:pPr>
              <w:spacing w:after="0"/>
              <w:rPr>
                <w:sz w:val="20"/>
                <w:szCs w:val="20"/>
                <w:color w:val="auto"/>
              </w:rPr>
            </w:pPr>
            <w:r>
              <w:rPr>
                <w:rFonts w:ascii="Arial" w:cs="Arial" w:eastAsia="Arial" w:hAnsi="Arial"/>
                <w:sz w:val="18"/>
                <w:szCs w:val="18"/>
                <w:color w:val="auto"/>
              </w:rPr>
              <w:t>2.   Financial Highlights</w:t>
            </w:r>
          </w:p>
        </w:tc>
        <w:tc>
          <w:tcPr>
            <w:tcW w:w="2440" w:type="dxa"/>
            <w:vAlign w:val="bottom"/>
          </w:tcPr>
          <w:p>
            <w:pPr>
              <w:spacing w:after="0"/>
              <w:rPr>
                <w:sz w:val="24"/>
                <w:szCs w:val="24"/>
                <w:color w:val="auto"/>
              </w:rPr>
            </w:pPr>
          </w:p>
        </w:tc>
      </w:tr>
      <w:tr>
        <w:trPr>
          <w:trHeight w:val="216"/>
        </w:trPr>
        <w:tc>
          <w:tcPr>
            <w:tcW w:w="8980" w:type="dxa"/>
            <w:vAlign w:val="bottom"/>
          </w:tcPr>
          <w:p>
            <w:pPr>
              <w:ind w:left="1200"/>
              <w:spacing w:after="0"/>
              <w:rPr>
                <w:sz w:val="20"/>
                <w:szCs w:val="20"/>
                <w:color w:val="auto"/>
              </w:rPr>
            </w:pPr>
            <w:r>
              <w:rPr>
                <w:rFonts w:ascii="Arial" w:cs="Arial" w:eastAsia="Arial" w:hAnsi="Arial"/>
                <w:sz w:val="18"/>
                <w:szCs w:val="18"/>
                <w:color w:val="auto"/>
              </w:rPr>
              <w:t>Summarized Income Statements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80" w:type="dxa"/>
            <w:vAlign w:val="bottom"/>
          </w:tcPr>
          <w:p>
            <w:pPr>
              <w:ind w:left="1200"/>
              <w:spacing w:after="0"/>
              <w:rPr>
                <w:sz w:val="20"/>
                <w:szCs w:val="20"/>
                <w:color w:val="auto"/>
              </w:rPr>
            </w:pPr>
            <w:r>
              <w:rPr>
                <w:rFonts w:ascii="Arial" w:cs="Arial" w:eastAsia="Arial" w:hAnsi="Arial"/>
                <w:sz w:val="18"/>
                <w:szCs w:val="18"/>
                <w:color w:val="auto"/>
              </w:rPr>
              <w:t>Summarized Balance Sheets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80" w:type="dxa"/>
            <w:vAlign w:val="bottom"/>
          </w:tcPr>
          <w:p>
            <w:pPr>
              <w:ind w:left="1200"/>
              <w:spacing w:after="0"/>
              <w:rPr>
                <w:sz w:val="20"/>
                <w:szCs w:val="20"/>
                <w:color w:val="auto"/>
              </w:rPr>
            </w:pPr>
            <w:r>
              <w:rPr>
                <w:rFonts w:ascii="Arial" w:cs="Arial" w:eastAsia="Arial" w:hAnsi="Arial"/>
                <w:sz w:val="18"/>
                <w:szCs w:val="18"/>
                <w:color w:val="auto"/>
              </w:rPr>
              <w:t>Funds From Operations / Summary of Capital Expenditures</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80" w:type="dxa"/>
            <w:vAlign w:val="bottom"/>
          </w:tcPr>
          <w:p>
            <w:pPr>
              <w:ind w:left="1200"/>
              <w:spacing w:after="0"/>
              <w:rPr>
                <w:sz w:val="20"/>
                <w:szCs w:val="20"/>
                <w:color w:val="auto"/>
              </w:rPr>
            </w:pPr>
            <w:r>
              <w:rPr>
                <w:rFonts w:ascii="Arial" w:cs="Arial" w:eastAsia="Arial" w:hAnsi="Arial"/>
                <w:sz w:val="18"/>
                <w:szCs w:val="18"/>
                <w:color w:val="auto"/>
              </w:rPr>
              <w:t>Market Data</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8980" w:type="dxa"/>
            <w:vAlign w:val="bottom"/>
          </w:tcPr>
          <w:p>
            <w:pPr>
              <w:ind w:left="1200"/>
              <w:spacing w:after="0"/>
              <w:rPr>
                <w:sz w:val="20"/>
                <w:szCs w:val="20"/>
                <w:color w:val="auto"/>
              </w:rPr>
            </w:pPr>
            <w:r>
              <w:rPr>
                <w:rFonts w:ascii="Arial" w:cs="Arial" w:eastAsia="Arial" w:hAnsi="Arial"/>
                <w:sz w:val="18"/>
                <w:szCs w:val="18"/>
                <w:color w:val="auto"/>
              </w:rPr>
              <w:t>Components of Rental Income</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Summary of Outstanding Debt and Capital Lease Obligations</w:t>
            </w:r>
          </w:p>
        </w:tc>
        <w:tc>
          <w:tcPr>
            <w:tcW w:w="3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280" w:type="dxa"/>
            <w:vAlign w:val="bottom"/>
          </w:tcPr>
          <w:p>
            <w:pPr>
              <w:spacing w:after="0"/>
              <w:rPr>
                <w:sz w:val="19"/>
                <w:szCs w:val="19"/>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Summary of Debt Maturities</w:t>
            </w:r>
          </w:p>
        </w:tc>
        <w:tc>
          <w:tcPr>
            <w:tcW w:w="3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8100" w:type="dxa"/>
            <w:vAlign w:val="bottom"/>
          </w:tcPr>
          <w:p>
            <w:pPr>
              <w:ind w:left="60"/>
              <w:spacing w:after="0"/>
              <w:rPr>
                <w:sz w:val="20"/>
                <w:szCs w:val="20"/>
                <w:color w:val="auto"/>
              </w:rPr>
            </w:pPr>
            <w:r>
              <w:rPr>
                <w:rFonts w:ascii="Arial" w:cs="Arial" w:eastAsia="Arial" w:hAnsi="Arial"/>
                <w:sz w:val="18"/>
                <w:szCs w:val="18"/>
                <w:color w:val="auto"/>
              </w:rPr>
              <w:t>Summary of Redevelopment Opportunities</w:t>
            </w:r>
          </w:p>
        </w:tc>
        <w:tc>
          <w:tcPr>
            <w:tcW w:w="3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8100" w:type="dxa"/>
            <w:vAlign w:val="bottom"/>
          </w:tcPr>
          <w:p>
            <w:pPr>
              <w:ind w:left="60"/>
              <w:spacing w:after="0"/>
              <w:rPr>
                <w:sz w:val="20"/>
                <w:szCs w:val="20"/>
                <w:color w:val="auto"/>
              </w:rPr>
            </w:pPr>
            <w:r>
              <w:rPr>
                <w:rFonts w:ascii="Arial" w:cs="Arial" w:eastAsia="Arial" w:hAnsi="Arial"/>
                <w:sz w:val="18"/>
                <w:szCs w:val="18"/>
                <w:color w:val="auto"/>
              </w:rPr>
              <w:t>Real Estate Status Report</w:t>
            </w:r>
          </w:p>
        </w:tc>
        <w:tc>
          <w:tcPr>
            <w:tcW w:w="3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8100" w:type="dxa"/>
            <w:vAlign w:val="bottom"/>
          </w:tcPr>
          <w:p>
            <w:pPr>
              <w:ind w:left="60"/>
              <w:spacing w:after="0"/>
              <w:rPr>
                <w:sz w:val="20"/>
                <w:szCs w:val="20"/>
                <w:color w:val="auto"/>
              </w:rPr>
            </w:pPr>
            <w:r>
              <w:rPr>
                <w:rFonts w:ascii="Arial" w:cs="Arial" w:eastAsia="Arial" w:hAnsi="Arial"/>
                <w:sz w:val="18"/>
                <w:szCs w:val="18"/>
                <w:color w:val="auto"/>
              </w:rPr>
              <w:t>Retail Leasing Summary</w:t>
            </w:r>
          </w:p>
        </w:tc>
        <w:tc>
          <w:tcPr>
            <w:tcW w:w="3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8100" w:type="dxa"/>
            <w:vAlign w:val="bottom"/>
          </w:tcPr>
          <w:p>
            <w:pPr>
              <w:ind w:left="60"/>
              <w:spacing w:after="0"/>
              <w:rPr>
                <w:sz w:val="20"/>
                <w:szCs w:val="20"/>
                <w:color w:val="auto"/>
              </w:rPr>
            </w:pPr>
            <w:r>
              <w:rPr>
                <w:rFonts w:ascii="Arial" w:cs="Arial" w:eastAsia="Arial" w:hAnsi="Arial"/>
                <w:sz w:val="18"/>
                <w:szCs w:val="18"/>
                <w:color w:val="auto"/>
              </w:rPr>
              <w:t>Lease Expirations</w:t>
            </w:r>
          </w:p>
        </w:tc>
        <w:tc>
          <w:tcPr>
            <w:tcW w:w="3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8100" w:type="dxa"/>
            <w:vAlign w:val="bottom"/>
          </w:tcPr>
          <w:p>
            <w:pPr>
              <w:ind w:left="60"/>
              <w:spacing w:after="0"/>
              <w:rPr>
                <w:sz w:val="20"/>
                <w:szCs w:val="20"/>
                <w:color w:val="auto"/>
              </w:rPr>
            </w:pPr>
            <w:r>
              <w:rPr>
                <w:rFonts w:ascii="Arial" w:cs="Arial" w:eastAsia="Arial" w:hAnsi="Arial"/>
                <w:sz w:val="18"/>
                <w:szCs w:val="18"/>
                <w:color w:val="auto"/>
              </w:rPr>
              <w:t>Portfolio Leased Statistics</w:t>
            </w:r>
          </w:p>
        </w:tc>
        <w:tc>
          <w:tcPr>
            <w:tcW w:w="3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8100" w:type="dxa"/>
            <w:vAlign w:val="bottom"/>
          </w:tcPr>
          <w:p>
            <w:pPr>
              <w:ind w:left="60"/>
              <w:spacing w:after="0"/>
              <w:rPr>
                <w:sz w:val="20"/>
                <w:szCs w:val="20"/>
                <w:color w:val="auto"/>
              </w:rPr>
            </w:pPr>
            <w:r>
              <w:rPr>
                <w:rFonts w:ascii="Arial" w:cs="Arial" w:eastAsia="Arial" w:hAnsi="Arial"/>
                <w:sz w:val="18"/>
                <w:szCs w:val="18"/>
                <w:color w:val="auto"/>
              </w:rPr>
              <w:t>Summary of Top 25 Tenants</w:t>
            </w:r>
          </w:p>
        </w:tc>
        <w:tc>
          <w:tcPr>
            <w:tcW w:w="3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8100" w:type="dxa"/>
            <w:vAlign w:val="bottom"/>
          </w:tcPr>
          <w:p>
            <w:pPr>
              <w:ind w:left="60"/>
              <w:spacing w:after="0"/>
              <w:rPr>
                <w:sz w:val="20"/>
                <w:szCs w:val="20"/>
                <w:color w:val="auto"/>
              </w:rPr>
            </w:pPr>
            <w:r>
              <w:rPr>
                <w:rFonts w:ascii="Arial" w:cs="Arial" w:eastAsia="Arial" w:hAnsi="Arial"/>
                <w:sz w:val="18"/>
                <w:szCs w:val="18"/>
                <w:color w:val="auto"/>
              </w:rPr>
              <w:t>Reconciliation of Net Income to FFO Guidance</w:t>
            </w:r>
          </w:p>
        </w:tc>
        <w:tc>
          <w:tcPr>
            <w:tcW w:w="3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8100" w:type="dxa"/>
            <w:vAlign w:val="bottom"/>
          </w:tcPr>
          <w:p>
            <w:pPr>
              <w:ind w:left="60"/>
              <w:spacing w:after="0"/>
              <w:rPr>
                <w:sz w:val="20"/>
                <w:szCs w:val="20"/>
                <w:color w:val="auto"/>
              </w:rPr>
            </w:pPr>
            <w:r>
              <w:rPr>
                <w:rFonts w:ascii="Arial" w:cs="Arial" w:eastAsia="Arial" w:hAnsi="Arial"/>
                <w:sz w:val="18"/>
                <w:szCs w:val="18"/>
                <w:color w:val="auto"/>
              </w:rPr>
              <w:t>Joint Venture Disclosure</w:t>
            </w:r>
          </w:p>
        </w:tc>
        <w:tc>
          <w:tcPr>
            <w:tcW w:w="304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Summarized Income Statements and Balance Sheets</w:t>
            </w:r>
          </w:p>
        </w:tc>
        <w:tc>
          <w:tcPr>
            <w:tcW w:w="3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8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Summary of Outstanding Debt and Debt Maturities</w:t>
            </w:r>
          </w:p>
        </w:tc>
        <w:tc>
          <w:tcPr>
            <w:tcW w:w="3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280" w:type="dxa"/>
            <w:vAlign w:val="bottom"/>
          </w:tcPr>
          <w:p>
            <w:pPr>
              <w:spacing w:after="0"/>
              <w:rPr>
                <w:sz w:val="19"/>
                <w:szCs w:val="19"/>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Real Estate Status Report</w:t>
            </w:r>
          </w:p>
        </w:tc>
        <w:tc>
          <w:tcPr>
            <w:tcW w:w="3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8100" w:type="dxa"/>
            <w:vAlign w:val="bottom"/>
          </w:tcPr>
          <w:p>
            <w:pPr>
              <w:ind w:left="60"/>
              <w:spacing w:after="0"/>
              <w:rPr>
                <w:sz w:val="20"/>
                <w:szCs w:val="20"/>
                <w:color w:val="auto"/>
              </w:rPr>
            </w:pPr>
            <w:r>
              <w:rPr>
                <w:rFonts w:ascii="Arial" w:cs="Arial" w:eastAsia="Arial" w:hAnsi="Arial"/>
                <w:sz w:val="18"/>
                <w:szCs w:val="18"/>
                <w:color w:val="auto"/>
              </w:rPr>
              <w:t>Glossary of Terms</w:t>
            </w:r>
          </w:p>
        </w:tc>
        <w:tc>
          <w:tcPr>
            <w:tcW w:w="304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Safe Harbor Language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26, 2009 and amended on June 25, 2009, and include the following:</w:t>
      </w:r>
    </w:p>
    <w:p>
      <w:pPr>
        <w:spacing w:after="0" w:line="6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i w:val="1"/>
          <w:iCs w:val="1"/>
          <w:color w:val="auto"/>
        </w:rPr>
      </w:pPr>
    </w:p>
    <w:p>
      <w:pPr>
        <w:ind w:left="900" w:right="300" w:hanging="325"/>
        <w:spacing w:after="0" w:line="332" w:lineRule="auto"/>
        <w:tabs>
          <w:tab w:leader="none" w:pos="9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i w:val="1"/>
          <w:iCs w:val="1"/>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i w:val="1"/>
          <w:iCs w:val="1"/>
          <w:color w:val="auto"/>
        </w:rPr>
      </w:pPr>
    </w:p>
    <w:p>
      <w:pPr>
        <w:ind w:left="900" w:hanging="325"/>
        <w:spacing w:after="0" w:line="298" w:lineRule="auto"/>
        <w:tabs>
          <w:tab w:leader="none" w:pos="9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90" w:lineRule="exact"/>
        <w:rPr>
          <w:rFonts w:ascii="Arial" w:cs="Arial" w:eastAsia="Arial" w:hAnsi="Arial"/>
          <w:sz w:val="18"/>
          <w:szCs w:val="18"/>
          <w:i w:val="1"/>
          <w:iCs w:val="1"/>
          <w:color w:val="auto"/>
        </w:rPr>
      </w:pPr>
    </w:p>
    <w:p>
      <w:pPr>
        <w:ind w:left="90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i w:val="1"/>
          <w:iCs w:val="1"/>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26, 2009 and amended on June 25, 2009.</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32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5460" w:type="dxa"/>
            <w:vAlign w:val="bottom"/>
          </w:tcPr>
          <w:p>
            <w:pPr>
              <w:spacing w:after="0"/>
              <w:rPr>
                <w:sz w:val="19"/>
                <w:szCs w:val="19"/>
                <w:color w:val="auto"/>
              </w:rPr>
            </w:pPr>
          </w:p>
        </w:tc>
      </w:tr>
      <w:tr>
        <w:trPr>
          <w:trHeight w:val="380"/>
        </w:trPr>
        <w:tc>
          <w:tcPr>
            <w:tcW w:w="556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5460" w:type="dxa"/>
            <w:vAlign w:val="bottom"/>
          </w:tcPr>
          <w:p>
            <w:pPr>
              <w:spacing w:after="0"/>
              <w:rPr>
                <w:sz w:val="24"/>
                <w:szCs w:val="24"/>
                <w:color w:val="auto"/>
              </w:rPr>
            </w:pPr>
          </w:p>
        </w:tc>
      </w:tr>
      <w:tr>
        <w:trPr>
          <w:trHeight w:val="22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Gina Birdsall</w:t>
            </w:r>
          </w:p>
        </w:tc>
        <w:tc>
          <w:tcPr>
            <w:tcW w:w="3500" w:type="dxa"/>
            <w:vAlign w:val="bottom"/>
          </w:tcPr>
          <w:p>
            <w:pPr>
              <w:spacing w:after="0"/>
              <w:rPr>
                <w:sz w:val="19"/>
                <w:szCs w:val="19"/>
                <w:color w:val="auto"/>
              </w:rPr>
            </w:pPr>
          </w:p>
        </w:tc>
        <w:tc>
          <w:tcPr>
            <w:tcW w:w="5460" w:type="dxa"/>
            <w:vAlign w:val="bottom"/>
          </w:tcPr>
          <w:p>
            <w:pPr>
              <w:ind w:left="3220"/>
              <w:spacing w:after="0"/>
              <w:rPr>
                <w:sz w:val="20"/>
                <w:szCs w:val="20"/>
                <w:color w:val="auto"/>
              </w:rPr>
            </w:pPr>
            <w:r>
              <w:rPr>
                <w:rFonts w:ascii="Arial" w:cs="Arial" w:eastAsia="Arial" w:hAnsi="Arial"/>
                <w:sz w:val="18"/>
                <w:szCs w:val="18"/>
                <w:color w:val="auto"/>
              </w:rPr>
              <w:t>Janelle Stevenson</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5460" w:type="dxa"/>
            <w:vAlign w:val="bottom"/>
          </w:tcPr>
          <w:p>
            <w:pPr>
              <w:ind w:left="3220"/>
              <w:spacing w:after="0"/>
              <w:rPr>
                <w:sz w:val="20"/>
                <w:szCs w:val="20"/>
                <w:color w:val="auto"/>
              </w:rPr>
            </w:pPr>
            <w:r>
              <w:rPr>
                <w:rFonts w:ascii="Arial" w:cs="Arial" w:eastAsia="Arial" w:hAnsi="Arial"/>
                <w:sz w:val="18"/>
                <w:szCs w:val="18"/>
                <w:color w:val="auto"/>
              </w:rPr>
              <w:t>Corporate Communications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301/998-8265</w:t>
            </w:r>
          </w:p>
        </w:tc>
        <w:tc>
          <w:tcPr>
            <w:tcW w:w="3500" w:type="dxa"/>
            <w:vAlign w:val="bottom"/>
          </w:tcPr>
          <w:p>
            <w:pPr>
              <w:spacing w:after="0"/>
              <w:rPr>
                <w:sz w:val="18"/>
                <w:szCs w:val="18"/>
                <w:color w:val="auto"/>
              </w:rPr>
            </w:pPr>
          </w:p>
        </w:tc>
        <w:tc>
          <w:tcPr>
            <w:tcW w:w="5460" w:type="dxa"/>
            <w:vAlign w:val="bottom"/>
          </w:tcPr>
          <w:p>
            <w:pPr>
              <w:ind w:left="3220"/>
              <w:spacing w:after="0"/>
              <w:rPr>
                <w:sz w:val="20"/>
                <w:szCs w:val="20"/>
                <w:color w:val="auto"/>
              </w:rPr>
            </w:pPr>
            <w:r>
              <w:rPr>
                <w:rFonts w:ascii="Arial" w:cs="Arial" w:eastAsia="Arial" w:hAnsi="Arial"/>
                <w:sz w:val="18"/>
                <w:szCs w:val="18"/>
                <w:color w:val="auto"/>
              </w:rPr>
              <w:t>301/998-8185</w:t>
            </w:r>
          </w:p>
        </w:tc>
      </w:tr>
      <w:tr>
        <w:trPr>
          <w:trHeight w:val="222"/>
        </w:trPr>
        <w:tc>
          <w:tcPr>
            <w:tcW w:w="5560" w:type="dxa"/>
            <w:vAlign w:val="bottom"/>
            <w:gridSpan w:val="2"/>
          </w:tcPr>
          <w:p>
            <w:pPr>
              <w:spacing w:after="0"/>
              <w:rPr>
                <w:sz w:val="20"/>
                <w:szCs w:val="20"/>
                <w:color w:val="auto"/>
              </w:rPr>
            </w:pPr>
            <w:r>
              <w:rPr>
                <w:rFonts w:ascii="Arial" w:cs="Arial" w:eastAsia="Arial" w:hAnsi="Arial"/>
                <w:sz w:val="18"/>
                <w:szCs w:val="18"/>
                <w:i w:val="1"/>
                <w:iCs w:val="1"/>
                <w:color w:val="auto"/>
              </w:rPr>
              <w:t>gbirdsall@federalrealty.com</w:t>
            </w:r>
          </w:p>
        </w:tc>
        <w:tc>
          <w:tcPr>
            <w:tcW w:w="5460" w:type="dxa"/>
            <w:vAlign w:val="bottom"/>
          </w:tcPr>
          <w:p>
            <w:pPr>
              <w:ind w:left="3220"/>
              <w:spacing w:after="0"/>
              <w:rPr>
                <w:sz w:val="20"/>
                <w:szCs w:val="20"/>
                <w:color w:val="auto"/>
              </w:rPr>
            </w:pPr>
            <w:r>
              <w:rPr>
                <w:rFonts w:ascii="Arial" w:cs="Arial" w:eastAsia="Arial" w:hAnsi="Arial"/>
                <w:sz w:val="18"/>
                <w:szCs w:val="18"/>
                <w:i w:val="1"/>
                <w:iCs w:val="1"/>
                <w:color w:val="auto"/>
                <w:w w:val="86"/>
              </w:rPr>
              <w:t>jmstevenson@federalrealty.com</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REALTY INVESTMENT TRUST ANNOUNCES SECOND QUARTER 2009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ROCKVILLE, Md. (August 4, 2009) – Federal Realty Investment Trust (NYSE:FRT) today reported operating results for its second quarter ended June 30,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Federal Realty reported funds from operations available for common shareholders (FFO) of $57.4 million or $0.97 per diluted share, and net income available for common shareholders of $28.3 million or earnings per diluted share of $0.48 for the second quarter 2009. For the six months ended June 30, 2009, Federal Realty reported FFO of $95.4 million, or $1.61 per diluted share. Net income available for common shareholders was $38.6 million and earnings per diluted share was $0.65 for the six months ended June 30, 2009. Excluding the litigation provision, year-to-date FFO was $116.1 million, or $1.95 per diluted share, versus $111.7 million, or $1.89 per diluted share, for the same six-month period in 2008. Net income available for common shareholders excluding the litigation provision was $59.4 million and earnings per diluted share was $1.00 for the six months ended June 30, 2009 versus $58.7 million and $0.99, respectively, for the same six-month period in 2008.</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attributable to the Trust is attached to this press release.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9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In second quarter 2009, same-center property operating income increased 1.6% over second quarter 2008. When redevelopment and expansion properties are excluded from same-center results, property operating income for second quarter 2009 decreased 1.4% compared to second quarter 2008.</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2009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overall portfolio was 94.0% leased as of June 30, 2009, compared to 94.2% on March 31, 2009 and 95.8% on June 30, 2008. Federal Realty’s same-center portfolio was 94.2% leased on June 30, 2009, compared to 94.5% on March 31, 2009 and 96.1% on June 30, 2009.</w:t>
      </w:r>
    </w:p>
    <w:p>
      <w:pPr>
        <w:spacing w:after="0" w:line="13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During the second quarter of 2009, Federal Realty signed 71 leases for 319,000 square feet of retail space. On a comparable space basis (i.e., spaces for which there was a former tenant), the Trust leased 315,000 square feet at an average cash-basis contractual rent increase per square foot (i.e., excluding the impact of straight-line rents) of 16%. The average contractual rent on this comparable space for the first year of the new leases is $26.87 per square foot, compared to the average contractual rent of $23.25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29% for second quarter 2009. As of June 30, 2009, Federal Realty’s average contractual, cash basis minimum rent for retail and commercial space in its portfolio was $21.93 per square foot.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Federal Realty also announced today that its Board of Trustees increased the dividend rate on its common shares, declaring a regular quarterly cash dividend of $0.66 per share, resulting in an indicated annual rate of $2.64 per share, an increase of $0.04 annually or 1.5%. The regular common dividend will be payable on October 15, 2009, to common shareholders of record as of September 23, 2009. This increase represents the 42nd consecutive year that Federal Realty has increased its common dividend, the longest record of consecutive annual dividend increases in the REIT sector.</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believe that a cash dividend is essential to most REIT investors and we are proud to not only continue to pay a quarterly dividend in cash, but to increase that dividend for the 42</w:t>
      </w:r>
      <w:r>
        <w:rPr>
          <w:rFonts w:ascii="Arial" w:cs="Arial" w:eastAsia="Arial" w:hAnsi="Arial"/>
          <w:sz w:val="10"/>
          <w:szCs w:val="10"/>
          <w:color w:val="auto"/>
        </w:rPr>
        <w:t>nd</w:t>
      </w:r>
      <w:r>
        <w:rPr>
          <w:rFonts w:ascii="Arial" w:cs="Arial" w:eastAsia="Arial" w:hAnsi="Arial"/>
          <w:sz w:val="16"/>
          <w:szCs w:val="16"/>
          <w:color w:val="auto"/>
        </w:rPr>
        <w:t xml:space="preserve"> consecutive year,” said Donald C. Wood, president and chief executive officer of the Trust. “We would not be able to continue this record without a consistent earnings stream which comes from owning the highest quality properties with a steady focus on core operations. In addition, we have demonstrated significant access to capital which has strengthened our balance sheet and provides us the ability to pursue future growth opportunities.”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Federal Realty narrowed guidance, excluding the provision for litigation, for 2009 FFO per diluted share to a range of $3.82 to $3.87, and provided 2009 earnings per diluted share guidance of $1.91 to $1.96.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2009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9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June 4, 2009 – Completed a cash tender offer for its outstanding 8.75% Notes due 2009 (CUSIP No.313747AG2), purchasing an aggregate of</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6"/>
          <w:szCs w:val="16"/>
          <w:color w:val="auto"/>
        </w:rPr>
        <w:t>$40,266,000 principal amount of the Securities (representing 24.6% of the outstanding Securities). The consideration paid for the Securities was</w:t>
      </w:r>
    </w:p>
    <w:p>
      <w:pPr>
        <w:spacing w:after="0" w:line="32" w:lineRule="exact"/>
        <w:rPr>
          <w:rFonts w:ascii="Arial" w:cs="Arial" w:eastAsia="Arial" w:hAnsi="Arial"/>
          <w:sz w:val="16"/>
          <w:szCs w:val="16"/>
          <w:color w:val="auto"/>
        </w:rPr>
      </w:pPr>
    </w:p>
    <w:p>
      <w:pPr>
        <w:ind w:left="900" w:right="60"/>
        <w:spacing w:after="0" w:line="323" w:lineRule="auto"/>
        <w:rPr>
          <w:rFonts w:ascii="Arial" w:cs="Arial" w:eastAsia="Arial" w:hAnsi="Arial"/>
          <w:sz w:val="16"/>
          <w:szCs w:val="16"/>
          <w:color w:val="auto"/>
        </w:rPr>
      </w:pPr>
      <w:r>
        <w:rPr>
          <w:rFonts w:ascii="Arial" w:cs="Arial" w:eastAsia="Arial" w:hAnsi="Arial"/>
          <w:sz w:val="16"/>
          <w:szCs w:val="16"/>
          <w:color w:val="auto"/>
        </w:rPr>
        <w:t>$1,020 per $1,000 in principal amount, plus accrued and unpaid interest to, but not including, June 4, 2009. The aggregate consideration paid for the Securities tendered, exclusive of accrued interest and transaction costs, was approximately $41.1 million.</w:t>
      </w:r>
    </w:p>
    <w:p>
      <w:pPr>
        <w:spacing w:after="0" w:line="11"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June 4, 2009 – Closed on a $139 million five-year loan secured by four retail assets located in Northern Virginia at an effective annual rate of 7.7%.</w:t>
      </w:r>
    </w:p>
    <w:p>
      <w:pPr>
        <w:spacing w:after="0" w:line="113"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4, 2009 – Closed a new $372 million unsecured term loan, proceeds of which were utilized to retire the Trust’s outstanding $200 million unsecured term loan, pay down the outstanding balance on our revolving credit facility, and provide capital to retire the 8.75% Notes due December 1, 2009. The term loan, which bears interest at an annual rate of LIBOR (subject to a 1.5% floor) plus 300 basis points, will mature in July 2011. The term loan was increased from its initial size of $200 million, reflecting significant demand from high-quality financial institutions for the Trust’s credit at market leading terms.</w:t>
      </w:r>
    </w:p>
    <w:p>
      <w:pPr>
        <w:spacing w:after="0" w:line="61"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April 14, 2009 – Closed a $24.1 million, ten-year loan secured by Rollingwood Apartments in Silver Spring, Maryland at an effective annual interest rate of 5.7%.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second quarter 2009 earnings conference call, which is scheduled for August 5, 2009, at 11 a.m. Eastern Daylight Time. To participate, please call (866) 783-2143 five to ten minutes prior to the call start time and use the passcode FRT EARNINGS (required). Federal Realty will also provide an online Webcast on the Company’s Web site, www.federalrealty.com, which will remain available for 30 days following the call. A telephone recording of the call will also be available through September 3, 2009, by dialing (888) 286-8010 and using the passcode 10487453.</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2009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96"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and redevelopment of high quality retail assets. Federal Realty’s portfolio (excluding joint venture properties) contains approximately 18.2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94.0% leased to national, regional, and local retailers as of June 30, 2009, with no single tenant accounting for more than approximately 2.6% of annualized base rent. Federal Realty has paid quarterly dividends to its shareholders continuously since its founding in 1962, and has increased its dividend rate for 42 consecutive years, the longest record in the REIT industry. Federal Realty is an S&amp;P MidCap 400 company and its shares are traded on the NYSE under the symbol FRT. For more information, please visit www.federalrealty.com.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26, 2009 and amended on June 25, 2009, and include the following:</w:t>
      </w:r>
    </w:p>
    <w:p>
      <w:pPr>
        <w:spacing w:after="0" w:line="6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325"/>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of financing, such as our ability to consummate additional financings or obtain replacement financing on terms which are acceptable to us, our ability to close any pending financing activities, our ability to meet existing financial covenants and the limitations imposed on our operations by those covenants, and the possibility of increases in interest rates that would result in increased interest expense; and</w:t>
      </w:r>
    </w:p>
    <w:p>
      <w:pPr>
        <w:spacing w:after="0" w:line="25" w:lineRule="exact"/>
        <w:rPr>
          <w:rFonts w:ascii="Arial" w:cs="Arial" w:eastAsia="Arial" w:hAnsi="Arial"/>
          <w:sz w:val="16"/>
          <w:szCs w:val="16"/>
          <w:color w:val="auto"/>
        </w:rPr>
      </w:pPr>
    </w:p>
    <w:p>
      <w:pPr>
        <w:ind w:left="900" w:right="1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February 26, 2009 and amended on June 25, 2009.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472"/>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ind w:left="100"/>
              <w:spacing w:after="0" w:line="129" w:lineRule="exact"/>
              <w:rPr>
                <w:sz w:val="20"/>
                <w:szCs w:val="20"/>
                <w:color w:val="auto"/>
              </w:rPr>
            </w:pPr>
            <w:r>
              <w:rPr>
                <w:rFonts w:ascii="Arial" w:cs="Arial" w:eastAsia="Arial" w:hAnsi="Arial"/>
                <w:sz w:val="14"/>
                <w:szCs w:val="14"/>
                <w:b w:val="1"/>
                <w:bCs w:val="1"/>
                <w:color w:val="auto"/>
                <w:w w:val="81"/>
              </w:rPr>
              <w:t>(in</w:t>
            </w: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thousands,</w:t>
            </w:r>
          </w:p>
        </w:tc>
        <w:tc>
          <w:tcPr>
            <w:tcW w:w="4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except</w:t>
            </w: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5"/>
              </w:rPr>
              <w:t>per share data)</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126,090</w:t>
            </w:r>
          </w:p>
        </w:tc>
        <w:tc>
          <w:tcPr>
            <w:tcW w:w="1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122,970</w:t>
            </w: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253,296</w:t>
            </w:r>
          </w:p>
        </w:tc>
        <w:tc>
          <w:tcPr>
            <w:tcW w:w="3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244,710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130,338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128,712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261,414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254,954</w:t>
            </w:r>
          </w:p>
        </w:tc>
        <w:tc>
          <w:tcPr>
            <w:tcW w:w="0" w:type="dxa"/>
            <w:vAlign w:val="bottom"/>
          </w:tcPr>
          <w:p>
            <w:pPr>
              <w:spacing w:after="0"/>
              <w:rPr>
                <w:sz w:val="1"/>
                <w:szCs w:val="1"/>
                <w:color w:val="auto"/>
              </w:rPr>
            </w:pPr>
          </w:p>
        </w:tc>
      </w:tr>
      <w:tr>
        <w:trPr>
          <w:trHeight w:val="222"/>
        </w:trPr>
        <w:tc>
          <w:tcPr>
            <w:tcW w:w="50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25,080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14,821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28,653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Litigation provision</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20,757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29,633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74,935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75,197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171,833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147,120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55,403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107,834</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(25,830)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2"/>
              </w:rPr>
              <w:t>(24,476)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(49,413)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(48,829)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Early extinguishment of senior notes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2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29,250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40,151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60,325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 from discontinued operations</w:t>
            </w:r>
          </w:p>
        </w:tc>
        <w:tc>
          <w:tcPr>
            <w:tcW w:w="2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2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29,794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(1,377)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(1,409)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(2,766)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2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28,417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28,282</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38,630</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58,689</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58,917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58,882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0.47</w:t>
            </w:r>
          </w:p>
        </w:tc>
        <w:tc>
          <w:tcPr>
            <w:tcW w:w="1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0.48</w:t>
            </w: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0.62</w:t>
            </w:r>
          </w:p>
        </w:tc>
        <w:tc>
          <w:tcPr>
            <w:tcW w:w="3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0.48</w:t>
            </w:r>
          </w:p>
        </w:tc>
        <w:tc>
          <w:tcPr>
            <w:tcW w:w="1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0.49</w:t>
            </w:r>
          </w:p>
        </w:tc>
        <w:tc>
          <w:tcPr>
            <w:tcW w:w="24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0.65</w:t>
            </w:r>
          </w:p>
        </w:tc>
        <w:tc>
          <w:tcPr>
            <w:tcW w:w="30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59,042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300" w:type="dxa"/>
            <w:vAlign w:val="bottom"/>
            <w:vMerge w:val="restart"/>
          </w:tcPr>
          <w:p>
            <w:pPr>
              <w:jc w:val="right"/>
              <w:ind w:right="147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32"/>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jc w:val="right"/>
              <w:ind w:right="473"/>
              <w:spacing w:after="0" w:line="129" w:lineRule="exact"/>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20" w:type="dxa"/>
            <w:vAlign w:val="bottom"/>
            <w:gridSpan w:val="3"/>
          </w:tcPr>
          <w:p>
            <w:pPr>
              <w:jc w:val="center"/>
              <w:ind w:right="252"/>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4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4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7"/>
              </w:rPr>
              <w:t>3,576,472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3,567,035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Construction-in-progress</w:t>
            </w:r>
          </w:p>
        </w:tc>
        <w:tc>
          <w:tcPr>
            <w:tcW w:w="4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131,506</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7"/>
              </w:rPr>
              <w:t>3,707,978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3,673,685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18"/>
                <w:szCs w:val="18"/>
                <w:color w:val="auto"/>
                <w:w w:val="95"/>
              </w:rPr>
              <w:t>(889,316)</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(846,258)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w:t>
            </w:r>
          </w:p>
        </w:tc>
        <w:tc>
          <w:tcPr>
            <w:tcW w:w="4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2,818,662</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2,827,427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170,059</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68,726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Mortgage notes receivable</w:t>
            </w: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48,464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real estate partnership</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28,801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4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7"/>
              </w:rPr>
              <w:t>3,234,956</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3,092,776</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4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40" w:type="dxa"/>
            <w:vAlign w:val="bottom"/>
            <w:gridSpan w:val="2"/>
            <w:vMerge w:val="continue"/>
          </w:tcPr>
          <w:p>
            <w:pPr>
              <w:spacing w:after="0"/>
              <w:rPr>
                <w:sz w:val="18"/>
                <w:szCs w:val="18"/>
                <w:color w:val="auto"/>
              </w:rPr>
            </w:pP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Mortgages payable and capital lease obligations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607,291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383,828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Senior notes and debentures</w:t>
            </w: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905,114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4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223,994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w w:val="87"/>
              </w:rPr>
              <w:t>2,120,227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1,945,822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Preferred stock</w:t>
            </w: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9,997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4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1,072,919</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1,104,605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spacing w:after="0"/>
              <w:rPr>
                <w:sz w:val="20"/>
                <w:szCs w:val="20"/>
                <w:color w:val="auto"/>
              </w:rPr>
            </w:pPr>
            <w:r>
              <w:rPr>
                <w:rFonts w:ascii="Arial" w:cs="Arial" w:eastAsia="Arial" w:hAnsi="Arial"/>
                <w:sz w:val="18"/>
                <w:szCs w:val="18"/>
                <w:color w:val="auto"/>
              </w:rPr>
              <w:t>Total shareholders’ equity of the Trust</w:t>
            </w: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w w:val="87"/>
              </w:rPr>
              <w:t>1,082,916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1,114,602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w:t>
            </w:r>
          </w:p>
        </w:tc>
        <w:tc>
          <w:tcPr>
            <w:tcW w:w="4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4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1,114,729</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1,146,954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7"/>
              </w:rPr>
              <w:t>3,234,956</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3,092,776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460" w:type="dxa"/>
            <w:vAlign w:val="bottom"/>
            <w:vMerge w:val="restart"/>
          </w:tcPr>
          <w:p>
            <w:pPr>
              <w:jc w:val="right"/>
              <w:ind w:right="3552"/>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372"/>
              <w:spacing w:after="0"/>
              <w:rPr>
                <w:sz w:val="20"/>
                <w:szCs w:val="20"/>
                <w:color w:val="auto"/>
              </w:rPr>
            </w:pPr>
            <w:r>
              <w:rPr>
                <w:rFonts w:ascii="Arial" w:cs="Arial" w:eastAsia="Arial" w:hAnsi="Arial"/>
                <w:sz w:val="14"/>
                <w:szCs w:val="14"/>
                <w:b w:val="1"/>
                <w:bCs w:val="1"/>
                <w:color w:val="auto"/>
                <w:w w:val="86"/>
              </w:rPr>
              <w:t>Three months ended 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w w:val="81"/>
              </w:rPr>
              <w:t>(in</w:t>
            </w: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1460" w:type="dxa"/>
            <w:vAlign w:val="bottom"/>
            <w:gridSpan w:val="5"/>
          </w:tcPr>
          <w:p>
            <w:pPr>
              <w:jc w:val="right"/>
              <w:ind w:right="220"/>
              <w:spacing w:after="0" w:line="142" w:lineRule="exact"/>
              <w:rPr>
                <w:sz w:val="20"/>
                <w:szCs w:val="20"/>
                <w:color w:val="auto"/>
              </w:rPr>
            </w:pPr>
            <w:r>
              <w:rPr>
                <w:rFonts w:ascii="Arial" w:cs="Arial" w:eastAsia="Arial" w:hAnsi="Arial"/>
                <w:sz w:val="14"/>
                <w:szCs w:val="14"/>
                <w:b w:val="1"/>
                <w:bCs w:val="1"/>
                <w:color w:val="auto"/>
                <w:w w:val="82"/>
              </w:rPr>
              <w:t>except per share data)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Funds from Operations available for common shareholders (FFO) (1)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income attributable to the Trust</w:t>
            </w:r>
          </w:p>
        </w:tc>
        <w:tc>
          <w:tcPr>
            <w:tcW w:w="2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28,417</w:t>
            </w:r>
          </w:p>
        </w:tc>
        <w:tc>
          <w:tcPr>
            <w:tcW w:w="440" w:type="dxa"/>
            <w:vAlign w:val="bottom"/>
            <w:tcBorders>
              <w:top w:val="single" w:sz="8" w:color="CCEEFF"/>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8"/>
              </w:rPr>
              <w:t>28,974</w:t>
            </w: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8"/>
              </w:rPr>
              <w:t>38,901</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w w:val="98"/>
              </w:rPr>
              <w:t>58,960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26,563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25,050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51,999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Depreciation of joint venture real estate assets</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Funds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57,449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56,638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95,475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111,926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92"/>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Income attributable to unvested shares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92"/>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FFO (2)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57,366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56,533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95,374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111,729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tcPr>
          <w:p>
            <w:pPr>
              <w:ind w:left="420"/>
              <w:spacing w:after="0"/>
              <w:rPr>
                <w:sz w:val="20"/>
                <w:szCs w:val="20"/>
                <w:color w:val="auto"/>
              </w:rPr>
            </w:pPr>
            <w:r>
              <w:rPr>
                <w:rFonts w:ascii="Arial" w:cs="Arial" w:eastAsia="Arial" w:hAnsi="Arial"/>
                <w:sz w:val="18"/>
                <w:szCs w:val="18"/>
                <w:color w:val="auto"/>
              </w:rPr>
              <w:t>Litigation provision, net of allocation to unvested shares (2)</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20,689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FFO excluding litigation provision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57,490</w:t>
            </w: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56,533</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116,063</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111,729</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980" w:type="dxa"/>
            <w:vAlign w:val="bottom"/>
            <w:gridSpan w:val="5"/>
          </w:tcPr>
          <w:p>
            <w:pPr>
              <w:spacing w:after="0"/>
              <w:rPr>
                <w:sz w:val="20"/>
                <w:szCs w:val="20"/>
                <w:color w:val="auto"/>
              </w:rPr>
            </w:pPr>
            <w:r>
              <w:rPr>
                <w:rFonts w:ascii="Arial" w:cs="Arial" w:eastAsia="Arial" w:hAnsi="Arial"/>
                <w:sz w:val="18"/>
                <w:szCs w:val="18"/>
                <w:color w:val="auto"/>
              </w:rPr>
              <w:t>FFO per diluted share (3)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0.97</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0.95</w:t>
            </w:r>
          </w:p>
        </w:tc>
        <w:tc>
          <w:tcPr>
            <w:tcW w:w="3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Litigation provision per diluted share (2)</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gridSpan w:val="5"/>
          </w:tcPr>
          <w:p>
            <w:pPr>
              <w:spacing w:after="0"/>
              <w:rPr>
                <w:sz w:val="20"/>
                <w:szCs w:val="20"/>
                <w:color w:val="auto"/>
              </w:rPr>
            </w:pPr>
            <w:r>
              <w:rPr>
                <w:rFonts w:ascii="Arial" w:cs="Arial" w:eastAsia="Arial" w:hAnsi="Arial"/>
                <w:sz w:val="18"/>
                <w:szCs w:val="18"/>
                <w:color w:val="auto"/>
              </w:rPr>
              <w:t>FFO per diluted share excluding litigation provision (2) (3)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0.97</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0.95</w:t>
            </w:r>
          </w:p>
        </w:tc>
        <w:tc>
          <w:tcPr>
            <w:tcW w:w="3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59,414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59,284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59,377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59,222</w:t>
            </w:r>
          </w:p>
        </w:tc>
        <w:tc>
          <w:tcPr>
            <w:tcW w:w="0" w:type="dxa"/>
            <w:vAlign w:val="bottom"/>
          </w:tcPr>
          <w:p>
            <w:pPr>
              <w:spacing w:after="0"/>
              <w:rPr>
                <w:sz w:val="1"/>
                <w:szCs w:val="1"/>
                <w:color w:val="auto"/>
              </w:rPr>
            </w:pPr>
          </w:p>
        </w:tc>
      </w:tr>
      <w:tr>
        <w:trPr>
          <w:trHeight w:val="20"/>
        </w:trPr>
        <w:tc>
          <w:tcPr>
            <w:tcW w:w="6980" w:type="dxa"/>
            <w:vAlign w:val="bottom"/>
            <w:gridSpan w:val="5"/>
            <w:vMerge w:val="restart"/>
          </w:tcPr>
          <w:p>
            <w:pPr>
              <w:spacing w:after="0"/>
              <w:rPr>
                <w:sz w:val="20"/>
                <w:szCs w:val="20"/>
                <w:color w:val="auto"/>
              </w:rPr>
            </w:pPr>
            <w:r>
              <w:rPr>
                <w:rFonts w:ascii="Arial" w:cs="Arial" w:eastAsia="Arial" w:hAnsi="Arial"/>
                <w:sz w:val="18"/>
                <w:szCs w:val="18"/>
                <w:color w:val="auto"/>
              </w:rPr>
              <w:t>Summary of Capital Expenditures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Non-maintenance capital expenditures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tcPr>
          <w:p>
            <w:pPr>
              <w:ind w:left="860"/>
              <w:spacing w:after="0"/>
              <w:rPr>
                <w:sz w:val="20"/>
                <w:szCs w:val="20"/>
                <w:color w:val="auto"/>
              </w:rPr>
            </w:pPr>
            <w:r>
              <w:rPr>
                <w:rFonts w:ascii="Arial" w:cs="Arial" w:eastAsia="Arial" w:hAnsi="Arial"/>
                <w:sz w:val="18"/>
                <w:szCs w:val="18"/>
                <w:color w:val="auto"/>
              </w:rPr>
              <w:t>Redevelopment and expansions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19,138</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21,488</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39,965</w:t>
            </w:r>
          </w:p>
        </w:tc>
        <w:tc>
          <w:tcPr>
            <w:tcW w:w="3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50,410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Tenant improvements and incentives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9,383</w:t>
            </w:r>
          </w:p>
        </w:tc>
        <w:tc>
          <w:tcPr>
            <w:tcW w:w="0" w:type="dxa"/>
            <w:vAlign w:val="bottom"/>
          </w:tcPr>
          <w:p>
            <w:pPr>
              <w:spacing w:after="0"/>
              <w:rPr>
                <w:sz w:val="1"/>
                <w:szCs w:val="1"/>
                <w:color w:val="auto"/>
              </w:rPr>
            </w:pPr>
          </w:p>
        </w:tc>
      </w:tr>
      <w:tr>
        <w:trPr>
          <w:trHeight w:val="20"/>
        </w:trPr>
        <w:tc>
          <w:tcPr>
            <w:tcW w:w="6980" w:type="dxa"/>
            <w:vAlign w:val="bottom"/>
            <w:gridSpan w:val="5"/>
            <w:vMerge w:val="restart"/>
          </w:tcPr>
          <w:p>
            <w:pPr>
              <w:spacing w:after="0"/>
              <w:rPr>
                <w:sz w:val="20"/>
                <w:szCs w:val="20"/>
                <w:color w:val="auto"/>
              </w:rPr>
            </w:pPr>
            <w:r>
              <w:rPr>
                <w:rFonts w:ascii="Arial" w:cs="Arial" w:eastAsia="Arial" w:hAnsi="Arial"/>
                <w:sz w:val="18"/>
                <w:szCs w:val="18"/>
                <w:color w:val="auto"/>
              </w:rPr>
              <w:t>Total non-maintenance capital expenditures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20,448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25,462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45,042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59,793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Maintenance capital expenditures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0"/>
        </w:trPr>
        <w:tc>
          <w:tcPr>
            <w:tcW w:w="6980" w:type="dxa"/>
            <w:vAlign w:val="bottom"/>
            <w:gridSpan w:val="5"/>
            <w:vMerge w:val="restart"/>
          </w:tcPr>
          <w:p>
            <w:pPr>
              <w:spacing w:after="0"/>
              <w:rPr>
                <w:sz w:val="20"/>
                <w:szCs w:val="20"/>
                <w:color w:val="auto"/>
              </w:rPr>
            </w:pPr>
            <w:r>
              <w:rPr>
                <w:rFonts w:ascii="Arial" w:cs="Arial" w:eastAsia="Arial" w:hAnsi="Arial"/>
                <w:sz w:val="18"/>
                <w:szCs w:val="18"/>
                <w:color w:val="auto"/>
              </w:rPr>
              <w:t>Total capital expenditures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gridSpan w:val="5"/>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22,313</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28,281</w:t>
            </w:r>
          </w:p>
        </w:tc>
        <w:tc>
          <w:tcPr>
            <w:tcW w:w="3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48,227</w:t>
            </w:r>
          </w:p>
        </w:tc>
        <w:tc>
          <w:tcPr>
            <w:tcW w:w="3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65,148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0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7"/>
              </w:rPr>
              <w:t>Dividends and Payout Ratios</w:t>
            </w:r>
          </w:p>
        </w:tc>
        <w:tc>
          <w:tcPr>
            <w:tcW w:w="4920" w:type="dxa"/>
            <w:vAlign w:val="bottom"/>
            <w:tcBorders>
              <w:bottom w:val="single" w:sz="8" w:color="CCEEFF"/>
            </w:tcBorders>
            <w:gridSpan w:val="3"/>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6980" w:type="dxa"/>
            <w:vAlign w:val="bottom"/>
            <w:gridSpan w:val="5"/>
          </w:tcPr>
          <w:p>
            <w:pPr>
              <w:spacing w:after="0"/>
              <w:rPr>
                <w:sz w:val="20"/>
                <w:szCs w:val="20"/>
                <w:color w:val="auto"/>
              </w:rPr>
            </w:pPr>
            <w:r>
              <w:rPr>
                <w:rFonts w:ascii="Arial" w:cs="Arial" w:eastAsia="Arial" w:hAnsi="Arial"/>
                <w:sz w:val="18"/>
                <w:szCs w:val="18"/>
                <w:color w:val="auto"/>
              </w:rPr>
              <w:t>Regular common dividends declared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38,444</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35,931</w:t>
            </w:r>
          </w:p>
        </w:tc>
        <w:tc>
          <w:tcPr>
            <w:tcW w:w="3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76,848</w:t>
            </w:r>
          </w:p>
        </w:tc>
        <w:tc>
          <w:tcPr>
            <w:tcW w:w="32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71,782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 payout ratio as a percentage of FFO</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Dividend payout ratio as a percentage of FFO excluding litigation provision (3)</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and six months ended June 30, 2009, FFO includes a $0.1 million and a $20.8 million, respectively, charge for litigation regarding a parcel of land located adjacent to Santana Row as well as other costs related to the litigation and appeal process. FFO excluding litigation provision excludes this charge.</w:t>
      </w:r>
    </w:p>
    <w:p>
      <w:pPr>
        <w:spacing w:after="0" w:line="1" w:lineRule="exact"/>
        <w:rPr>
          <w:rFonts w:ascii="Arial" w:cs="Arial" w:eastAsia="Arial" w:hAnsi="Arial"/>
          <w:sz w:val="18"/>
          <w:szCs w:val="18"/>
          <w:color w:val="auto"/>
        </w:rPr>
      </w:pPr>
    </w:p>
    <w:p>
      <w:pPr>
        <w:ind w:left="460" w:right="140" w:hanging="452"/>
        <w:spacing w:after="0" w:line="30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Effective January 1, 2009, we adopted FSP EITF No. 03-6-1, “Determining Whether Instruments Granted in Share-Based Payment Transactions are Participating Securities”, and consequently have calculated FFO per diluted share under the two-class method, as defined in SFAS No. 128, for all periods presented. The implementation resulted in a decrease of $0.01 to FFO per diluted share for the three months ended June 30, 2008.</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(in thousands,</w:t>
            </w:r>
          </w:p>
        </w:tc>
        <w:tc>
          <w:tcPr>
            <w:tcW w:w="1480" w:type="dxa"/>
            <w:vAlign w:val="bottom"/>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except per share data)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data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Common shares outstanding (1)</w:t>
            </w:r>
          </w:p>
        </w:tc>
        <w:tc>
          <w:tcPr>
            <w:tcW w:w="12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59,157</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58,904</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Market price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51.52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880"/>
              <w:spacing w:after="0"/>
              <w:rPr>
                <w:sz w:val="20"/>
                <w:szCs w:val="20"/>
                <w:color w:val="auto"/>
              </w:rPr>
            </w:pPr>
            <w:r>
              <w:rPr>
                <w:rFonts w:ascii="Arial" w:cs="Arial" w:eastAsia="Arial" w:hAnsi="Arial"/>
                <w:sz w:val="18"/>
                <w:szCs w:val="18"/>
                <w:color w:val="auto"/>
              </w:rPr>
              <w:t>Common equity market capitalization</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3,047,769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4,064,376</w:t>
            </w: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Series 1 preferred shares outstanding (2)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Liquidation price per Series 1 preferred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25.00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Series 1 preferred equity market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440"/>
              <w:spacing w:after="0"/>
              <w:rPr>
                <w:sz w:val="20"/>
                <w:szCs w:val="20"/>
                <w:color w:val="auto"/>
              </w:rPr>
            </w:pPr>
            <w:r>
              <w:rPr>
                <w:rFonts w:ascii="Arial" w:cs="Arial" w:eastAsia="Arial" w:hAnsi="Arial"/>
                <w:sz w:val="18"/>
                <w:szCs w:val="18"/>
                <w:color w:val="auto"/>
              </w:rPr>
              <w:t>Equity market capitalization</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3,057,769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4,074,376</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7"/>
              </w:rPr>
              <w:t>1,896,233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1,665,934</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market capitalization</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4,954,002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5,740,310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to market capitalization at then current market price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2"/>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Total debt to market capitalization at constant common share price of $69.00</w:t>
            </w:r>
          </w:p>
        </w:tc>
        <w:tc>
          <w:tcPr>
            <w:tcW w:w="120" w:type="dxa"/>
            <w:vAlign w:val="bottom"/>
          </w:tcPr>
          <w:p>
            <w:pPr>
              <w:spacing w:after="0"/>
              <w:rPr>
                <w:sz w:val="24"/>
                <w:szCs w:val="24"/>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Fixed rate debt ratio:</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880"/>
              <w:spacing w:after="0"/>
              <w:rPr>
                <w:sz w:val="20"/>
                <w:szCs w:val="20"/>
                <w:color w:val="auto"/>
              </w:rPr>
            </w:pPr>
            <w:r>
              <w:rPr>
                <w:rFonts w:ascii="Arial" w:cs="Arial" w:eastAsia="Arial" w:hAnsi="Arial"/>
                <w:sz w:val="18"/>
                <w:szCs w:val="18"/>
                <w:color w:val="auto"/>
              </w:rPr>
              <w:t>Fixed rate debt and capital lease obligations</w:t>
            </w:r>
          </w:p>
        </w:tc>
        <w:tc>
          <w:tcPr>
            <w:tcW w:w="120" w:type="dxa"/>
            <w:vAlign w:val="bottom"/>
          </w:tcPr>
          <w:p>
            <w:pPr>
              <w:spacing w:after="0"/>
              <w:rPr>
                <w:sz w:val="18"/>
                <w:szCs w:val="18"/>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Variable rate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do not include 371,260 and 376,260 Operating Partnership Units outstanding at June 30, 2009 and 2008,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shares, issued March 8, 2007, are unregistered.</w:t>
      </w:r>
    </w:p>
    <w:p>
      <w:pPr>
        <w:spacing w:after="0" w:line="9" w:lineRule="exact"/>
        <w:rPr>
          <w:rFonts w:ascii="Arial" w:cs="Arial" w:eastAsia="Arial" w:hAnsi="Arial"/>
          <w:sz w:val="18"/>
          <w:szCs w:val="18"/>
          <w:color w:val="auto"/>
        </w:rPr>
      </w:pPr>
    </w:p>
    <w:p>
      <w:pPr>
        <w:ind w:left="460" w:right="20" w:hanging="452"/>
        <w:spacing w:after="0" w:line="30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debt includes capital leases, mortgages payable, notes payable, senior notes and debentures, net of premiums and discounts from our consolidated balance sheet. It does not include the $24.4 million which is the Trust’s 30% share of the total mortgages payable of $81.3 million and $81.5 million at June 30, 2009 and 2008, respectively, of the partnership with a discretionary fund created and advised by ING Clarion Partners.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16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3"/>
          </w:tcPr>
          <w:p>
            <w:pPr>
              <w:jc w:val="right"/>
              <w:ind w:right="335"/>
              <w:spacing w:after="0" w:line="142" w:lineRule="exact"/>
              <w:rPr>
                <w:sz w:val="20"/>
                <w:szCs w:val="20"/>
                <w:color w:val="auto"/>
              </w:rPr>
            </w:pPr>
            <w:r>
              <w:rPr>
                <w:rFonts w:ascii="Arial" w:cs="Arial" w:eastAsia="Arial" w:hAnsi="Arial"/>
                <w:sz w:val="14"/>
                <w:szCs w:val="14"/>
                <w:b w:val="1"/>
                <w:bCs w:val="1"/>
                <w:color w:val="auto"/>
                <w:w w:val="71"/>
              </w:rPr>
              <w:t>thousands)</w:t>
            </w:r>
          </w:p>
        </w:tc>
        <w:tc>
          <w:tcPr>
            <w:tcW w:w="320" w:type="dxa"/>
            <w:vAlign w:val="bottom"/>
          </w:tcPr>
          <w:p>
            <w:pPr>
              <w:spacing w:after="0"/>
              <w:rPr>
                <w:sz w:val="12"/>
                <w:szCs w:val="12"/>
                <w:color w:val="auto"/>
              </w:rPr>
            </w:pPr>
          </w:p>
        </w:tc>
        <w:tc>
          <w:tcPr>
            <w:tcW w:w="68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2"/>
          </w:tcPr>
          <w:p>
            <w:pPr>
              <w:jc w:val="right"/>
              <w:ind w:right="352"/>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ind w:left="440"/>
              <w:spacing w:after="0"/>
              <w:rPr>
                <w:sz w:val="20"/>
                <w:szCs w:val="20"/>
                <w:color w:val="auto"/>
              </w:rPr>
            </w:pPr>
            <w:r>
              <w:rPr>
                <w:rFonts w:ascii="Arial" w:cs="Arial" w:eastAsia="Arial" w:hAnsi="Arial"/>
                <w:sz w:val="18"/>
                <w:szCs w:val="18"/>
                <w:color w:val="auto"/>
              </w:rPr>
              <w:t>Retail and commercial (1)</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52"/>
              <w:spacing w:after="0"/>
              <w:rPr>
                <w:sz w:val="20"/>
                <w:szCs w:val="20"/>
                <w:color w:val="auto"/>
              </w:rPr>
            </w:pPr>
            <w:r>
              <w:rPr>
                <w:rFonts w:ascii="Arial" w:cs="Arial" w:eastAsia="Arial" w:hAnsi="Arial"/>
                <w:sz w:val="18"/>
                <w:szCs w:val="18"/>
                <w:color w:val="auto"/>
              </w:rPr>
              <w:t>93,256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90,985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$186,772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$180,528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Residential (2)</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5,345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Cost reimbursements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52"/>
              <w:spacing w:after="0"/>
              <w:rPr>
                <w:sz w:val="20"/>
                <w:szCs w:val="20"/>
                <w:color w:val="auto"/>
              </w:rPr>
            </w:pPr>
            <w:r>
              <w:rPr>
                <w:rFonts w:ascii="Arial" w:cs="Arial" w:eastAsia="Arial" w:hAnsi="Arial"/>
                <w:sz w:val="18"/>
                <w:szCs w:val="18"/>
                <w:color w:val="auto"/>
              </w:rPr>
              <w:t>24,395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24,774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49,973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52"/>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3,287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6"/>
              </w:rPr>
              <w:t>126,090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122,970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253,296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244,710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$1.2 million and $1.4 million for the three months ended June 30, 2009 and 2008, respectively, and $2.6 million and $2.9 million for the six months ended June 30, 2009 and 2008, respectively, to recognize minimum rents on a straight-line basis. In addition, minimum rents include $0.4 million and $0.7 million for the three months ended June 30, 2009 and 2008, respectively, and $0.7 million and $1.3 million for the six months ended June 30, 2009 and 2008, respectively, to recognize income from the amortization of in-place leases in accordance with SFAS No. 141.</w:t>
      </w:r>
    </w:p>
    <w:p>
      <w:pPr>
        <w:spacing w:after="0" w:line="2" w:lineRule="exact"/>
        <w:rPr>
          <w:rFonts w:ascii="Arial" w:cs="Arial" w:eastAsia="Arial" w:hAnsi="Arial"/>
          <w:sz w:val="16"/>
          <w:szCs w:val="16"/>
          <w:color w:val="auto"/>
        </w:rPr>
      </w:pPr>
    </w:p>
    <w:p>
      <w:pPr>
        <w:ind w:left="460" w:right="220" w:hanging="452"/>
        <w:spacing w:after="0" w:line="361"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Residential minimum rents consist of the rental amounts for residential units at Rollingwood Apartments, the Crest at Congressional Plaza Apartments, Santana Row, and Arlington East (Bethesda Row). The first rental units at Arlington East were delivered and became rent paying in May 2008.</w:t>
      </w:r>
    </w:p>
    <w:p>
      <w:pPr>
        <w:spacing w:after="0" w:line="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274" w:right="359" w:bottom="1440" w:gutter="0" w:footer="0" w:header="0"/>
        </w:sectPr>
      </w:pPr>
    </w:p>
    <w:bookmarkStart w:id="15" w:name="page16"/>
    <w:bookmarkEnd w:id="1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Stated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1"/>
              </w:rPr>
              <w:t>Weighted average</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12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Balance as of</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effective rate at</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20" w:type="dxa"/>
            <w:vAlign w:val="bottom"/>
            <w:gridSpan w:val="2"/>
          </w:tcPr>
          <w:p>
            <w:pPr>
              <w:ind w:left="360"/>
              <w:spacing w:after="0"/>
              <w:rPr>
                <w:sz w:val="20"/>
                <w:szCs w:val="20"/>
                <w:color w:val="auto"/>
              </w:rPr>
            </w:pPr>
            <w:r>
              <w:rPr>
                <w:rFonts w:ascii="Arial" w:cs="Arial" w:eastAsia="Arial" w:hAnsi="Arial"/>
                <w:sz w:val="14"/>
                <w:szCs w:val="14"/>
                <w:b w:val="1"/>
                <w:bCs w:val="1"/>
                <w:color w:val="auto"/>
              </w:rPr>
              <w:t>Maturity date</w:t>
            </w: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June 30, 2009</w:t>
            </w: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 2009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6"/>
              </w:rPr>
              <w:t>June 30, 2009 (i)</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Mortgage loans (a)</w:t>
            </w: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Federal Plaza</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06/01/11</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32,828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Tysons Station</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09/01/11</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18"/>
                <w:szCs w:val="18"/>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5,986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Courtyard Shops</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07/01/12</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6.870%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7,626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Bethesda Row</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01/01/13</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5.370%</w:t>
            </w:r>
          </w:p>
        </w:tc>
        <w:tc>
          <w:tcPr>
            <w:tcW w:w="100" w:type="dxa"/>
            <w:vAlign w:val="bottom"/>
          </w:tcPr>
          <w:p>
            <w:pPr>
              <w:spacing w:after="0"/>
              <w:rPr>
                <w:sz w:val="18"/>
                <w:szCs w:val="18"/>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19,996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Bethesda Row</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02/01/13</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4,371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White Marsh Plaza (b)</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04/01/13</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18"/>
                <w:szCs w:val="18"/>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9,993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Crow Canyon</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08/11/13</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21,016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Idylwood Plaza</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06/05/14</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16,910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06/05/14</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29,423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Loehmann’s Plaza</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06/05/14</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38,047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Pentagon Row</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06/05/14</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54,619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Melville Mall (c)</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09/01/14</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18"/>
                <w:szCs w:val="18"/>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24,124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THE AVENUE at White Marsh</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01/01/15</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5.460%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59,485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Barracks Road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11/01/15</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18"/>
                <w:szCs w:val="18"/>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41,011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Hauppauge</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11/01/15</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15,460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Lawrence Park</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11/01/15</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18"/>
                <w:szCs w:val="18"/>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29,069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Wildwood</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11/01/15</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25,551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Wynnewood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11/01/15</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18"/>
                <w:szCs w:val="18"/>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29,624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Brick Plaza</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11/01/15</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7.415%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30,348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Rollingwood Apartments</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05/01/19</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18"/>
                <w:szCs w:val="18"/>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24,028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Shoppers’ World</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01/31/21</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5,800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Mount Vernon (d)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04/15/28</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18"/>
                <w:szCs w:val="18"/>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11,471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Chelsea</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01/15/31</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5.360%</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60" w:type="dxa"/>
            <w:vAlign w:val="bottom"/>
            <w:gridSpan w:val="5"/>
          </w:tcPr>
          <w:p>
            <w:pPr>
              <w:ind w:left="420"/>
              <w:spacing w:after="0"/>
              <w:rPr>
                <w:sz w:val="20"/>
                <w:szCs w:val="20"/>
                <w:color w:val="auto"/>
              </w:rPr>
            </w:pPr>
            <w:r>
              <w:rPr>
                <w:rFonts w:ascii="Arial" w:cs="Arial" w:eastAsia="Arial" w:hAnsi="Arial"/>
                <w:sz w:val="18"/>
                <w:szCs w:val="18"/>
                <w:color w:val="auto"/>
              </w:rPr>
              <w:t>Subtotal</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544,811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Net unamortized discount</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60" w:type="dxa"/>
            <w:vAlign w:val="bottom"/>
            <w:gridSpan w:val="5"/>
          </w:tcPr>
          <w:p>
            <w:pPr>
              <w:ind w:left="420"/>
              <w:spacing w:after="0"/>
              <w:rPr>
                <w:sz w:val="20"/>
                <w:szCs w:val="20"/>
                <w:color w:val="auto"/>
              </w:rPr>
            </w:pPr>
            <w:r>
              <w:rPr>
                <w:rFonts w:ascii="Arial" w:cs="Arial" w:eastAsia="Arial" w:hAnsi="Arial"/>
                <w:sz w:val="18"/>
                <w:szCs w:val="18"/>
                <w:color w:val="auto"/>
              </w:rPr>
              <w:t>Total mortgage loans</w:t>
            </w: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544,397</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6.98%</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Notes payable</w:t>
            </w: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04/01/12</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1,355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Perring Plaza renovation</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01/31/13</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1,073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Revolving credit facility (e)</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07/27/10</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LIBOR + 0.425%</w:t>
            </w:r>
          </w:p>
        </w:tc>
        <w:tc>
          <w:tcPr>
            <w:tcW w:w="100" w:type="dxa"/>
            <w:vAlign w:val="bottom"/>
          </w:tcPr>
          <w:p>
            <w:pPr>
              <w:spacing w:after="0"/>
              <w:rPr>
                <w:sz w:val="18"/>
                <w:szCs w:val="18"/>
                <w:color w:val="auto"/>
              </w:rPr>
            </w:pPr>
          </w:p>
        </w:tc>
        <w:tc>
          <w:tcPr>
            <w:tcW w:w="11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Term loan (f)</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07/27/11</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LIBOR + 3.000%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372,000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Escondido (Municipal bonds) (g)</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10/01/16</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0.481%</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1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notes payable</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383,828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5.38%</w:t>
            </w:r>
          </w:p>
        </w:tc>
        <w:tc>
          <w:tcPr>
            <w:tcW w:w="4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7"/>
              </w:rPr>
              <w:t>(j)</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620" w:type="dxa"/>
            <w:vAlign w:val="bottom"/>
            <w:gridSpan w:val="7"/>
          </w:tcPr>
          <w:p>
            <w:pPr>
              <w:spacing w:after="0" w:line="182" w:lineRule="exact"/>
              <w:rPr>
                <w:sz w:val="20"/>
                <w:szCs w:val="20"/>
                <w:color w:val="auto"/>
              </w:rPr>
            </w:pPr>
            <w:r>
              <w:rPr>
                <w:rFonts w:ascii="Arial" w:cs="Arial" w:eastAsia="Arial" w:hAnsi="Arial"/>
                <w:sz w:val="18"/>
                <w:szCs w:val="18"/>
                <w:color w:val="auto"/>
              </w:rPr>
              <w:t>Senior notes and debentures</w:t>
            </w: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8.75% notes (h)</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12/01/09</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18"/>
                <w:szCs w:val="18"/>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123,589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4.50% notes</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02/15/11</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6.00% notes</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07/15/12</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175,000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5.40% notes</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12/01/13</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135,000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5.65% notes</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06/01/16</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5.650%</w:t>
            </w:r>
          </w:p>
        </w:tc>
        <w:tc>
          <w:tcPr>
            <w:tcW w:w="100" w:type="dxa"/>
            <w:vAlign w:val="bottom"/>
          </w:tcPr>
          <w:p>
            <w:pPr>
              <w:spacing w:after="0"/>
              <w:rPr>
                <w:sz w:val="18"/>
                <w:szCs w:val="18"/>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125,000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6.20% notes</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01/15/17</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7.48% debentures</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08/15/26</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18"/>
                <w:szCs w:val="18"/>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29,200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6.82% medium term notes</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08/01/27</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6.820%</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60" w:type="dxa"/>
            <w:vAlign w:val="bottom"/>
            <w:gridSpan w:val="5"/>
          </w:tcPr>
          <w:p>
            <w:pPr>
              <w:ind w:left="420"/>
              <w:spacing w:after="0"/>
              <w:rPr>
                <w:sz w:val="20"/>
                <w:szCs w:val="20"/>
                <w:color w:val="auto"/>
              </w:rPr>
            </w:pPr>
            <w:r>
              <w:rPr>
                <w:rFonts w:ascii="Arial" w:cs="Arial" w:eastAsia="Arial" w:hAnsi="Arial"/>
                <w:sz w:val="18"/>
                <w:szCs w:val="18"/>
                <w:color w:val="auto"/>
              </w:rPr>
              <w:t>Subtotal</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902,789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Net unamortized premium</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60" w:type="dxa"/>
            <w:vAlign w:val="bottom"/>
            <w:gridSpan w:val="5"/>
          </w:tcPr>
          <w:p>
            <w:pPr>
              <w:ind w:left="420"/>
              <w:spacing w:after="0"/>
              <w:rPr>
                <w:sz w:val="20"/>
                <w:szCs w:val="20"/>
                <w:color w:val="auto"/>
              </w:rPr>
            </w:pPr>
            <w:r>
              <w:rPr>
                <w:rFonts w:ascii="Arial" w:cs="Arial" w:eastAsia="Arial" w:hAnsi="Arial"/>
                <w:sz w:val="18"/>
                <w:szCs w:val="18"/>
                <w:color w:val="auto"/>
              </w:rPr>
              <w:t>Total senior notes and debentures</w:t>
            </w: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rPr>
              <w:t>905,114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6.28%</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87"/>
              </w:rPr>
              <w:t>Capital lease obligations</w:t>
            </w:r>
          </w:p>
        </w:tc>
        <w:tc>
          <w:tcPr>
            <w:tcW w:w="2880" w:type="dxa"/>
            <w:vAlign w:val="bottom"/>
            <w:tcBorders>
              <w:bottom w:val="single" w:sz="8" w:color="CCEEFF"/>
            </w:tcBorders>
            <w:gridSpan w:val="2"/>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right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6"/>
          </w:tcPr>
          <w:p>
            <w:pPr>
              <w:ind w:left="420"/>
              <w:spacing w:after="0"/>
              <w:rPr>
                <w:sz w:val="20"/>
                <w:szCs w:val="20"/>
                <w:color w:val="auto"/>
              </w:rPr>
            </w:pPr>
            <w:r>
              <w:rPr>
                <w:rFonts w:ascii="Arial" w:cs="Arial" w:eastAsia="Arial" w:hAnsi="Arial"/>
                <w:sz w:val="18"/>
                <w:szCs w:val="18"/>
                <w:color w:val="auto"/>
              </w:rPr>
              <w:t>Various</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Various through 2106</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Various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6.94%</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debt and capital lease obligations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1,896,233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7"/>
            <w:vMerge w:val="restart"/>
          </w:tcPr>
          <w:p>
            <w:pPr>
              <w:spacing w:after="0"/>
              <w:rPr>
                <w:sz w:val="20"/>
                <w:szCs w:val="20"/>
                <w:color w:val="auto"/>
              </w:rPr>
            </w:pPr>
            <w:r>
              <w:rPr>
                <w:rFonts w:ascii="Arial" w:cs="Arial" w:eastAsia="Arial" w:hAnsi="Arial"/>
                <w:sz w:val="18"/>
                <w:szCs w:val="18"/>
                <w:color w:val="auto"/>
              </w:rPr>
              <w:t>Total fixed rate debt and capital lease obligations</w:t>
            </w: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vMerge w:val="restart"/>
          </w:tcPr>
          <w:p>
            <w:pPr>
              <w:jc w:val="right"/>
              <w:ind w:right="212"/>
              <w:spacing w:after="0"/>
              <w:rPr>
                <w:sz w:val="20"/>
                <w:szCs w:val="20"/>
                <w:color w:val="auto"/>
              </w:rPr>
            </w:pPr>
            <w:r>
              <w:rPr>
                <w:rFonts w:ascii="Arial" w:cs="Arial" w:eastAsia="Arial" w:hAnsi="Arial"/>
                <w:sz w:val="18"/>
                <w:szCs w:val="18"/>
                <w:color w:val="auto"/>
                <w:w w:val="88"/>
              </w:rPr>
              <w:t>80%</w:t>
            </w: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w w:val="97"/>
              </w:rPr>
              <w:t>6.56%</w:t>
            </w: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gridSpan w:val="7"/>
            <w:vMerge w:val="continue"/>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2"/>
              <w:spacing w:after="0"/>
              <w:rPr>
                <w:sz w:val="20"/>
                <w:szCs w:val="20"/>
                <w:color w:val="auto"/>
              </w:rPr>
            </w:pPr>
            <w:r>
              <w:rPr>
                <w:rFonts w:ascii="Arial" w:cs="Arial" w:eastAsia="Arial" w:hAnsi="Arial"/>
                <w:sz w:val="18"/>
                <w:szCs w:val="18"/>
                <w:color w:val="auto"/>
                <w:w w:val="87"/>
              </w:rPr>
              <w:t>1,514,833</w:t>
            </w:r>
          </w:p>
        </w:tc>
        <w:tc>
          <w:tcPr>
            <w:tcW w:w="8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variable rate debt</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381,400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ind w:right="212"/>
              <w:spacing w:after="0"/>
              <w:rPr>
                <w:sz w:val="20"/>
                <w:szCs w:val="20"/>
                <w:color w:val="auto"/>
              </w:rPr>
            </w:pPr>
            <w:r>
              <w:rPr>
                <w:rFonts w:ascii="Arial" w:cs="Arial" w:eastAsia="Arial" w:hAnsi="Arial"/>
                <w:sz w:val="18"/>
                <w:szCs w:val="18"/>
                <w:color w:val="auto"/>
                <w:w w:val="88"/>
              </w:rPr>
              <w:t>20%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5.36%</w:t>
            </w:r>
          </w:p>
        </w:tc>
        <w:tc>
          <w:tcPr>
            <w:tcW w:w="4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7"/>
              </w:rPr>
              <w:t>(j)</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7"/>
            <w:vMerge w:val="restart"/>
          </w:tcPr>
          <w:p>
            <w:pPr>
              <w:spacing w:after="0"/>
              <w:rPr>
                <w:sz w:val="20"/>
                <w:szCs w:val="20"/>
                <w:color w:val="auto"/>
              </w:rPr>
            </w:pPr>
            <w:r>
              <w:rPr>
                <w:rFonts w:ascii="Arial" w:cs="Arial" w:eastAsia="Arial" w:hAnsi="Arial"/>
                <w:sz w:val="18"/>
                <w:szCs w:val="18"/>
                <w:color w:val="auto"/>
              </w:rPr>
              <w:t>TOTAL DEBT AND CAPITAL LEASES OBLIGATIONS</w:t>
            </w: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20" w:type="dxa"/>
            <w:vAlign w:val="bottom"/>
            <w:gridSpan w:val="7"/>
            <w:vMerge w:val="continue"/>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6"/>
          </w:tcPr>
          <w:p>
            <w:pPr>
              <w:jc w:val="right"/>
              <w:ind w:right="212"/>
              <w:spacing w:after="0"/>
              <w:rPr>
                <w:sz w:val="20"/>
                <w:szCs w:val="20"/>
                <w:color w:val="auto"/>
              </w:rPr>
            </w:pPr>
            <w:r>
              <w:rPr>
                <w:rFonts w:ascii="Arial" w:cs="Arial" w:eastAsia="Arial" w:hAnsi="Arial"/>
                <w:sz w:val="18"/>
                <w:szCs w:val="18"/>
                <w:color w:val="auto"/>
                <w:w w:val="91"/>
              </w:rPr>
              <w:t>1,896,233100%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6.32%</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89"/>
              </w:rPr>
              <w:t>Three</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5"/>
              </w:rPr>
              <w:t>Six</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200" w:type="dxa"/>
            <w:vAlign w:val="bottom"/>
          </w:tcPr>
          <w:p>
            <w:pPr>
              <w:spacing w:after="0"/>
              <w:rPr>
                <w:sz w:val="12"/>
                <w:szCs w:val="12"/>
                <w:color w:val="auto"/>
              </w:rPr>
            </w:pPr>
          </w:p>
        </w:tc>
        <w:tc>
          <w:tcPr>
            <w:tcW w:w="106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w w:val="96"/>
              </w:rPr>
              <w:t>months ended</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10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6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w w:val="88"/>
              </w:rPr>
              <w:t>Operational Statistics</w:t>
            </w:r>
          </w:p>
        </w:tc>
        <w:tc>
          <w:tcPr>
            <w:tcW w:w="26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60" w:type="dxa"/>
            <w:vAlign w:val="bottom"/>
            <w:gridSpan w:val="5"/>
          </w:tcPr>
          <w:p>
            <w:pPr>
              <w:spacing w:after="0"/>
              <w:rPr>
                <w:sz w:val="20"/>
                <w:szCs w:val="20"/>
                <w:color w:val="auto"/>
              </w:rPr>
            </w:pPr>
            <w:r>
              <w:rPr>
                <w:rFonts w:ascii="Arial" w:cs="Arial" w:eastAsia="Arial" w:hAnsi="Arial"/>
                <w:sz w:val="18"/>
                <w:szCs w:val="18"/>
                <w:color w:val="auto"/>
              </w:rPr>
              <w:t>Excluding litigation provision:</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0" w:type="dxa"/>
            <w:vAlign w:val="bottom"/>
            <w:gridSpan w:val="9"/>
            <w:shd w:val="clear" w:color="auto" w:fill="CCEEFF"/>
          </w:tcPr>
          <w:p>
            <w:pPr>
              <w:ind w:left="440"/>
              <w:spacing w:after="0"/>
              <w:rPr>
                <w:sz w:val="20"/>
                <w:szCs w:val="20"/>
                <w:color w:val="auto"/>
              </w:rPr>
            </w:pPr>
            <w:r>
              <w:rPr>
                <w:rFonts w:ascii="Arial" w:cs="Arial" w:eastAsia="Arial" w:hAnsi="Arial"/>
                <w:sz w:val="18"/>
                <w:szCs w:val="18"/>
                <w:color w:val="auto"/>
              </w:rPr>
              <w:t>Ratio of EBITDA to combined fixed charges and preferred share dividends (k) (l)</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2.93x</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3.04x</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3.09x</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3.00x</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0" w:type="dxa"/>
            <w:vAlign w:val="bottom"/>
            <w:gridSpan w:val="9"/>
          </w:tcPr>
          <w:p>
            <w:pPr>
              <w:ind w:left="440"/>
              <w:spacing w:after="0"/>
              <w:rPr>
                <w:sz w:val="20"/>
                <w:szCs w:val="20"/>
                <w:color w:val="auto"/>
              </w:rPr>
            </w:pPr>
            <w:r>
              <w:rPr>
                <w:rFonts w:ascii="Arial" w:cs="Arial" w:eastAsia="Arial" w:hAnsi="Arial"/>
                <w:sz w:val="18"/>
                <w:szCs w:val="18"/>
                <w:color w:val="auto"/>
                <w:w w:val="97"/>
              </w:rPr>
              <w:t>Ratio of adjusted EBITDA to combined fixed charges and preferred share dividends (k) (l)</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6"/>
              </w:rPr>
              <w:t>2.92x</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3.04x</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6"/>
              </w:rPr>
              <w:t>3.06x</w:t>
            </w:r>
          </w:p>
        </w:tc>
        <w:tc>
          <w:tcPr>
            <w:tcW w:w="2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3.00x</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Including litigation provision:</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0" w:type="dxa"/>
            <w:vAlign w:val="bottom"/>
            <w:gridSpan w:val="9"/>
          </w:tcPr>
          <w:p>
            <w:pPr>
              <w:ind w:left="440"/>
              <w:spacing w:after="0"/>
              <w:rPr>
                <w:sz w:val="20"/>
                <w:szCs w:val="20"/>
                <w:color w:val="auto"/>
              </w:rPr>
            </w:pPr>
            <w:r>
              <w:rPr>
                <w:rFonts w:ascii="Arial" w:cs="Arial" w:eastAsia="Arial" w:hAnsi="Arial"/>
                <w:sz w:val="18"/>
                <w:szCs w:val="18"/>
                <w:color w:val="auto"/>
              </w:rPr>
              <w:t>Ratio of EBITDA to combined fixed charges and preferred share dividends (k)</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6"/>
              </w:rPr>
              <w:t>2.93x</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3.04x</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6"/>
              </w:rPr>
              <w:t>2.71x</w:t>
            </w:r>
          </w:p>
        </w:tc>
        <w:tc>
          <w:tcPr>
            <w:tcW w:w="2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3.00x</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tcBorders>
              <w:right w:val="single" w:sz="8" w:color="CCEEFF"/>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74" w:right="239" w:bottom="0" w:gutter="0" w:footer="0" w:header="0"/>
        </w:sectPr>
      </w:pPr>
    </w:p>
    <w:bookmarkStart w:id="16" w:name="page17"/>
    <w:bookmarkEnd w:id="16"/>
    <w:p>
      <w:pPr>
        <w:ind w:left="900"/>
        <w:spacing w:after="0"/>
        <w:tabs>
          <w:tab w:leader="none" w:pos="8640" w:val="left"/>
          <w:tab w:leader="none" w:pos="9280" w:val="left"/>
          <w:tab w:leader="none" w:pos="9920" w:val="left"/>
          <w:tab w:leader="none" w:pos="10540" w:val="left"/>
        </w:tabs>
        <w:rPr>
          <w:sz w:val="20"/>
          <w:szCs w:val="20"/>
          <w:color w:val="auto"/>
        </w:rPr>
      </w:pPr>
      <w:r>
        <w:rPr>
          <w:rFonts w:ascii="Arial" w:cs="Arial" w:eastAsia="Arial" w:hAnsi="Arial"/>
          <w:sz w:val="18"/>
          <w:szCs w:val="18"/>
          <w:color w:val="auto"/>
        </w:rPr>
        <w:t>Ratio of adjusted EBITDA to combined fixed charges and preferred share dividends (k)</w:t>
      </w:r>
      <w:r>
        <w:rPr>
          <w:sz w:val="20"/>
          <w:szCs w:val="20"/>
          <w:color w:val="auto"/>
        </w:rPr>
        <w:tab/>
      </w:r>
      <w:r>
        <w:rPr>
          <w:rFonts w:ascii="Arial" w:cs="Arial" w:eastAsia="Arial" w:hAnsi="Arial"/>
          <w:sz w:val="18"/>
          <w:szCs w:val="18"/>
          <w:color w:val="auto"/>
        </w:rPr>
        <w:t>2.91x</w:t>
        <w:tab/>
        <w:t>3.04x</w:t>
        <w:tab/>
        <w:t>2.68x</w:t>
      </w:r>
      <w:r>
        <w:rPr>
          <w:sz w:val="20"/>
          <w:szCs w:val="20"/>
          <w:color w:val="auto"/>
        </w:rPr>
        <w:tab/>
      </w:r>
      <w:r>
        <w:rPr>
          <w:rFonts w:ascii="Arial" w:cs="Arial" w:eastAsia="Arial" w:hAnsi="Arial"/>
          <w:sz w:val="16"/>
          <w:szCs w:val="16"/>
          <w:color w:val="auto"/>
        </w:rPr>
        <w:t>3.00x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 loans do not include our 30% share ($24.4 million) of the $81.3 million debt of the partnership with a discretionary fund created and advised by ING Clarion Partners.</w:t>
      </w:r>
    </w:p>
    <w:p>
      <w:pPr>
        <w:ind w:left="460" w:right="24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interest rate of 6.04% represents the weighted average interest rate for two mortgage loans secured by this property. The loan balance represents an interest-only loan of $4.35 million at a stated rate of 6.18% and the remaining balance at a stated rate of 5.96%.</w:t>
      </w:r>
    </w:p>
    <w:p>
      <w:pPr>
        <w:spacing w:after="0" w:line="1" w:lineRule="exact"/>
        <w:rPr>
          <w:rFonts w:ascii="Arial" w:cs="Arial" w:eastAsia="Arial" w:hAnsi="Arial"/>
          <w:sz w:val="16"/>
          <w:szCs w:val="16"/>
          <w:color w:val="auto"/>
        </w:rPr>
      </w:pPr>
    </w:p>
    <w:p>
      <w:pPr>
        <w:jc w:val="both"/>
        <w:ind w:left="460" w:right="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anytime thereafter.</w:t>
      </w:r>
    </w:p>
    <w:p>
      <w:pPr>
        <w:ind w:left="460" w:right="1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three and six months ended June 30, 2009 was $156.0 million and $172.5 million, respectively. The weighted average effective interest rate on borrowings under our revolving credit facility, before amortization of debt fees, was 0.96% and 1.37% for the three and six months ended June 30, 2009, respectively. This credit facility matures on July 27, 2010, subject to a one-year extension at our option.</w:t>
      </w:r>
    </w:p>
    <w:p>
      <w:pPr>
        <w:spacing w:after="0" w:line="1" w:lineRule="exact"/>
        <w:rPr>
          <w:rFonts w:ascii="Arial" w:cs="Arial" w:eastAsia="Arial" w:hAnsi="Arial"/>
          <w:sz w:val="18"/>
          <w:szCs w:val="18"/>
          <w:color w:val="auto"/>
        </w:rPr>
      </w:pPr>
    </w:p>
    <w:p>
      <w:pPr>
        <w:ind w:left="460" w:right="3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$372 million term loan bears interest at LIBOR, subject to a 1.5% floor, plus 300 basis points. The weighted average effective interest rate, before amortization of debt fees, was 4.63% for the period from the inception of the loan of May 4, 2009 through June 30, 2009.</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bonds bear interest at a variable rate determined weekly which would enable the bonds to be remarketed at 100% of their principal amount.</w:t>
      </w:r>
    </w:p>
    <w:p>
      <w:pPr>
        <w:spacing w:after="0" w:line="3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various dates from January 12, 2009 to April 1, 2009, we purchased and retired $11.1 million of our 8.75% notes. On June 4, 2009, we purchased and retired $40.3 million of our 8.75% notes as a part of a cash tender offer whereby we repaid the note at a 2% premium to par value. These notes were repaid with funds borrowed on our $300 million revolving credit facility and our $372 million term loan.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weighted average effective interest rate includes the amortization of any deferred financing fees, discounts and premiums, if applicable.</w:t>
      </w:r>
    </w:p>
    <w:p>
      <w:pPr>
        <w:spacing w:after="0" w:line="32"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weighted average effective interest rate excludes $0.1 million in quarterly financing fees on our revolving credit facility which had a $0 balance on June 30, 2009.</w:t>
      </w:r>
    </w:p>
    <w:p>
      <w:pPr>
        <w:jc w:val="both"/>
        <w:ind w:lef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or premium and expense and the portion of rent expense representing an interest factor. EBITDA includes $0.4 million and $1.3 million in gain on sale for the three and six months ended June 30, 2009, respectively. Fixed charges include a $1.0 million net loss on early extinguishment of senior notes for the three and six months ended June 30, 2009, primarily related to the cash tender offer for our 8.75% senior notes. Adjusted EBITDA is reconciled to net income attributable to the Trust in the Glossary of Terms.</w:t>
      </w:r>
    </w:p>
    <w:p>
      <w:pPr>
        <w:spacing w:after="0" w:line="2" w:lineRule="exact"/>
        <w:rPr>
          <w:rFonts w:ascii="Arial" w:cs="Arial" w:eastAsia="Arial" w:hAnsi="Arial"/>
          <w:sz w:val="18"/>
          <w:szCs w:val="18"/>
          <w:color w:val="auto"/>
        </w:rPr>
      </w:pPr>
    </w:p>
    <w:p>
      <w:pPr>
        <w:ind w:left="460" w:right="120" w:hanging="452"/>
        <w:spacing w:after="0" w:line="32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to exclude a $0.1 million and $20.8 million litigation provision charge for the three and six months ended June 30, 2009, respectively, related to litigation regarding a parcel of land located adjacent to Santana Row as well as other costs related to the litigation and the appeal process.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131"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DEBT MATURITIES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following table reflects contractual debt maturities as of June 30, 2009. The pro-forma total debt maturity columns reflect repayment of the $123.6 million of 8.75% notes that are due on December 1, 2009 using proceeds we received from the $535 million of financings executed during the three months ended June 30, 2009, $170 million of which was held as cash on our balance sheet as of June 30, 2009.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89"/>
              </w:rPr>
              <w:t>As of June 30, 2009</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Pro-forma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1"/>
              </w:rPr>
              <w:t>Scheduled</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0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Maturities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4"/>
                <w:szCs w:val="14"/>
                <w:b w:val="1"/>
                <w:bCs w:val="1"/>
                <w:color w:val="auto"/>
                <w:w w:val="87"/>
              </w:rPr>
              <w:t>Maturities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123,589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128,868</w:t>
            </w:r>
          </w:p>
        </w:tc>
        <w:tc>
          <w:tcPr>
            <w:tcW w:w="4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2010</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12,235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484,252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496,690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2012</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12,691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181,916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194,607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181,916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196,893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208,746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2014</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147,864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158,089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147,864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198,391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205,249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2016</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134,400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137,302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2018</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93,038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0" w:type="dxa"/>
            <w:vAlign w:val="bottom"/>
            <w:gridSpan w:val="2"/>
            <w:vMerge w:val="restart"/>
          </w:tcPr>
          <w:p>
            <w:pPr>
              <w:ind w:left="58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0" w:type="dxa"/>
            <w:vAlign w:val="bottom"/>
            <w:gridSpan w:val="2"/>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133,979</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1,760,343</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1,894,322</w:t>
            </w:r>
          </w:p>
        </w:tc>
        <w:tc>
          <w:tcPr>
            <w:tcW w:w="440" w:type="dxa"/>
            <w:vAlign w:val="bottom"/>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1,636,754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1,770,733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8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$300 million four-year revolving credit facility matures on July 27, 2010, subject to a one-year extension at our option. As of June 30, 2009, there was $0 drawn under this credit facility.</w:t>
      </w:r>
    </w:p>
    <w:p>
      <w:pPr>
        <w:ind w:left="460" w:right="5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discount or premium on certain mortgage loans, senior notes and debentures as of June 30, 2009.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Projected</w:t>
            </w:r>
          </w:p>
        </w:tc>
        <w:tc>
          <w:tcPr>
            <w:tcW w:w="16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Projected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70"/>
              </w:rPr>
              <w:t>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Property</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Location</w:t>
            </w: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Opportunity</w:t>
            </w:r>
          </w:p>
        </w:tc>
        <w:tc>
          <w:tcPr>
            <w:tcW w:w="15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ROI (2)</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Cost (1)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1"/>
              </w:rPr>
              <w:t>Projects Anticipated to Stabilize in 2009 (3) (5)</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Hollywood Galaxy Building</w:t>
            </w: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Hollywood, CA</w:t>
            </w: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w w:val="96"/>
              </w:rPr>
              <w:t>Re-tenanting three level entertainment center</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and converting project into urban</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neighborhood community center</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Houston Street</w:t>
            </w:r>
          </w:p>
        </w:tc>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San Antonio, TX</w:t>
            </w: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Construction of a new building with ground</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level leased to Walgreen’s pharmacy and</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office above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Village of Shirlington - Phase III &amp; IV</w:t>
            </w: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Arlington, VA</w:t>
            </w: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Ground lease to hotel operator and ground</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floor retail as part of office building</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development (by others)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6"/>
            <w:shd w:val="clear" w:color="auto" w:fill="CCEEFF"/>
          </w:tcPr>
          <w:p>
            <w:pPr>
              <w:ind w:left="420"/>
              <w:spacing w:after="0"/>
              <w:rPr>
                <w:sz w:val="20"/>
                <w:szCs w:val="20"/>
                <w:color w:val="auto"/>
              </w:rPr>
            </w:pPr>
            <w:r>
              <w:rPr>
                <w:rFonts w:ascii="Arial" w:cs="Arial" w:eastAsia="Arial" w:hAnsi="Arial"/>
                <w:sz w:val="18"/>
                <w:szCs w:val="18"/>
                <w:b w:val="1"/>
                <w:bCs w:val="1"/>
                <w:color w:val="auto"/>
                <w:w w:val="98"/>
              </w:rPr>
              <w:t>Subtotal: Projects Anticipated to Stabilize in 2009 (3) (4) (5)</w:t>
            </w: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9"/>
              </w:rPr>
              <w:t>Projects Anticipated to Stabilize in 2010 (3)</w:t>
            </w: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60" w:type="dxa"/>
            <w:vAlign w:val="bottom"/>
            <w:gridSpan w:val="4"/>
            <w:vMerge w:val="continue"/>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Santana Row</w:t>
            </w:r>
          </w:p>
        </w:tc>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San Jose, CA</w:t>
            </w: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5-story building with 15,000 square feet of</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8"/>
              </w:rPr>
              <w:t>ground level retail and 65,000 square feet of</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office space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Lancaster</w:t>
            </w: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Lancaster, PA</w:t>
            </w: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w w:val="96"/>
              </w:rPr>
              <w:t>Renovation and expansion of existing grocer,</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new bank pad, and façade renovation</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Bethesda Row (Hampden Lane)</w:t>
            </w:r>
          </w:p>
        </w:tc>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Bethesda, MD</w:t>
            </w: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Construction of new three level building</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leased to fitness center and 2 additional</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ground level retail spaces.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gridSpan w:val="6"/>
            <w:vMerge w:val="restart"/>
          </w:tcPr>
          <w:p>
            <w:pPr>
              <w:ind w:left="420"/>
              <w:spacing w:after="0"/>
              <w:rPr>
                <w:sz w:val="20"/>
                <w:szCs w:val="20"/>
                <w:color w:val="auto"/>
              </w:rPr>
            </w:pPr>
            <w:r>
              <w:rPr>
                <w:rFonts w:ascii="Arial" w:cs="Arial" w:eastAsia="Arial" w:hAnsi="Arial"/>
                <w:sz w:val="18"/>
                <w:szCs w:val="18"/>
                <w:b w:val="1"/>
                <w:bCs w:val="1"/>
                <w:color w:val="auto"/>
              </w:rPr>
              <w:t>Subtotal: Projects Anticipated to Stabilize in 2010 (3) (4)</w:t>
            </w: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6"/>
            <w:vMerge w:val="continue"/>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w:t>
            </w:r>
          </w:p>
        </w:tc>
        <w:tc>
          <w:tcPr>
            <w:tcW w:w="16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89"/>
              </w:rPr>
              <w:t>31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Total: Projects Anticipated to Stabilize in 2009 and 2010 (3) (4)</w:t>
            </w: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Potential future redevelopment pipeline includes (6):</w:t>
            </w: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Property</w:t>
            </w:r>
          </w:p>
        </w:tc>
        <w:tc>
          <w:tcPr>
            <w:tcW w:w="1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Location</w:t>
            </w:r>
          </w:p>
        </w:tc>
        <w:tc>
          <w:tcPr>
            <w:tcW w:w="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Opportunity</w:t>
            </w:r>
          </w:p>
        </w:tc>
        <w:tc>
          <w:tcPr>
            <w:tcW w:w="1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Assembly Square</w:t>
            </w:r>
          </w:p>
        </w:tc>
        <w:tc>
          <w:tcPr>
            <w:tcW w:w="17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Somerville, MA</w:t>
            </w:r>
          </w:p>
        </w:tc>
        <w:tc>
          <w:tcPr>
            <w:tcW w:w="374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Potential substantial transit oriented mixed-</w:t>
            </w: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use development</w:t>
            </w: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Bala Cynwyd</w:t>
            </w: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Bala Cynwyd, PA</w:t>
            </w: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Redevelopment of nine acres of land for a</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transit oriented mixed-use project or retail</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center</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Barracks Road</w:t>
            </w:r>
          </w:p>
        </w:tc>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Charlottesville, VA</w:t>
            </w: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9"/>
              </w:rPr>
              <w:t>Anchor expansion, pad re-tenanting, façade</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renovation, and site improvements</w:t>
            </w: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Bethesda Row</w:t>
            </w: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Bethesda, MD</w:t>
            </w: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Acquire and develop ground floor retail</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space in a new Class A office building</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Brick Plaza</w:t>
            </w:r>
          </w:p>
        </w:tc>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Brick, NJ</w:t>
            </w: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Redevelopment and expansion of existing</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pad site, plus additional pad site</w:t>
            </w: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Crossroads</w:t>
            </w: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Highland Park, IL</w:t>
            </w: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Backfill vacant anchor space and 3 small</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w w:val="96"/>
              </w:rPr>
              <w:t>shop spaces with LA Fitness, and add a bank</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pad.</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Plaza</w:t>
            </w:r>
          </w:p>
        </w:tc>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Rockville, MD</w:t>
            </w: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Pad building opportunities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Flourtown</w:t>
            </w: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Flourtown, PA</w:t>
            </w: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w w:val="99"/>
              </w:rPr>
              <w:t>Anchor re-tenanting, small shop renovation,</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and site improvements</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Hollywood Peterson Building</w:t>
            </w:r>
          </w:p>
        </w:tc>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Hollywood, CA</w:t>
            </w: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Co-terminus leases create potential for</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property redevelopment and expansion</w:t>
            </w: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Huntington</w:t>
            </w: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Huntington, NY</w:t>
            </w: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Pad site additions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Langhorne</w:t>
            </w:r>
          </w:p>
        </w:tc>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Levittown, PA</w:t>
            </w: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Pad site addition</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Linden Square</w:t>
            </w: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Wellesley, MA</w:t>
            </w: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Additional phases of infill redevelopment</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Mercer Mall</w:t>
            </w:r>
          </w:p>
        </w:tc>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Lawrenceville, NJ</w:t>
            </w: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Construction of new outparcel</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Mid-Pike Plaza</w:t>
            </w: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Rockville, MD</w:t>
            </w: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w w:val="98"/>
              </w:rPr>
              <w:t>Co-terminus leases create potential for retail</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w w:val="98"/>
              </w:rPr>
              <w:t>redevelopment or transit oriented mixed-use</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development</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Pike 7</w:t>
            </w:r>
          </w:p>
        </w:tc>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Vienna, VA</w:t>
            </w: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8"/>
              </w:rPr>
              <w:t>Co-terminus leases create potential for retail</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8"/>
              </w:rPr>
              <w:t>redevelopment or transit oriented mixed-use</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development</w:t>
            </w: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Santana Row</w:t>
            </w: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San Jose, CA</w:t>
            </w: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Future phases of mixed-use development</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Town Center of New Britain</w:t>
            </w:r>
          </w:p>
        </w:tc>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Britain, PA</w:t>
            </w: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7"/>
              </w:rPr>
              <w:t>Renovation and expansion of existing grocer</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Troy</w:t>
            </w: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Parsippany, NJ</w:t>
            </w: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Pad site addition</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Westgate</w:t>
            </w:r>
          </w:p>
        </w:tc>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San Jose, CA</w:t>
            </w: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Convert 30,000 square feet of basement</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space to leasable area</w:t>
            </w: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jc w:val="both"/>
        <w:ind w:left="460" w:right="200" w:hanging="452"/>
        <w:spacing w:after="0" w:line="284"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Projected ROI reflects only the deal specific cash, unleveraged Incremental Property Operating Income (POI) generated by the redevelopment and is</w:t>
      </w:r>
    </w:p>
    <w:p>
      <w:pPr>
        <w:sectPr>
          <w:pgSz w:w="11900" w:h="16838" w:orient="portrait"/>
          <w:cols w:equalWidth="0" w:num="1">
            <w:col w:w="11420"/>
          </w:cols>
          <w:pgMar w:left="240" w:top="274" w:right="239" w:bottom="0" w:gutter="0" w:footer="0" w:header="0"/>
        </w:sectPr>
      </w:pPr>
    </w:p>
    <w:bookmarkStart w:id="19" w:name="page20"/>
    <w:bookmarkEnd w:id="19"/>
    <w:p>
      <w:pPr>
        <w:ind w:left="452" w:right="140"/>
        <w:spacing w:after="0" w:line="284" w:lineRule="auto"/>
        <w:rPr>
          <w:sz w:val="20"/>
          <w:szCs w:val="20"/>
          <w:color w:val="auto"/>
        </w:rPr>
      </w:pPr>
      <w:r>
        <w:rPr>
          <w:rFonts w:ascii="Arial" w:cs="Arial" w:eastAsia="Arial" w:hAnsi="Arial"/>
          <w:sz w:val="16"/>
          <w:szCs w:val="16"/>
          <w:color w:val="auto"/>
        </w:rPr>
        <w:t>calculated as Incremental POI divided by cost. Incremental POI is the POI generated by the redevelopment after deducting rent being paid for the redevelopment space and any other space taken out of service to accommodate the redevelopment. Projected ROI does NOT include peripheral impacts, such as the impact on future lease rollovers at the property or the impact on the long-term value of the property.</w:t>
      </w:r>
    </w:p>
    <w:p>
      <w:pPr>
        <w:spacing w:after="0" w:line="1"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Stabilization is the year in which 95% occupancy of the redeveloped space is achieved.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subtotals and totals reflect cost weighted-average ROIs.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$55 million of development capital at Linden Square, anticipated at acquisition of this in-process development.</w:t>
      </w:r>
    </w:p>
    <w:p>
      <w:pPr>
        <w:spacing w:after="0" w:line="9" w:lineRule="exact"/>
        <w:rPr>
          <w:rFonts w:ascii="Arial" w:cs="Arial" w:eastAsia="Arial" w:hAnsi="Arial"/>
          <w:sz w:val="18"/>
          <w:szCs w:val="18"/>
          <w:color w:val="auto"/>
        </w:rPr>
      </w:pPr>
    </w:p>
    <w:p>
      <w:pPr>
        <w:ind w:left="452" w:hanging="452"/>
        <w:spacing w:after="0" w:line="261"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future redevelopment opportunities are being explored by the Trust. There is no guaranty that the Trust will ultimately pursue or complete any or all of these opportunities.</w:t>
      </w:r>
    </w:p>
    <w:p>
      <w:pPr>
        <w:spacing w:after="0" w:line="124"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92"/>
          </w:cols>
          <w:pgMar w:left="248" w:top="13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Mortgage</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and/or</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7"/>
              </w:rPr>
              <w:t>Real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Grocery</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Year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Estate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0"/>
              </w:rPr>
              <w:t>Lease</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Anchor</w:t>
            </w:r>
          </w:p>
        </w:tc>
        <w:tc>
          <w:tcPr>
            <w:tcW w:w="8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Grocery</w:t>
            </w:r>
          </w:p>
        </w:tc>
        <w:tc>
          <w:tcPr>
            <w:tcW w:w="60" w:type="dxa"/>
            <w:vAlign w:val="bottom"/>
          </w:tcPr>
          <w:p>
            <w:pPr>
              <w:spacing w:after="0"/>
              <w:rPr>
                <w:sz w:val="12"/>
                <w:szCs w:val="12"/>
                <w:color w:val="auto"/>
              </w:rPr>
            </w:pPr>
          </w:p>
        </w:tc>
        <w:tc>
          <w:tcPr>
            <w:tcW w:w="1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Other Principal Tenants</w:t>
            </w:r>
          </w:p>
        </w:tc>
        <w:tc>
          <w:tcPr>
            <w:tcW w:w="0" w:type="dxa"/>
            <w:vAlign w:val="bottom"/>
          </w:tcPr>
          <w:p>
            <w:pPr>
              <w:spacing w:after="0"/>
              <w:rPr>
                <w:sz w:val="1"/>
                <w:szCs w:val="1"/>
                <w:color w:val="auto"/>
              </w:rPr>
            </w:pPr>
          </w:p>
        </w:tc>
      </w:tr>
      <w:tr>
        <w:trPr>
          <w:trHeight w:val="161"/>
        </w:trPr>
        <w:tc>
          <w:tcPr>
            <w:tcW w:w="2080" w:type="dxa"/>
            <w:vAlign w:val="bottom"/>
            <w:gridSpan w:val="8"/>
          </w:tcPr>
          <w:p>
            <w:pPr>
              <w:spacing w:after="0"/>
              <w:rPr>
                <w:sz w:val="20"/>
                <w:szCs w:val="20"/>
                <w:color w:val="auto"/>
              </w:rPr>
            </w:pPr>
            <w:r>
              <w:rPr>
                <w:rFonts w:ascii="Arial" w:cs="Arial" w:eastAsia="Arial" w:hAnsi="Arial"/>
                <w:sz w:val="14"/>
                <w:szCs w:val="14"/>
                <w:b w:val="1"/>
                <w:bCs w:val="1"/>
                <w:color w:val="auto"/>
              </w:rPr>
              <w:t>Property Name</w:t>
            </w:r>
          </w:p>
        </w:tc>
        <w:tc>
          <w:tcPr>
            <w:tcW w:w="280" w:type="dxa"/>
            <w:vAlign w:val="bottom"/>
          </w:tcPr>
          <w:p>
            <w:pPr>
              <w:spacing w:after="0"/>
              <w:rPr>
                <w:sz w:val="14"/>
                <w:szCs w:val="14"/>
                <w:color w:val="auto"/>
              </w:rPr>
            </w:pPr>
          </w:p>
        </w:tc>
        <w:tc>
          <w:tcPr>
            <w:tcW w:w="1660" w:type="dxa"/>
            <w:vAlign w:val="bottom"/>
          </w:tcPr>
          <w:p>
            <w:pPr>
              <w:ind w:left="340"/>
              <w:spacing w:after="0"/>
              <w:rPr>
                <w:sz w:val="20"/>
                <w:szCs w:val="20"/>
                <w:color w:val="auto"/>
              </w:rPr>
            </w:pPr>
            <w:r>
              <w:rPr>
                <w:rFonts w:ascii="Arial" w:cs="Arial" w:eastAsia="Arial" w:hAnsi="Arial"/>
                <w:sz w:val="14"/>
                <w:szCs w:val="14"/>
                <w:b w:val="1"/>
                <w:bCs w:val="1"/>
                <w:color w:val="auto"/>
              </w:rPr>
              <w:t>MSA Description</w:t>
            </w: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Acquired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52"/>
              <w:spacing w:after="0"/>
              <w:rPr>
                <w:sz w:val="20"/>
                <w:szCs w:val="20"/>
                <w:color w:val="auto"/>
              </w:rPr>
            </w:pPr>
            <w:r>
              <w:rPr>
                <w:rFonts w:ascii="Arial" w:cs="Arial" w:eastAsia="Arial" w:hAnsi="Arial"/>
                <w:sz w:val="14"/>
                <w:szCs w:val="14"/>
                <w:b w:val="1"/>
                <w:bCs w:val="1"/>
                <w:color w:val="auto"/>
                <w:w w:val="84"/>
              </w:rPr>
              <w:t>at Cost</w:t>
            </w:r>
          </w:p>
        </w:tc>
        <w:tc>
          <w:tcPr>
            <w:tcW w:w="10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Obligation (1)</w:t>
            </w:r>
          </w:p>
        </w:tc>
        <w:tc>
          <w:tcPr>
            <w:tcW w:w="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8"/>
              </w:rPr>
              <w:t>GLA (2)</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Leased</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GLA (3)</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w w:val="99"/>
              </w:rPr>
              <w:t>Anchor (3)</w:t>
            </w:r>
          </w:p>
        </w:tc>
        <w:tc>
          <w:tcPr>
            <w:tcW w:w="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auto"/>
            </w:tcBorders>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7"/>
              </w:rPr>
              <w:t>Washington Metropolitan Area</w:t>
            </w:r>
          </w:p>
        </w:tc>
        <w:tc>
          <w:tcPr>
            <w:tcW w:w="60" w:type="dxa"/>
            <w:vAlign w:val="bottom"/>
            <w:tcBorders>
              <w:bottom w:val="single" w:sz="8" w:color="CCEEFF"/>
            </w:tcBorders>
            <w:gridSpan w:val="2"/>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60" w:type="dxa"/>
            <w:vAlign w:val="bottom"/>
            <w:gridSpan w:val="7"/>
          </w:tcPr>
          <w:p>
            <w:pPr>
              <w:spacing w:after="0" w:line="131" w:lineRule="exact"/>
              <w:rPr>
                <w:sz w:val="20"/>
                <w:szCs w:val="20"/>
                <w:color w:val="auto"/>
              </w:rPr>
            </w:pPr>
            <w:r>
              <w:rPr>
                <w:rFonts w:ascii="Arial" w:cs="Arial" w:eastAsia="Arial" w:hAnsi="Arial"/>
                <w:sz w:val="14"/>
                <w:szCs w:val="14"/>
                <w:color w:val="auto"/>
              </w:rPr>
              <w:t>Bethesda Row</w:t>
            </w:r>
          </w:p>
        </w:tc>
        <w:tc>
          <w:tcPr>
            <w:tcW w:w="280" w:type="dxa"/>
            <w:vAlign w:val="bottom"/>
          </w:tcPr>
          <w:p>
            <w:pPr>
              <w:jc w:val="right"/>
              <w:ind w:right="12"/>
              <w:spacing w:after="0" w:line="131" w:lineRule="exact"/>
              <w:rPr>
                <w:sz w:val="20"/>
                <w:szCs w:val="20"/>
                <w:color w:val="auto"/>
              </w:rPr>
            </w:pPr>
            <w:r>
              <w:rPr>
                <w:rFonts w:ascii="Arial" w:cs="Arial" w:eastAsia="Arial" w:hAnsi="Arial"/>
                <w:sz w:val="14"/>
                <w:szCs w:val="14"/>
                <w:color w:val="auto"/>
              </w:rPr>
              <w:t>(4)</w:t>
            </w:r>
          </w:p>
        </w:tc>
        <w:tc>
          <w:tcPr>
            <w:tcW w:w="1660" w:type="dxa"/>
            <w:vAlign w:val="bottom"/>
          </w:tcPr>
          <w:p>
            <w:pPr>
              <w:spacing w:after="0" w:line="131" w:lineRule="exact"/>
              <w:rPr>
                <w:sz w:val="20"/>
                <w:szCs w:val="20"/>
                <w:color w:val="auto"/>
              </w:rPr>
            </w:pPr>
            <w:r>
              <w:rPr>
                <w:rFonts w:ascii="Arial" w:cs="Arial" w:eastAsia="Arial" w:hAnsi="Arial"/>
                <w:sz w:val="14"/>
                <w:szCs w:val="14"/>
                <w:color w:val="auto"/>
              </w:rPr>
              <w:t>Washington, DC-MD-</w:t>
            </w:r>
          </w:p>
        </w:tc>
        <w:tc>
          <w:tcPr>
            <w:tcW w:w="1020" w:type="dxa"/>
            <w:vAlign w:val="bottom"/>
            <w:gridSpan w:val="3"/>
          </w:tcPr>
          <w:p>
            <w:pPr>
              <w:jc w:val="right"/>
              <w:ind w:right="40"/>
              <w:spacing w:after="0" w:line="131" w:lineRule="exact"/>
              <w:rPr>
                <w:sz w:val="20"/>
                <w:szCs w:val="20"/>
                <w:color w:val="auto"/>
              </w:rPr>
            </w:pPr>
            <w:r>
              <w:rPr>
                <w:rFonts w:ascii="Arial" w:cs="Arial" w:eastAsia="Arial" w:hAnsi="Arial"/>
                <w:sz w:val="14"/>
                <w:szCs w:val="14"/>
                <w:color w:val="auto"/>
                <w:w w:val="94"/>
              </w:rPr>
              <w:t>1993-2006/2008</w:t>
            </w:r>
          </w:p>
        </w:tc>
        <w:tc>
          <w:tcPr>
            <w:tcW w:w="1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1" w:lineRule="exact"/>
              <w:rPr>
                <w:sz w:val="20"/>
                <w:szCs w:val="20"/>
                <w:color w:val="auto"/>
              </w:rPr>
            </w:pPr>
            <w:r>
              <w:rPr>
                <w:rFonts w:ascii="Arial" w:cs="Arial" w:eastAsia="Arial" w:hAnsi="Arial"/>
                <w:sz w:val="14"/>
                <w:szCs w:val="14"/>
                <w:color w:val="auto"/>
              </w:rPr>
              <w:t>187,856</w:t>
            </w:r>
          </w:p>
        </w:tc>
        <w:tc>
          <w:tcPr>
            <w:tcW w:w="1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1" w:lineRule="exact"/>
              <w:rPr>
                <w:sz w:val="20"/>
                <w:szCs w:val="20"/>
                <w:color w:val="auto"/>
              </w:rPr>
            </w:pPr>
            <w:r>
              <w:rPr>
                <w:rFonts w:ascii="Arial" w:cs="Arial" w:eastAsia="Arial" w:hAnsi="Arial"/>
                <w:sz w:val="14"/>
                <w:szCs w:val="14"/>
                <w:color w:val="auto"/>
              </w:rPr>
              <w:t>25,398</w:t>
            </w:r>
          </w:p>
        </w:tc>
        <w:tc>
          <w:tcPr>
            <w:tcW w:w="20" w:type="dxa"/>
            <w:vAlign w:val="bottom"/>
          </w:tcPr>
          <w:p>
            <w:pPr>
              <w:spacing w:after="0"/>
              <w:rPr>
                <w:sz w:val="11"/>
                <w:szCs w:val="11"/>
                <w:color w:val="auto"/>
              </w:rPr>
            </w:pPr>
          </w:p>
        </w:tc>
        <w:tc>
          <w:tcPr>
            <w:tcW w:w="5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519,000</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1" w:lineRule="exact"/>
              <w:rPr>
                <w:sz w:val="20"/>
                <w:szCs w:val="20"/>
                <w:color w:val="auto"/>
              </w:rPr>
            </w:pPr>
            <w:r>
              <w:rPr>
                <w:rFonts w:ascii="Arial" w:cs="Arial" w:eastAsia="Arial" w:hAnsi="Arial"/>
                <w:sz w:val="14"/>
                <w:szCs w:val="14"/>
                <w:color w:val="auto"/>
              </w:rPr>
              <w:t>95%</w:t>
            </w:r>
          </w:p>
        </w:tc>
        <w:tc>
          <w:tcPr>
            <w:tcW w:w="580" w:type="dxa"/>
            <w:vAlign w:val="bottom"/>
            <w:gridSpan w:val="2"/>
          </w:tcPr>
          <w:p>
            <w:pPr>
              <w:jc w:val="right"/>
              <w:ind w:right="100"/>
              <w:spacing w:after="0" w:line="131" w:lineRule="exact"/>
              <w:rPr>
                <w:sz w:val="20"/>
                <w:szCs w:val="20"/>
                <w:color w:val="auto"/>
              </w:rPr>
            </w:pPr>
            <w:r>
              <w:rPr>
                <w:rFonts w:ascii="Arial" w:cs="Arial" w:eastAsia="Arial" w:hAnsi="Arial"/>
                <w:sz w:val="14"/>
                <w:szCs w:val="14"/>
                <w:color w:val="auto"/>
              </w:rPr>
              <w:t>40,000</w:t>
            </w:r>
          </w:p>
        </w:tc>
        <w:tc>
          <w:tcPr>
            <w:tcW w:w="800" w:type="dxa"/>
            <w:vAlign w:val="bottom"/>
          </w:tcPr>
          <w:p>
            <w:pPr>
              <w:spacing w:after="0" w:line="131" w:lineRule="exact"/>
              <w:rPr>
                <w:sz w:val="20"/>
                <w:szCs w:val="20"/>
                <w:color w:val="auto"/>
              </w:rPr>
            </w:pPr>
            <w:r>
              <w:rPr>
                <w:rFonts w:ascii="Arial" w:cs="Arial" w:eastAsia="Arial" w:hAnsi="Arial"/>
                <w:sz w:val="14"/>
                <w:szCs w:val="14"/>
                <w:color w:val="auto"/>
              </w:rPr>
              <w:t>Giant Food</w:t>
            </w:r>
          </w:p>
        </w:tc>
        <w:tc>
          <w:tcPr>
            <w:tcW w:w="60" w:type="dxa"/>
            <w:vAlign w:val="bottom"/>
          </w:tcPr>
          <w:p>
            <w:pPr>
              <w:spacing w:after="0"/>
              <w:rPr>
                <w:sz w:val="11"/>
                <w:szCs w:val="11"/>
                <w:color w:val="auto"/>
              </w:rPr>
            </w:pPr>
          </w:p>
        </w:tc>
        <w:tc>
          <w:tcPr>
            <w:tcW w:w="1860" w:type="dxa"/>
            <w:vAlign w:val="bottom"/>
          </w:tcPr>
          <w:p>
            <w:pPr>
              <w:spacing w:after="0" w:line="131" w:lineRule="exact"/>
              <w:rPr>
                <w:sz w:val="20"/>
                <w:szCs w:val="20"/>
                <w:color w:val="auto"/>
              </w:rPr>
            </w:pPr>
            <w:r>
              <w:rPr>
                <w:rFonts w:ascii="Arial" w:cs="Arial" w:eastAsia="Arial" w:hAnsi="Arial"/>
                <w:sz w:val="14"/>
                <w:szCs w:val="14"/>
                <w:color w:val="auto"/>
              </w:rPr>
              <w:t>Barnes &amp; Noble / Landmark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line="159" w:lineRule="exact"/>
              <w:rPr>
                <w:sz w:val="20"/>
                <w:szCs w:val="20"/>
                <w:color w:val="auto"/>
              </w:rPr>
            </w:pPr>
            <w:r>
              <w:rPr>
                <w:rFonts w:ascii="Arial" w:cs="Arial" w:eastAsia="Arial" w:hAnsi="Arial"/>
                <w:sz w:val="14"/>
                <w:szCs w:val="14"/>
                <w:color w:val="auto"/>
              </w:rPr>
              <w:t>VA</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tcPr>
          <w:p>
            <w:pPr>
              <w:spacing w:after="0" w:line="159" w:lineRule="exact"/>
              <w:rPr>
                <w:sz w:val="20"/>
                <w:szCs w:val="20"/>
                <w:color w:val="auto"/>
              </w:rPr>
            </w:pPr>
            <w:r>
              <w:rPr>
                <w:rFonts w:ascii="Arial" w:cs="Arial" w:eastAsia="Arial" w:hAnsi="Arial"/>
                <w:sz w:val="14"/>
                <w:szCs w:val="14"/>
                <w:color w:val="auto"/>
              </w:rPr>
              <w:t>Theater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Congressional Plaza</w:t>
            </w:r>
          </w:p>
        </w:tc>
        <w:tc>
          <w:tcPr>
            <w:tcW w:w="2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1965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70,163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334,000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28,000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Whole Foods</w:t>
            </w: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Buy Buy Baby / Container Store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Courthouse Center</w:t>
            </w:r>
          </w:p>
        </w:tc>
        <w:tc>
          <w:tcPr>
            <w:tcW w:w="28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4,229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37,000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Falls Plaza/Falls Plaza-East</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1967-1972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51,000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CVS / 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Federal Plaza</w:t>
            </w:r>
          </w:p>
        </w:tc>
        <w:tc>
          <w:tcPr>
            <w:tcW w:w="28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1989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61,909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32,828</w:t>
            </w: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248,000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w w:val="97"/>
              </w:rPr>
              <w:t>TJ Maxx / Micro Center / 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Friendship Center</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Borders / Maggiano’s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Gaithersburg Square</w:t>
            </w:r>
          </w:p>
        </w:tc>
        <w:tc>
          <w:tcPr>
            <w:tcW w:w="28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24,080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209,000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Bed, Bath &amp; Beyond / 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Idylwood Plaza</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16,910</w:t>
            </w: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Whole Foods</w:t>
            </w: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Laurel</w:t>
            </w:r>
          </w:p>
        </w:tc>
        <w:tc>
          <w:tcPr>
            <w:tcW w:w="28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1986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47,811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386,000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61,000</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Leesburg Plaza</w:t>
            </w:r>
          </w:p>
        </w:tc>
        <w:tc>
          <w:tcPr>
            <w:tcW w:w="2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(6)</w:t>
            </w: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1998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34,472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29,423</w:t>
            </w: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236,000</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55,000</w:t>
            </w:r>
          </w:p>
        </w:tc>
        <w:tc>
          <w:tcPr>
            <w:tcW w:w="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Giant Food</w:t>
            </w:r>
          </w:p>
        </w:tc>
        <w:tc>
          <w:tcPr>
            <w:tcW w:w="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Petsmart / Pier One / Office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Loehmann’s Plaza</w:t>
            </w:r>
          </w:p>
        </w:tc>
        <w:tc>
          <w:tcPr>
            <w:tcW w:w="28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1983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32,618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38,047</w:t>
            </w: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268,000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58,000</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w w:val="90"/>
              </w:rPr>
              <w:t>Bally Total Fitness / Loehmann’s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Mid-Pike Plaza</w:t>
            </w:r>
          </w:p>
        </w:tc>
        <w:tc>
          <w:tcPr>
            <w:tcW w:w="2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1982/2007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44,565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309,000</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Toys R Us / Bally Total Fitness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tcPr>
          <w:p>
            <w:pPr>
              <w:spacing w:after="0" w:line="138" w:lineRule="exact"/>
              <w:rPr>
                <w:sz w:val="20"/>
                <w:szCs w:val="20"/>
                <w:color w:val="auto"/>
              </w:rPr>
            </w:pPr>
            <w:r>
              <w:rPr>
                <w:rFonts w:ascii="Arial" w:cs="Arial" w:eastAsia="Arial" w:hAnsi="Arial"/>
                <w:sz w:val="14"/>
                <w:szCs w:val="14"/>
                <w:color w:val="auto"/>
                <w:w w:val="99"/>
              </w:rPr>
              <w:t>Mount Vernon/South Valley/7770</w:t>
            </w:r>
          </w:p>
        </w:tc>
        <w:tc>
          <w:tcPr>
            <w:tcW w:w="2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(6)</w:t>
            </w:r>
          </w:p>
        </w:tc>
        <w:tc>
          <w:tcPr>
            <w:tcW w:w="1660" w:type="dxa"/>
            <w:vAlign w:val="bottom"/>
          </w:tcPr>
          <w:p>
            <w:pPr>
              <w:spacing w:after="0" w:line="138" w:lineRule="exact"/>
              <w:rPr>
                <w:sz w:val="20"/>
                <w:szCs w:val="20"/>
                <w:color w:val="auto"/>
              </w:rPr>
            </w:pPr>
            <w:r>
              <w:rPr>
                <w:rFonts w:ascii="Arial" w:cs="Arial" w:eastAsia="Arial" w:hAnsi="Arial"/>
                <w:sz w:val="14"/>
                <w:szCs w:val="14"/>
                <w:color w:val="auto"/>
              </w:rPr>
              <w:t>Washington, DC-MD-VA</w:t>
            </w:r>
          </w:p>
        </w:tc>
        <w:tc>
          <w:tcPr>
            <w:tcW w:w="10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2003-2006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77,351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11,471</w:t>
            </w: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565,000</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95%</w:t>
            </w: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62,000</w:t>
            </w:r>
          </w:p>
        </w:tc>
        <w:tc>
          <w:tcPr>
            <w:tcW w:w="800" w:type="dxa"/>
            <w:vAlign w:val="bottom"/>
          </w:tcPr>
          <w:p>
            <w:pPr>
              <w:spacing w:after="0" w:line="138" w:lineRule="exact"/>
              <w:rPr>
                <w:sz w:val="20"/>
                <w:szCs w:val="20"/>
                <w:color w:val="auto"/>
              </w:rPr>
            </w:pPr>
            <w:r>
              <w:rPr>
                <w:rFonts w:ascii="Arial" w:cs="Arial" w:eastAsia="Arial" w:hAnsi="Arial"/>
                <w:sz w:val="14"/>
                <w:szCs w:val="14"/>
                <w:color w:val="auto"/>
              </w:rPr>
              <w:t>Shoppers</w:t>
            </w:r>
          </w:p>
        </w:tc>
        <w:tc>
          <w:tcPr>
            <w:tcW w:w="6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1"/>
              </w:rPr>
              <w:t>Bed, Bath &amp; Beyond / Michaels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6"/>
          </w:tcPr>
          <w:p>
            <w:pPr>
              <w:spacing w:after="0" w:line="149" w:lineRule="exact"/>
              <w:rPr>
                <w:sz w:val="20"/>
                <w:szCs w:val="20"/>
                <w:color w:val="auto"/>
              </w:rPr>
            </w:pPr>
            <w:r>
              <w:rPr>
                <w:rFonts w:ascii="Arial" w:cs="Arial" w:eastAsia="Arial" w:hAnsi="Arial"/>
                <w:sz w:val="14"/>
                <w:szCs w:val="14"/>
                <w:color w:val="auto"/>
              </w:rPr>
              <w:t>Richmond Hwy</w:t>
            </w: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Food</w:t>
            </w: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w w:val="94"/>
              </w:rPr>
              <w:t>Home Depot / TJ Maxx / Gold’s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line="159" w:lineRule="exact"/>
              <w:rPr>
                <w:sz w:val="20"/>
                <w:szCs w:val="20"/>
                <w:color w:val="auto"/>
              </w:rPr>
            </w:pPr>
            <w:r>
              <w:rPr>
                <w:rFonts w:ascii="Arial" w:cs="Arial" w:eastAsia="Arial" w:hAnsi="Arial"/>
                <w:sz w:val="14"/>
                <w:szCs w:val="14"/>
                <w:color w:val="auto"/>
              </w:rPr>
              <w:t>Warehouse</w:t>
            </w:r>
          </w:p>
        </w:tc>
        <w:tc>
          <w:tcPr>
            <w:tcW w:w="60" w:type="dxa"/>
            <w:vAlign w:val="bottom"/>
          </w:tcPr>
          <w:p>
            <w:pPr>
              <w:spacing w:after="0"/>
              <w:rPr>
                <w:sz w:val="13"/>
                <w:szCs w:val="13"/>
                <w:color w:val="auto"/>
              </w:rPr>
            </w:pPr>
          </w:p>
        </w:tc>
        <w:tc>
          <w:tcPr>
            <w:tcW w:w="1860" w:type="dxa"/>
            <w:vAlign w:val="bottom"/>
          </w:tcPr>
          <w:p>
            <w:pPr>
              <w:spacing w:after="0" w:line="159" w:lineRule="exact"/>
              <w:rPr>
                <w:sz w:val="20"/>
                <w:szCs w:val="20"/>
                <w:color w:val="auto"/>
              </w:rPr>
            </w:pPr>
            <w:r>
              <w:rPr>
                <w:rFonts w:ascii="Arial" w:cs="Arial" w:eastAsia="Arial" w:hAnsi="Arial"/>
                <w:sz w:val="14"/>
                <w:szCs w:val="14"/>
                <w:color w:val="auto"/>
              </w:rPr>
              <w:t>Gym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Old Keene Mill</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1976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24,000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Whole Foods</w:t>
            </w: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Pan Am</w:t>
            </w:r>
          </w:p>
        </w:tc>
        <w:tc>
          <w:tcPr>
            <w:tcW w:w="28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28,181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227,000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63,000</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Safeway</w:t>
            </w: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Micro Center / Michaels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Pentagon Row</w:t>
            </w:r>
          </w:p>
        </w:tc>
        <w:tc>
          <w:tcPr>
            <w:tcW w:w="2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1998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87,866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54,619</w:t>
            </w: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296,000</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99%</w:t>
            </w: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45,000</w:t>
            </w:r>
          </w:p>
        </w:tc>
        <w:tc>
          <w:tcPr>
            <w:tcW w:w="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Harris Teeter</w:t>
            </w:r>
          </w:p>
        </w:tc>
        <w:tc>
          <w:tcPr>
            <w:tcW w:w="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Bally Total Fitness / Bed, Bath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Beyond / DSW / Cost Plus World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Pike 7</w:t>
            </w:r>
          </w:p>
        </w:tc>
        <w:tc>
          <w:tcPr>
            <w:tcW w:w="28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34,843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DSW / Staples / 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Quince Orchard</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24,000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Magruders</w:t>
            </w: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Rockville Town Square</w:t>
            </w:r>
          </w:p>
        </w:tc>
        <w:tc>
          <w:tcPr>
            <w:tcW w:w="28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2006-2007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37,076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182,000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CVS / Gold’s Gym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Rollingwood Apartments</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1971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24,028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Sam’s Park &amp; Shop</w:t>
            </w:r>
          </w:p>
        </w:tc>
        <w:tc>
          <w:tcPr>
            <w:tcW w:w="28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49,000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Tower</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Tyson’s Station</w:t>
            </w:r>
          </w:p>
        </w:tc>
        <w:tc>
          <w:tcPr>
            <w:tcW w:w="28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1978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5,986</w:t>
            </w: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49,000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Village at Shirlington</w:t>
            </w:r>
          </w:p>
        </w:tc>
        <w:tc>
          <w:tcPr>
            <w:tcW w:w="2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w:t>
            </w: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1995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51,478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6,275</w:t>
            </w: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244,000</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28,000</w:t>
            </w:r>
          </w:p>
        </w:tc>
        <w:tc>
          <w:tcPr>
            <w:tcW w:w="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Harris Teeter</w:t>
            </w:r>
          </w:p>
        </w:tc>
        <w:tc>
          <w:tcPr>
            <w:tcW w:w="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AMC Loews / Carlyle Grand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Café</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Wildwood</w:t>
            </w:r>
          </w:p>
        </w:tc>
        <w:tc>
          <w:tcPr>
            <w:tcW w:w="28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1969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17,553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25,551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84,000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20,000</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Balducci’s</w:t>
            </w: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Washington Metropolitan Area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973,112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5,194,000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tcBorders>
              <w:bottom w:val="single" w:sz="8" w:color="auto"/>
            </w:tcBorders>
            <w:gridSpan w:val="5"/>
          </w:tcPr>
          <w:p>
            <w:pPr>
              <w:spacing w:after="0" w:line="135" w:lineRule="exact"/>
              <w:rPr>
                <w:sz w:val="20"/>
                <w:szCs w:val="20"/>
                <w:color w:val="auto"/>
              </w:rPr>
            </w:pPr>
            <w:r>
              <w:rPr>
                <w:rFonts w:ascii="Arial" w:cs="Arial" w:eastAsia="Arial" w:hAnsi="Arial"/>
                <w:sz w:val="14"/>
                <w:szCs w:val="14"/>
                <w:b w:val="1"/>
                <w:bCs w:val="1"/>
                <w:color w:val="auto"/>
                <w:w w:val="88"/>
              </w:rPr>
              <w:t>Philadelphia Metropolitan Area</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2" w:lineRule="exact"/>
              <w:rPr>
                <w:sz w:val="20"/>
                <w:szCs w:val="20"/>
                <w:color w:val="auto"/>
              </w:rPr>
            </w:pPr>
            <w:r>
              <w:rPr>
                <w:rFonts w:ascii="Arial" w:cs="Arial" w:eastAsia="Arial" w:hAnsi="Arial"/>
                <w:sz w:val="14"/>
                <w:szCs w:val="14"/>
                <w:color w:val="auto"/>
              </w:rPr>
              <w:t>Andorra</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Philadelphia, PA-NJ</w:t>
            </w:r>
          </w:p>
        </w:tc>
        <w:tc>
          <w:tcPr>
            <w:tcW w:w="102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1988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23,080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267,000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94%</w:t>
            </w:r>
          </w:p>
        </w:tc>
        <w:tc>
          <w:tcPr>
            <w:tcW w:w="5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24,000</w:t>
            </w:r>
          </w:p>
        </w:tc>
        <w:tc>
          <w:tcPr>
            <w:tcW w:w="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7"/>
              </w:rPr>
              <w:t>Acme Markets</w:t>
            </w: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Kohl’s / Staples / L.A. 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Bala Cynwyd</w:t>
            </w:r>
          </w:p>
        </w:tc>
        <w:tc>
          <w:tcPr>
            <w:tcW w:w="28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Philadelphia, PA-NJ</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34,183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282,000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45,000</w:t>
            </w:r>
          </w:p>
        </w:tc>
        <w:tc>
          <w:tcPr>
            <w:tcW w:w="800" w:type="dxa"/>
            <w:vAlign w:val="bottom"/>
          </w:tcPr>
          <w:p>
            <w:pPr>
              <w:spacing w:after="0" w:line="149" w:lineRule="exact"/>
              <w:rPr>
                <w:sz w:val="20"/>
                <w:szCs w:val="20"/>
                <w:color w:val="auto"/>
              </w:rPr>
            </w:pPr>
            <w:r>
              <w:rPr>
                <w:rFonts w:ascii="Arial" w:cs="Arial" w:eastAsia="Arial" w:hAnsi="Arial"/>
                <w:sz w:val="14"/>
                <w:szCs w:val="14"/>
                <w:color w:val="auto"/>
                <w:w w:val="87"/>
              </w:rPr>
              <w:t>Acme Markets</w:t>
            </w: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Lord &amp; Taylor / L.A. 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Ellisburg Circle</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27,679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47,000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Genuardi’s</w:t>
            </w: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Buy Buy Baby / Stein 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Feasterville</w:t>
            </w:r>
          </w:p>
        </w:tc>
        <w:tc>
          <w:tcPr>
            <w:tcW w:w="28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Philadelphia, PA-NJ</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11,882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111,000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53,000</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Genuardi’s</w:t>
            </w: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OfficeMax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Flourtown</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42,000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Genuardi’s</w:t>
            </w: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tcPr>
          <w:p>
            <w:pPr>
              <w:spacing w:after="0" w:line="138" w:lineRule="exact"/>
              <w:rPr>
                <w:sz w:val="20"/>
                <w:szCs w:val="20"/>
                <w:color w:val="auto"/>
              </w:rPr>
            </w:pPr>
            <w:r>
              <w:rPr>
                <w:rFonts w:ascii="Arial" w:cs="Arial" w:eastAsia="Arial" w:hAnsi="Arial"/>
                <w:sz w:val="14"/>
                <w:szCs w:val="14"/>
                <w:color w:val="auto"/>
              </w:rPr>
              <w:t>Langhorne Square</w:t>
            </w:r>
          </w:p>
        </w:tc>
        <w:tc>
          <w:tcPr>
            <w:tcW w:w="28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rPr>
              <w:t>Philadelphia, PA-NJ</w:t>
            </w:r>
          </w:p>
        </w:tc>
        <w:tc>
          <w:tcPr>
            <w:tcW w:w="10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1985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18,992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216,000</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97%</w:t>
            </w: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55,000</w:t>
            </w:r>
          </w:p>
        </w:tc>
        <w:tc>
          <w:tcPr>
            <w:tcW w:w="800" w:type="dxa"/>
            <w:vAlign w:val="bottom"/>
          </w:tcPr>
          <w:p>
            <w:pPr>
              <w:spacing w:after="0" w:line="138" w:lineRule="exact"/>
              <w:rPr>
                <w:sz w:val="20"/>
                <w:szCs w:val="20"/>
                <w:color w:val="auto"/>
              </w:rPr>
            </w:pPr>
            <w:r>
              <w:rPr>
                <w:rFonts w:ascii="Arial" w:cs="Arial" w:eastAsia="Arial" w:hAnsi="Arial"/>
                <w:sz w:val="14"/>
                <w:szCs w:val="14"/>
                <w:color w:val="auto"/>
              </w:rPr>
              <w:t>Redner’s</w:t>
            </w:r>
          </w:p>
        </w:tc>
        <w:tc>
          <w:tcPr>
            <w:tcW w:w="6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Warehouse</w:t>
            </w: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line="159" w:lineRule="exact"/>
              <w:rPr>
                <w:sz w:val="20"/>
                <w:szCs w:val="20"/>
                <w:color w:val="auto"/>
              </w:rPr>
            </w:pPr>
            <w:r>
              <w:rPr>
                <w:rFonts w:ascii="Arial" w:cs="Arial" w:eastAsia="Arial" w:hAnsi="Arial"/>
                <w:sz w:val="14"/>
                <w:szCs w:val="14"/>
                <w:color w:val="auto"/>
              </w:rPr>
              <w:t>Mkts.</w:t>
            </w:r>
          </w:p>
        </w:tc>
        <w:tc>
          <w:tcPr>
            <w:tcW w:w="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Lawrence Park</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29,069</w:t>
            </w: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353,000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53,000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Acme Markets</w:t>
            </w: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 / TJ Maxx / HomeGoods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Northeast</w:t>
            </w:r>
          </w:p>
        </w:tc>
        <w:tc>
          <w:tcPr>
            <w:tcW w:w="28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Philadelphia, PA-NJ</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1983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22,606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285,000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Burlington Coat / 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Town Center of New Britain</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36,000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Willow Grove</w:t>
            </w:r>
          </w:p>
        </w:tc>
        <w:tc>
          <w:tcPr>
            <w:tcW w:w="28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Philadelphia, PA-NJ</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1984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27,161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216,000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Barnes &amp; Noble / 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Wynnewood</w:t>
            </w:r>
          </w:p>
        </w:tc>
        <w:tc>
          <w:tcPr>
            <w:tcW w:w="2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Philadelphia, PA-NJ</w:t>
            </w:r>
          </w:p>
        </w:tc>
        <w:tc>
          <w:tcPr>
            <w:tcW w:w="10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1996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36,347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29,624</w:t>
            </w: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255,000</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97%</w:t>
            </w: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98,000</w:t>
            </w:r>
          </w:p>
        </w:tc>
        <w:tc>
          <w:tcPr>
            <w:tcW w:w="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Genuardi’s</w:t>
            </w:r>
          </w:p>
        </w:tc>
        <w:tc>
          <w:tcPr>
            <w:tcW w:w="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Bed, Bath &amp; Beyond / Borders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Total Philadelphia Metropolitan Area</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261,297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9"/>
              </w:rPr>
              <w:t>2,569,000</w:t>
            </w:r>
          </w:p>
        </w:tc>
        <w:tc>
          <w:tcPr>
            <w:tcW w:w="60" w:type="dxa"/>
            <w:vAlign w:val="bottom"/>
          </w:tcPr>
          <w:p>
            <w:pPr>
              <w:spacing w:after="0"/>
              <w:rPr>
                <w:sz w:val="13"/>
                <w:szCs w:val="13"/>
                <w:color w:val="auto"/>
              </w:rPr>
            </w:pP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95%</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9"/>
              </w:rPr>
              <w:t>California</w:t>
            </w:r>
          </w:p>
        </w:tc>
        <w:tc>
          <w:tcPr>
            <w:tcW w:w="1260" w:type="dxa"/>
            <w:vAlign w:val="bottom"/>
            <w:tcBorders>
              <w:bottom w:val="single" w:sz="8" w:color="CCEEFF"/>
            </w:tcBorders>
            <w:gridSpan w:val="5"/>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60" w:type="dxa"/>
            <w:vAlign w:val="bottom"/>
            <w:gridSpan w:val="7"/>
          </w:tcPr>
          <w:p>
            <w:pPr>
              <w:spacing w:after="0" w:line="131" w:lineRule="exact"/>
              <w:rPr>
                <w:sz w:val="20"/>
                <w:szCs w:val="20"/>
                <w:color w:val="auto"/>
              </w:rPr>
            </w:pPr>
            <w:r>
              <w:rPr>
                <w:rFonts w:ascii="Arial" w:cs="Arial" w:eastAsia="Arial" w:hAnsi="Arial"/>
                <w:sz w:val="14"/>
                <w:szCs w:val="14"/>
                <w:color w:val="auto"/>
              </w:rPr>
              <w:t>Colorado Blvd</w:t>
            </w:r>
          </w:p>
        </w:tc>
        <w:tc>
          <w:tcPr>
            <w:tcW w:w="280" w:type="dxa"/>
            <w:vAlign w:val="bottom"/>
          </w:tcPr>
          <w:p>
            <w:pPr>
              <w:spacing w:after="0"/>
              <w:rPr>
                <w:sz w:val="11"/>
                <w:szCs w:val="11"/>
                <w:color w:val="auto"/>
              </w:rPr>
            </w:pPr>
          </w:p>
        </w:tc>
        <w:tc>
          <w:tcPr>
            <w:tcW w:w="1660" w:type="dxa"/>
            <w:vAlign w:val="bottom"/>
          </w:tcPr>
          <w:p>
            <w:pPr>
              <w:spacing w:after="0" w:line="131" w:lineRule="exact"/>
              <w:rPr>
                <w:sz w:val="20"/>
                <w:szCs w:val="20"/>
                <w:color w:val="auto"/>
              </w:rPr>
            </w:pPr>
            <w:r>
              <w:rPr>
                <w:rFonts w:ascii="Arial" w:cs="Arial" w:eastAsia="Arial" w:hAnsi="Arial"/>
                <w:sz w:val="14"/>
                <w:szCs w:val="14"/>
                <w:color w:val="auto"/>
              </w:rPr>
              <w:t>Los Angeles-Long</w:t>
            </w:r>
          </w:p>
        </w:tc>
        <w:tc>
          <w:tcPr>
            <w:tcW w:w="1020" w:type="dxa"/>
            <w:vAlign w:val="bottom"/>
            <w:gridSpan w:val="3"/>
          </w:tcPr>
          <w:p>
            <w:pPr>
              <w:jc w:val="right"/>
              <w:ind w:right="40"/>
              <w:spacing w:after="0" w:line="131" w:lineRule="exact"/>
              <w:rPr>
                <w:sz w:val="20"/>
                <w:szCs w:val="20"/>
                <w:color w:val="auto"/>
              </w:rPr>
            </w:pPr>
            <w:r>
              <w:rPr>
                <w:rFonts w:ascii="Arial" w:cs="Arial" w:eastAsia="Arial" w:hAnsi="Arial"/>
                <w:sz w:val="14"/>
                <w:szCs w:val="14"/>
                <w:color w:val="auto"/>
              </w:rPr>
              <w:t>1996-1998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4"/>
                <w:szCs w:val="14"/>
                <w:color w:val="auto"/>
              </w:rPr>
              <w:t>16,556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68,000</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1" w:lineRule="exact"/>
              <w:rPr>
                <w:sz w:val="20"/>
                <w:szCs w:val="20"/>
                <w:color w:val="auto"/>
              </w:rPr>
            </w:pPr>
            <w:r>
              <w:rPr>
                <w:rFonts w:ascii="Arial" w:cs="Arial" w:eastAsia="Arial" w:hAnsi="Arial"/>
                <w:sz w:val="14"/>
                <w:szCs w:val="14"/>
                <w:color w:val="auto"/>
              </w:rPr>
              <w:t>99%</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Pr>
          <w:p>
            <w:pPr>
              <w:spacing w:after="0" w:line="131" w:lineRule="exact"/>
              <w:rPr>
                <w:sz w:val="20"/>
                <w:szCs w:val="20"/>
                <w:color w:val="auto"/>
              </w:rPr>
            </w:pPr>
            <w:r>
              <w:rPr>
                <w:rFonts w:ascii="Arial" w:cs="Arial" w:eastAsia="Arial" w:hAnsi="Arial"/>
                <w:sz w:val="14"/>
                <w:szCs w:val="14"/>
                <w:color w:val="auto"/>
                <w:w w:val="93"/>
              </w:rPr>
              <w:t>Pottery Barn / Banana Republic</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line="159" w:lineRule="exact"/>
              <w:rPr>
                <w:sz w:val="20"/>
                <w:szCs w:val="20"/>
                <w:color w:val="auto"/>
              </w:rPr>
            </w:pPr>
            <w:r>
              <w:rPr>
                <w:rFonts w:ascii="Arial" w:cs="Arial" w:eastAsia="Arial" w:hAnsi="Arial"/>
                <w:sz w:val="14"/>
                <w:szCs w:val="14"/>
                <w:color w:val="auto"/>
              </w:rPr>
              <w:t>Beach, CA</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Crow Canyon</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Ramon, CA</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2005-2007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21,016</w:t>
            </w: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58,000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Save Mart</w:t>
            </w: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Loehmann’s / Rite Aid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tcPr>
          <w:p>
            <w:pPr>
              <w:spacing w:after="0" w:line="138" w:lineRule="exact"/>
              <w:rPr>
                <w:sz w:val="20"/>
                <w:szCs w:val="20"/>
                <w:color w:val="auto"/>
              </w:rPr>
            </w:pPr>
            <w:r>
              <w:rPr>
                <w:rFonts w:ascii="Arial" w:cs="Arial" w:eastAsia="Arial" w:hAnsi="Arial"/>
                <w:sz w:val="14"/>
                <w:szCs w:val="14"/>
                <w:color w:val="auto"/>
              </w:rPr>
              <w:t>Escondido</w:t>
            </w:r>
          </w:p>
        </w:tc>
        <w:tc>
          <w:tcPr>
            <w:tcW w:w="2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(7)</w:t>
            </w:r>
          </w:p>
        </w:tc>
        <w:tc>
          <w:tcPr>
            <w:tcW w:w="1660" w:type="dxa"/>
            <w:vAlign w:val="bottom"/>
          </w:tcPr>
          <w:p>
            <w:pPr>
              <w:spacing w:after="0" w:line="138" w:lineRule="exact"/>
              <w:rPr>
                <w:sz w:val="20"/>
                <w:szCs w:val="20"/>
                <w:color w:val="auto"/>
              </w:rPr>
            </w:pPr>
            <w:r>
              <w:rPr>
                <w:rFonts w:ascii="Arial" w:cs="Arial" w:eastAsia="Arial" w:hAnsi="Arial"/>
                <w:sz w:val="14"/>
                <w:szCs w:val="14"/>
                <w:color w:val="auto"/>
              </w:rPr>
              <w:t>San Diego, CA</w:t>
            </w:r>
          </w:p>
        </w:tc>
        <w:tc>
          <w:tcPr>
            <w:tcW w:w="10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1996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28,627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222,000</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95%</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Cost Plus World Market / TJ</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tcPr>
          <w:p>
            <w:pPr>
              <w:spacing w:after="0" w:line="159" w:lineRule="exact"/>
              <w:rPr>
                <w:sz w:val="20"/>
                <w:szCs w:val="20"/>
                <w:color w:val="auto"/>
              </w:rPr>
            </w:pPr>
            <w:r>
              <w:rPr>
                <w:rFonts w:ascii="Arial" w:cs="Arial" w:eastAsia="Arial" w:hAnsi="Arial"/>
                <w:sz w:val="14"/>
                <w:szCs w:val="14"/>
                <w:color w:val="auto"/>
              </w:rPr>
              <w:t>Maxx / Toys R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Fifth Ave</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Diego, CA</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1996-1997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Urban Outfitters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tcPr>
          <w:p>
            <w:pPr>
              <w:spacing w:after="0" w:line="138" w:lineRule="exact"/>
              <w:rPr>
                <w:sz w:val="20"/>
                <w:szCs w:val="20"/>
                <w:color w:val="auto"/>
              </w:rPr>
            </w:pPr>
            <w:r>
              <w:rPr>
                <w:rFonts w:ascii="Arial" w:cs="Arial" w:eastAsia="Arial" w:hAnsi="Arial"/>
                <w:sz w:val="14"/>
                <w:szCs w:val="14"/>
                <w:color w:val="auto"/>
              </w:rPr>
              <w:t>Hermosa Ave</w:t>
            </w:r>
          </w:p>
        </w:tc>
        <w:tc>
          <w:tcPr>
            <w:tcW w:w="28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rPr>
              <w:t>Los Angeles-Long</w:t>
            </w:r>
          </w:p>
        </w:tc>
        <w:tc>
          <w:tcPr>
            <w:tcW w:w="10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5,423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23,000</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50%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line="159" w:lineRule="exact"/>
              <w:rPr>
                <w:sz w:val="20"/>
                <w:szCs w:val="20"/>
                <w:color w:val="auto"/>
              </w:rPr>
            </w:pPr>
            <w:r>
              <w:rPr>
                <w:rFonts w:ascii="Arial" w:cs="Arial" w:eastAsia="Arial" w:hAnsi="Arial"/>
                <w:sz w:val="14"/>
                <w:szCs w:val="14"/>
                <w:color w:val="auto"/>
              </w:rPr>
              <w:t>Beach, CA</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Hollywood Blvd</w:t>
            </w:r>
          </w:p>
        </w:tc>
        <w:tc>
          <w:tcPr>
            <w:tcW w:w="2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(8)</w:t>
            </w: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Los Angeles-Long</w:t>
            </w:r>
          </w:p>
        </w:tc>
        <w:tc>
          <w:tcPr>
            <w:tcW w:w="10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1999</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37,669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153,000</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85%</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DSW / L.A. Fitness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Beach, CA</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tcPr>
          <w:p>
            <w:pPr>
              <w:spacing w:after="0" w:line="138" w:lineRule="exact"/>
              <w:rPr>
                <w:sz w:val="20"/>
                <w:szCs w:val="20"/>
                <w:color w:val="auto"/>
              </w:rPr>
            </w:pPr>
            <w:r>
              <w:rPr>
                <w:rFonts w:ascii="Arial" w:cs="Arial" w:eastAsia="Arial" w:hAnsi="Arial"/>
                <w:sz w:val="14"/>
                <w:szCs w:val="14"/>
                <w:color w:val="auto"/>
              </w:rPr>
              <w:t>Kings Court</w:t>
            </w:r>
          </w:p>
        </w:tc>
        <w:tc>
          <w:tcPr>
            <w:tcW w:w="2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(6)</w:t>
            </w:r>
          </w:p>
        </w:tc>
        <w:tc>
          <w:tcPr>
            <w:tcW w:w="1660" w:type="dxa"/>
            <w:vAlign w:val="bottom"/>
          </w:tcPr>
          <w:p>
            <w:pPr>
              <w:spacing w:after="0" w:line="138" w:lineRule="exact"/>
              <w:rPr>
                <w:sz w:val="20"/>
                <w:szCs w:val="20"/>
                <w:color w:val="auto"/>
              </w:rPr>
            </w:pPr>
            <w:r>
              <w:rPr>
                <w:rFonts w:ascii="Arial" w:cs="Arial" w:eastAsia="Arial" w:hAnsi="Arial"/>
                <w:sz w:val="14"/>
                <w:szCs w:val="14"/>
                <w:color w:val="auto"/>
              </w:rPr>
              <w:t>San Jose, CA</w:t>
            </w:r>
          </w:p>
        </w:tc>
        <w:tc>
          <w:tcPr>
            <w:tcW w:w="10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1998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11,581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79,000</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25,000</w:t>
            </w:r>
          </w:p>
        </w:tc>
        <w:tc>
          <w:tcPr>
            <w:tcW w:w="800" w:type="dxa"/>
            <w:vAlign w:val="bottom"/>
          </w:tcPr>
          <w:p>
            <w:pPr>
              <w:spacing w:after="0" w:line="138" w:lineRule="exact"/>
              <w:rPr>
                <w:sz w:val="20"/>
                <w:szCs w:val="20"/>
                <w:color w:val="auto"/>
              </w:rPr>
            </w:pPr>
            <w:r>
              <w:rPr>
                <w:rFonts w:ascii="Arial" w:cs="Arial" w:eastAsia="Arial" w:hAnsi="Arial"/>
                <w:sz w:val="14"/>
                <w:szCs w:val="14"/>
                <w:color w:val="auto"/>
              </w:rPr>
              <w:t>Lunardi’s</w:t>
            </w:r>
          </w:p>
        </w:tc>
        <w:tc>
          <w:tcPr>
            <w:tcW w:w="6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line="159" w:lineRule="exact"/>
              <w:rPr>
                <w:sz w:val="20"/>
                <w:szCs w:val="20"/>
                <w:color w:val="auto"/>
              </w:rPr>
            </w:pPr>
            <w:r>
              <w:rPr>
                <w:rFonts w:ascii="Arial" w:cs="Arial" w:eastAsia="Arial" w:hAnsi="Arial"/>
                <w:sz w:val="14"/>
                <w:szCs w:val="14"/>
                <w:color w:val="auto"/>
                <w:w w:val="92"/>
              </w:rPr>
              <w:t>Super Market</w:t>
            </w:r>
          </w:p>
        </w:tc>
        <w:tc>
          <w:tcPr>
            <w:tcW w:w="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Old Town Center</w:t>
            </w:r>
          </w:p>
        </w:tc>
        <w:tc>
          <w:tcPr>
            <w:tcW w:w="2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San Jose, CA</w:t>
            </w:r>
          </w:p>
        </w:tc>
        <w:tc>
          <w:tcPr>
            <w:tcW w:w="10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1997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34,056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96,000</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Borders / Gap Kids / Banana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tcPr>
          <w:p>
            <w:pPr>
              <w:spacing w:after="0" w:line="138" w:lineRule="exact"/>
              <w:rPr>
                <w:sz w:val="20"/>
                <w:szCs w:val="20"/>
                <w:color w:val="auto"/>
              </w:rPr>
            </w:pPr>
            <w:r>
              <w:rPr>
                <w:rFonts w:ascii="Arial" w:cs="Arial" w:eastAsia="Arial" w:hAnsi="Arial"/>
                <w:sz w:val="14"/>
                <w:szCs w:val="14"/>
                <w:color w:val="auto"/>
              </w:rPr>
              <w:t>Santana Row</w:t>
            </w:r>
          </w:p>
        </w:tc>
        <w:tc>
          <w:tcPr>
            <w:tcW w:w="28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rPr>
              <w:t>San Jose, CA</w:t>
            </w:r>
          </w:p>
        </w:tc>
        <w:tc>
          <w:tcPr>
            <w:tcW w:w="10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528,461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565,000</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89"/>
              </w:rPr>
              <w:t>Crate &amp; Barrel / Container Store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Best Buy / Borders / CineArts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tcPr>
          <w:p>
            <w:pPr>
              <w:spacing w:after="0" w:line="159" w:lineRule="exact"/>
              <w:rPr>
                <w:sz w:val="20"/>
                <w:szCs w:val="20"/>
                <w:color w:val="auto"/>
              </w:rPr>
            </w:pPr>
            <w:r>
              <w:rPr>
                <w:rFonts w:ascii="Arial" w:cs="Arial" w:eastAsia="Arial" w:hAnsi="Arial"/>
                <w:sz w:val="14"/>
                <w:szCs w:val="14"/>
                <w:color w:val="auto"/>
              </w:rPr>
              <w:t>Theatre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Third St Promenade</w:t>
            </w:r>
          </w:p>
        </w:tc>
        <w:tc>
          <w:tcPr>
            <w:tcW w:w="2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Los Angeles-Long</w:t>
            </w:r>
          </w:p>
        </w:tc>
        <w:tc>
          <w:tcPr>
            <w:tcW w:w="10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1996-2000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78,288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211,000</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J. Crew / Banana Republic / Old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Beach, CA</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Navy / Abercrombie &amp; Fitch</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tcPr>
          <w:p>
            <w:pPr>
              <w:spacing w:after="0" w:line="138" w:lineRule="exact"/>
              <w:rPr>
                <w:sz w:val="20"/>
                <w:szCs w:val="20"/>
                <w:color w:val="auto"/>
              </w:rPr>
            </w:pPr>
            <w:r>
              <w:rPr>
                <w:rFonts w:ascii="Arial" w:cs="Arial" w:eastAsia="Arial" w:hAnsi="Arial"/>
                <w:sz w:val="14"/>
                <w:szCs w:val="14"/>
                <w:color w:val="auto"/>
              </w:rPr>
              <w:t>Westgate</w:t>
            </w:r>
          </w:p>
        </w:tc>
        <w:tc>
          <w:tcPr>
            <w:tcW w:w="28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rPr>
              <w:t>San Jose, CA</w:t>
            </w:r>
          </w:p>
        </w:tc>
        <w:tc>
          <w:tcPr>
            <w:tcW w:w="10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2004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116,315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645,000</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95%</w:t>
            </w: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38,000</w:t>
            </w:r>
          </w:p>
        </w:tc>
        <w:tc>
          <w:tcPr>
            <w:tcW w:w="800" w:type="dxa"/>
            <w:vAlign w:val="bottom"/>
          </w:tcPr>
          <w:p>
            <w:pPr>
              <w:spacing w:after="0" w:line="138" w:lineRule="exact"/>
              <w:rPr>
                <w:sz w:val="20"/>
                <w:szCs w:val="20"/>
                <w:color w:val="auto"/>
              </w:rPr>
            </w:pPr>
            <w:r>
              <w:rPr>
                <w:rFonts w:ascii="Arial" w:cs="Arial" w:eastAsia="Arial" w:hAnsi="Arial"/>
                <w:sz w:val="14"/>
                <w:szCs w:val="14"/>
                <w:color w:val="auto"/>
              </w:rPr>
              <w:t>Safeway</w:t>
            </w:r>
          </w:p>
        </w:tc>
        <w:tc>
          <w:tcPr>
            <w:tcW w:w="6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88"/>
              </w:rPr>
              <w:t>Target / Burlington Coat Factory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tcPr>
          <w:p>
            <w:pPr>
              <w:spacing w:after="0" w:line="159" w:lineRule="exact"/>
              <w:rPr>
                <w:sz w:val="20"/>
                <w:szCs w:val="20"/>
                <w:color w:val="auto"/>
              </w:rPr>
            </w:pPr>
            <w:r>
              <w:rPr>
                <w:rFonts w:ascii="Arial" w:cs="Arial" w:eastAsia="Arial" w:hAnsi="Arial"/>
                <w:sz w:val="14"/>
                <w:szCs w:val="14"/>
                <w:color w:val="auto"/>
              </w:rPr>
              <w:t>Barnes &amp; Noble / 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150 Post Street</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Francisco, CA</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Brooks Brothers / H &amp; 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rPr>
              <w:t>Total California</w:t>
            </w: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972,467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2,457,000</w:t>
            </w:r>
          </w:p>
        </w:tc>
        <w:tc>
          <w:tcPr>
            <w:tcW w:w="60" w:type="dxa"/>
            <w:vAlign w:val="bottom"/>
          </w:tcPr>
          <w:p>
            <w:pPr>
              <w:spacing w:after="0"/>
              <w:rPr>
                <w:sz w:val="13"/>
                <w:szCs w:val="13"/>
                <w:color w:val="auto"/>
              </w:rPr>
            </w:pP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95%</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6"/>
              </w:rPr>
              <w:t>New York / New Jersey</w:t>
            </w:r>
          </w:p>
        </w:tc>
        <w:tc>
          <w:tcPr>
            <w:tcW w:w="520" w:type="dxa"/>
            <w:vAlign w:val="bottom"/>
            <w:tcBorders>
              <w:bottom w:val="single" w:sz="8" w:color="CCEEFF"/>
            </w:tcBorders>
            <w:gridSpan w:val="3"/>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60" w:type="dxa"/>
            <w:vAlign w:val="bottom"/>
            <w:gridSpan w:val="7"/>
          </w:tcPr>
          <w:p>
            <w:pPr>
              <w:spacing w:after="0" w:line="131" w:lineRule="exact"/>
              <w:rPr>
                <w:sz w:val="20"/>
                <w:szCs w:val="20"/>
                <w:color w:val="auto"/>
              </w:rPr>
            </w:pPr>
            <w:r>
              <w:rPr>
                <w:rFonts w:ascii="Arial" w:cs="Arial" w:eastAsia="Arial" w:hAnsi="Arial"/>
                <w:sz w:val="14"/>
                <w:szCs w:val="14"/>
                <w:color w:val="auto"/>
              </w:rPr>
              <w:t>Brick Plaza</w:t>
            </w:r>
          </w:p>
        </w:tc>
        <w:tc>
          <w:tcPr>
            <w:tcW w:w="280" w:type="dxa"/>
            <w:vAlign w:val="bottom"/>
          </w:tcPr>
          <w:p>
            <w:pPr>
              <w:spacing w:after="0"/>
              <w:rPr>
                <w:sz w:val="11"/>
                <w:szCs w:val="11"/>
                <w:color w:val="auto"/>
              </w:rPr>
            </w:pPr>
          </w:p>
        </w:tc>
        <w:tc>
          <w:tcPr>
            <w:tcW w:w="1660" w:type="dxa"/>
            <w:vAlign w:val="bottom"/>
          </w:tcPr>
          <w:p>
            <w:pPr>
              <w:spacing w:after="0" w:line="131" w:lineRule="exact"/>
              <w:rPr>
                <w:sz w:val="20"/>
                <w:szCs w:val="20"/>
                <w:color w:val="auto"/>
              </w:rPr>
            </w:pPr>
            <w:r>
              <w:rPr>
                <w:rFonts w:ascii="Arial" w:cs="Arial" w:eastAsia="Arial" w:hAnsi="Arial"/>
                <w:sz w:val="14"/>
                <w:szCs w:val="14"/>
                <w:color w:val="auto"/>
              </w:rPr>
              <w:t>Monmouth-Ocean, NJ</w:t>
            </w:r>
          </w:p>
        </w:tc>
        <w:tc>
          <w:tcPr>
            <w:tcW w:w="1020" w:type="dxa"/>
            <w:vAlign w:val="bottom"/>
            <w:gridSpan w:val="3"/>
          </w:tcPr>
          <w:p>
            <w:pPr>
              <w:jc w:val="right"/>
              <w:ind w:right="40"/>
              <w:spacing w:after="0" w:line="131" w:lineRule="exact"/>
              <w:rPr>
                <w:sz w:val="20"/>
                <w:szCs w:val="20"/>
                <w:color w:val="auto"/>
              </w:rPr>
            </w:pPr>
            <w:r>
              <w:rPr>
                <w:rFonts w:ascii="Arial" w:cs="Arial" w:eastAsia="Arial" w:hAnsi="Arial"/>
                <w:sz w:val="14"/>
                <w:szCs w:val="14"/>
                <w:color w:val="auto"/>
              </w:rPr>
              <w:t>1989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4"/>
                <w:szCs w:val="14"/>
                <w:color w:val="auto"/>
              </w:rPr>
              <w:t>56,721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4"/>
                <w:szCs w:val="14"/>
                <w:color w:val="auto"/>
              </w:rPr>
              <w:t>30,348</w:t>
            </w:r>
          </w:p>
        </w:tc>
        <w:tc>
          <w:tcPr>
            <w:tcW w:w="20" w:type="dxa"/>
            <w:vAlign w:val="bottom"/>
          </w:tcPr>
          <w:p>
            <w:pPr>
              <w:spacing w:after="0"/>
              <w:rPr>
                <w:sz w:val="11"/>
                <w:szCs w:val="11"/>
                <w:color w:val="auto"/>
              </w:rPr>
            </w:pPr>
          </w:p>
        </w:tc>
        <w:tc>
          <w:tcPr>
            <w:tcW w:w="5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409,000</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1" w:lineRule="exact"/>
              <w:rPr>
                <w:sz w:val="20"/>
                <w:szCs w:val="20"/>
                <w:color w:val="auto"/>
              </w:rPr>
            </w:pPr>
            <w:r>
              <w:rPr>
                <w:rFonts w:ascii="Arial" w:cs="Arial" w:eastAsia="Arial" w:hAnsi="Arial"/>
                <w:sz w:val="14"/>
                <w:szCs w:val="14"/>
                <w:color w:val="auto"/>
              </w:rPr>
              <w:t>100%</w:t>
            </w:r>
          </w:p>
        </w:tc>
        <w:tc>
          <w:tcPr>
            <w:tcW w:w="580" w:type="dxa"/>
            <w:vAlign w:val="bottom"/>
            <w:gridSpan w:val="2"/>
          </w:tcPr>
          <w:p>
            <w:pPr>
              <w:jc w:val="right"/>
              <w:ind w:right="100"/>
              <w:spacing w:after="0" w:line="131" w:lineRule="exact"/>
              <w:rPr>
                <w:sz w:val="20"/>
                <w:szCs w:val="20"/>
                <w:color w:val="auto"/>
              </w:rPr>
            </w:pPr>
            <w:r>
              <w:rPr>
                <w:rFonts w:ascii="Arial" w:cs="Arial" w:eastAsia="Arial" w:hAnsi="Arial"/>
                <w:sz w:val="14"/>
                <w:szCs w:val="14"/>
                <w:color w:val="auto"/>
              </w:rPr>
              <w:t>66,000</w:t>
            </w:r>
          </w:p>
        </w:tc>
        <w:tc>
          <w:tcPr>
            <w:tcW w:w="800" w:type="dxa"/>
            <w:vAlign w:val="bottom"/>
          </w:tcPr>
          <w:p>
            <w:pPr>
              <w:spacing w:after="0" w:line="131" w:lineRule="exact"/>
              <w:rPr>
                <w:sz w:val="20"/>
                <w:szCs w:val="20"/>
                <w:color w:val="auto"/>
              </w:rPr>
            </w:pPr>
            <w:r>
              <w:rPr>
                <w:rFonts w:ascii="Arial" w:cs="Arial" w:eastAsia="Arial" w:hAnsi="Arial"/>
                <w:sz w:val="14"/>
                <w:szCs w:val="14"/>
                <w:color w:val="auto"/>
              </w:rPr>
              <w:t>A&amp;P</w:t>
            </w:r>
          </w:p>
        </w:tc>
        <w:tc>
          <w:tcPr>
            <w:tcW w:w="60" w:type="dxa"/>
            <w:vAlign w:val="bottom"/>
          </w:tcPr>
          <w:p>
            <w:pPr>
              <w:spacing w:after="0"/>
              <w:rPr>
                <w:sz w:val="11"/>
                <w:szCs w:val="11"/>
                <w:color w:val="auto"/>
              </w:rPr>
            </w:pPr>
          </w:p>
        </w:tc>
        <w:tc>
          <w:tcPr>
            <w:tcW w:w="1860" w:type="dxa"/>
            <w:vAlign w:val="bottom"/>
          </w:tcPr>
          <w:p>
            <w:pPr>
              <w:spacing w:after="0" w:line="131" w:lineRule="exact"/>
              <w:rPr>
                <w:sz w:val="20"/>
                <w:szCs w:val="20"/>
                <w:color w:val="auto"/>
              </w:rPr>
            </w:pPr>
            <w:r>
              <w:rPr>
                <w:rFonts w:ascii="Arial" w:cs="Arial" w:eastAsia="Arial" w:hAnsi="Arial"/>
                <w:sz w:val="14"/>
                <w:szCs w:val="14"/>
                <w:color w:val="auto"/>
                <w:w w:val="95"/>
              </w:rPr>
              <w:t>AMC Loews / Barnes &amp; Noble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tcPr>
          <w:p>
            <w:pPr>
              <w:spacing w:after="0" w:line="159" w:lineRule="exact"/>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Forest Hills</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York, NY</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Midway Theatre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Fresh Meadows</w:t>
            </w:r>
          </w:p>
        </w:tc>
        <w:tc>
          <w:tcPr>
            <w:tcW w:w="28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New York, NY</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69,125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403,000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w:t>
            </w:r>
          </w:p>
        </w:tc>
        <w:tc>
          <w:tcPr>
            <w:tcW w:w="800" w:type="dxa"/>
            <w:vAlign w:val="bottom"/>
          </w:tcPr>
          <w:p>
            <w:pPr>
              <w:spacing w:after="0" w:line="149" w:lineRule="exact"/>
              <w:rPr>
                <w:sz w:val="20"/>
                <w:szCs w:val="20"/>
                <w:color w:val="auto"/>
              </w:rPr>
            </w:pPr>
            <w:r>
              <w:rPr>
                <w:rFonts w:ascii="Arial" w:cs="Arial" w:eastAsia="Arial" w:hAnsi="Arial"/>
                <w:sz w:val="14"/>
                <w:szCs w:val="14"/>
                <w:color w:val="auto"/>
                <w:w w:val="90"/>
              </w:rPr>
              <w:t>Island of Gold</w:t>
            </w:r>
          </w:p>
        </w:tc>
        <w:tc>
          <w:tcPr>
            <w:tcW w:w="6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Kohl’s / AMC Loews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Hauppauge</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Nassau-Suffolk, NY</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27,844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15,460</w:t>
            </w: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61,000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Shop Rite</w:t>
            </w: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tcPr>
          <w:p>
            <w:pPr>
              <w:spacing w:after="0" w:line="138" w:lineRule="exact"/>
              <w:rPr>
                <w:sz w:val="20"/>
                <w:szCs w:val="20"/>
                <w:color w:val="auto"/>
              </w:rPr>
            </w:pPr>
            <w:r>
              <w:rPr>
                <w:rFonts w:ascii="Arial" w:cs="Arial" w:eastAsia="Arial" w:hAnsi="Arial"/>
                <w:sz w:val="14"/>
                <w:szCs w:val="14"/>
                <w:color w:val="auto"/>
              </w:rPr>
              <w:t>Huntington</w:t>
            </w:r>
          </w:p>
        </w:tc>
        <w:tc>
          <w:tcPr>
            <w:tcW w:w="28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rPr>
              <w:t>Nassau-Suffolk, NY</w:t>
            </w:r>
          </w:p>
        </w:tc>
        <w:tc>
          <w:tcPr>
            <w:tcW w:w="10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1988/2007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38,658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292,000</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89"/>
              </w:rPr>
              <w:t>Buy Buy Baby / Toys R Us / Bed,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tcPr>
          <w:p>
            <w:pPr>
              <w:spacing w:after="0" w:line="159" w:lineRule="exact"/>
              <w:rPr>
                <w:sz w:val="20"/>
                <w:szCs w:val="20"/>
                <w:color w:val="auto"/>
              </w:rPr>
            </w:pPr>
            <w:r>
              <w:rPr>
                <w:rFonts w:ascii="Arial" w:cs="Arial" w:eastAsia="Arial" w:hAnsi="Arial"/>
                <w:sz w:val="14"/>
                <w:szCs w:val="14"/>
                <w:color w:val="auto"/>
                <w:w w:val="90"/>
              </w:rPr>
              <w:t>Bath &amp; Beyond / Barnes &amp; Noble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Melville Mall</w:t>
            </w:r>
          </w:p>
        </w:tc>
        <w:tc>
          <w:tcPr>
            <w:tcW w:w="2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Nassau-Suffolk, NY</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24,124</w:t>
            </w: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54,000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Waldbaum’s</w:t>
            </w: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Kohl’s / 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tcPr>
          <w:p>
            <w:pPr>
              <w:spacing w:after="0" w:line="138" w:lineRule="exact"/>
              <w:rPr>
                <w:sz w:val="20"/>
                <w:szCs w:val="20"/>
                <w:color w:val="auto"/>
              </w:rPr>
            </w:pPr>
            <w:r>
              <w:rPr>
                <w:rFonts w:ascii="Arial" w:cs="Arial" w:eastAsia="Arial" w:hAnsi="Arial"/>
                <w:sz w:val="14"/>
                <w:szCs w:val="14"/>
                <w:color w:val="auto"/>
              </w:rPr>
              <w:t>Mercer Mall</w:t>
            </w:r>
          </w:p>
        </w:tc>
        <w:tc>
          <w:tcPr>
            <w:tcW w:w="2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(4)</w:t>
            </w:r>
          </w:p>
        </w:tc>
        <w:tc>
          <w:tcPr>
            <w:tcW w:w="1660" w:type="dxa"/>
            <w:vAlign w:val="bottom"/>
          </w:tcPr>
          <w:p>
            <w:pPr>
              <w:spacing w:after="0" w:line="138" w:lineRule="exact"/>
              <w:rPr>
                <w:sz w:val="20"/>
                <w:szCs w:val="20"/>
                <w:color w:val="auto"/>
              </w:rPr>
            </w:pPr>
            <w:r>
              <w:rPr>
                <w:rFonts w:ascii="Arial" w:cs="Arial" w:eastAsia="Arial" w:hAnsi="Arial"/>
                <w:sz w:val="14"/>
                <w:szCs w:val="14"/>
                <w:color w:val="auto"/>
              </w:rPr>
              <w:t>Trenton, NJ</w:t>
            </w:r>
          </w:p>
        </w:tc>
        <w:tc>
          <w:tcPr>
            <w:tcW w:w="10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2003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103,836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50,681</w:t>
            </w:r>
          </w:p>
        </w:tc>
        <w:tc>
          <w:tcPr>
            <w:tcW w:w="2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501,000</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93%</w:t>
            </w: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75,000</w:t>
            </w:r>
          </w:p>
        </w:tc>
        <w:tc>
          <w:tcPr>
            <w:tcW w:w="800" w:type="dxa"/>
            <w:vAlign w:val="bottom"/>
          </w:tcPr>
          <w:p>
            <w:pPr>
              <w:spacing w:after="0" w:line="138" w:lineRule="exact"/>
              <w:rPr>
                <w:sz w:val="20"/>
                <w:szCs w:val="20"/>
                <w:color w:val="auto"/>
              </w:rPr>
            </w:pPr>
            <w:r>
              <w:rPr>
                <w:rFonts w:ascii="Arial" w:cs="Arial" w:eastAsia="Arial" w:hAnsi="Arial"/>
                <w:sz w:val="14"/>
                <w:szCs w:val="14"/>
                <w:color w:val="auto"/>
              </w:rPr>
              <w:t>Shop Rite</w:t>
            </w:r>
          </w:p>
        </w:tc>
        <w:tc>
          <w:tcPr>
            <w:tcW w:w="6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3"/>
              </w:rPr>
              <w:t>Bed, Bath &amp; Beyond / DSW / TJ</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tcPr>
          <w:p>
            <w:pPr>
              <w:spacing w:after="0" w:line="159" w:lineRule="exact"/>
              <w:rPr>
                <w:sz w:val="20"/>
                <w:szCs w:val="20"/>
                <w:color w:val="auto"/>
              </w:rPr>
            </w:pPr>
            <w:r>
              <w:rPr>
                <w:rFonts w:ascii="Arial" w:cs="Arial" w:eastAsia="Arial" w:hAnsi="Arial"/>
                <w:sz w:val="14"/>
                <w:szCs w:val="14"/>
                <w:color w:val="auto"/>
              </w:rPr>
              <w:t>Maxx / Raymour &amp; Flanigan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Troy</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Newark, NJ</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64,000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Pathmark</w:t>
            </w:r>
          </w:p>
        </w:tc>
        <w:tc>
          <w:tcPr>
            <w:tcW w:w="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86"/>
              </w:rPr>
              <w:t>Total New York / New Jersey</w:t>
            </w: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397,656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3"/>
              </w:rPr>
              <w:t>2,239,000</w:t>
            </w:r>
          </w:p>
        </w:tc>
        <w:tc>
          <w:tcPr>
            <w:tcW w:w="6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97%</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1">
            <w:col w:w="11420"/>
          </w:cols>
          <w:pgMar w:left="240" w:top="274" w:right="239" w:bottom="468" w:gutter="0" w:footer="0" w:header="0"/>
        </w:sect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74" w:right="239" w:bottom="468"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2"/>
              <w:spacing w:after="0"/>
              <w:rPr>
                <w:sz w:val="20"/>
                <w:szCs w:val="20"/>
                <w:color w:val="auto"/>
              </w:rPr>
            </w:pPr>
            <w:r>
              <w:rPr>
                <w:rFonts w:ascii="Arial" w:cs="Arial" w:eastAsia="Arial" w:hAnsi="Arial"/>
                <w:sz w:val="14"/>
                <w:szCs w:val="14"/>
                <w:b w:val="1"/>
                <w:bCs w:val="1"/>
                <w:color w:val="auto"/>
                <w:w w:val="88"/>
              </w:rPr>
              <w:t>Mortgage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Year</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Real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and/or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Grocery</w:t>
            </w:r>
          </w:p>
        </w:tc>
        <w:tc>
          <w:tcPr>
            <w:tcW w:w="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Grocery</w:t>
            </w: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6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5"/>
              </w:rPr>
              <w:t>Estate</w:t>
            </w:r>
          </w:p>
        </w:tc>
        <w:tc>
          <w:tcPr>
            <w:tcW w:w="6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6"/>
              </w:rPr>
              <w:t>Capital Lease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5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7"/>
              </w:rPr>
              <w:t>Anchor</w:t>
            </w:r>
          </w:p>
        </w:tc>
        <w:tc>
          <w:tcPr>
            <w:tcW w:w="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80" w:type="dxa"/>
            <w:vAlign w:val="bottom"/>
            <w:gridSpan w:val="8"/>
          </w:tcPr>
          <w:p>
            <w:pPr>
              <w:spacing w:after="0"/>
              <w:rPr>
                <w:sz w:val="20"/>
                <w:szCs w:val="20"/>
                <w:color w:val="auto"/>
              </w:rPr>
            </w:pPr>
            <w:r>
              <w:rPr>
                <w:rFonts w:ascii="Arial" w:cs="Arial" w:eastAsia="Arial" w:hAnsi="Arial"/>
                <w:sz w:val="14"/>
                <w:szCs w:val="14"/>
                <w:b w:val="1"/>
                <w:bCs w:val="1"/>
                <w:color w:val="auto"/>
              </w:rPr>
              <w:t>Property Name</w:t>
            </w:r>
          </w:p>
        </w:tc>
        <w:tc>
          <w:tcPr>
            <w:tcW w:w="480" w:type="dxa"/>
            <w:vAlign w:val="bottom"/>
          </w:tcPr>
          <w:p>
            <w:pPr>
              <w:spacing w:after="0"/>
              <w:rPr>
                <w:sz w:val="15"/>
                <w:szCs w:val="15"/>
                <w:color w:val="auto"/>
              </w:rPr>
            </w:pPr>
          </w:p>
        </w:tc>
        <w:tc>
          <w:tcPr>
            <w:tcW w:w="1680" w:type="dxa"/>
            <w:vAlign w:val="bottom"/>
          </w:tcPr>
          <w:p>
            <w:pPr>
              <w:ind w:left="340"/>
              <w:spacing w:after="0"/>
              <w:rPr>
                <w:sz w:val="20"/>
                <w:szCs w:val="20"/>
                <w:color w:val="auto"/>
              </w:rPr>
            </w:pPr>
            <w:r>
              <w:rPr>
                <w:rFonts w:ascii="Arial" w:cs="Arial" w:eastAsia="Arial" w:hAnsi="Arial"/>
                <w:sz w:val="14"/>
                <w:szCs w:val="14"/>
                <w:b w:val="1"/>
                <w:bCs w:val="1"/>
                <w:color w:val="auto"/>
              </w:rPr>
              <w:t>MSA Description</w:t>
            </w:r>
          </w:p>
        </w:tc>
        <w:tc>
          <w:tcPr>
            <w:tcW w:w="12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Acquired</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at Cost</w:t>
            </w:r>
          </w:p>
        </w:tc>
        <w:tc>
          <w:tcPr>
            <w:tcW w:w="6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Obligation (1)</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GLA (2)</w:t>
            </w:r>
          </w:p>
        </w:tc>
        <w:tc>
          <w:tcPr>
            <w:tcW w:w="7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Leased</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GLA (3)</w:t>
            </w:r>
          </w:p>
        </w:tc>
        <w:tc>
          <w:tcPr>
            <w:tcW w:w="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Anchor (3)</w:t>
            </w:r>
          </w:p>
        </w:tc>
        <w:tc>
          <w:tcPr>
            <w:tcW w:w="100" w:type="dxa"/>
            <w:vAlign w:val="bottom"/>
          </w:tcPr>
          <w:p>
            <w:pPr>
              <w:spacing w:after="0"/>
              <w:rPr>
                <w:sz w:val="15"/>
                <w:szCs w:val="15"/>
                <w:color w:val="auto"/>
              </w:rPr>
            </w:pPr>
          </w:p>
        </w:tc>
        <w:tc>
          <w:tcPr>
            <w:tcW w:w="1660" w:type="dxa"/>
            <w:vAlign w:val="bottom"/>
          </w:tcPr>
          <w:p>
            <w:pPr>
              <w:ind w:left="140"/>
              <w:spacing w:after="0"/>
              <w:rPr>
                <w:sz w:val="20"/>
                <w:szCs w:val="20"/>
                <w:color w:val="auto"/>
              </w:rPr>
            </w:pPr>
            <w:r>
              <w:rPr>
                <w:rFonts w:ascii="Arial" w:cs="Arial" w:eastAsia="Arial" w:hAnsi="Arial"/>
                <w:sz w:val="14"/>
                <w:szCs w:val="14"/>
                <w:b w:val="1"/>
                <w:bCs w:val="1"/>
                <w:color w:val="auto"/>
                <w:w w:val="94"/>
              </w:rPr>
              <w:t>Other Principal Tenants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60" w:type="dxa"/>
            <w:vAlign w:val="bottom"/>
            <w:gridSpan w:val="6"/>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New England</w:t>
            </w:r>
          </w:p>
        </w:tc>
        <w:tc>
          <w:tcPr>
            <w:tcW w:w="4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60" w:type="dxa"/>
            <w:vAlign w:val="bottom"/>
            <w:gridSpan w:val="7"/>
          </w:tcPr>
          <w:p>
            <w:pPr>
              <w:spacing w:after="0" w:line="131" w:lineRule="exact"/>
              <w:rPr>
                <w:sz w:val="20"/>
                <w:szCs w:val="20"/>
                <w:color w:val="auto"/>
              </w:rPr>
            </w:pPr>
            <w:r>
              <w:rPr>
                <w:rFonts w:ascii="Arial" w:cs="Arial" w:eastAsia="Arial" w:hAnsi="Arial"/>
                <w:sz w:val="14"/>
                <w:szCs w:val="14"/>
                <w:color w:val="auto"/>
              </w:rPr>
              <w:t>Assembly Square</w:t>
            </w:r>
          </w:p>
        </w:tc>
        <w:tc>
          <w:tcPr>
            <w:tcW w:w="480" w:type="dxa"/>
            <w:vAlign w:val="bottom"/>
          </w:tcPr>
          <w:p>
            <w:pPr>
              <w:spacing w:after="0"/>
              <w:rPr>
                <w:sz w:val="11"/>
                <w:szCs w:val="11"/>
                <w:color w:val="auto"/>
              </w:rPr>
            </w:pPr>
          </w:p>
        </w:tc>
        <w:tc>
          <w:tcPr>
            <w:tcW w:w="1680" w:type="dxa"/>
            <w:vAlign w:val="bottom"/>
          </w:tcPr>
          <w:p>
            <w:pPr>
              <w:spacing w:after="0" w:line="131" w:lineRule="exact"/>
              <w:rPr>
                <w:sz w:val="20"/>
                <w:szCs w:val="20"/>
                <w:color w:val="auto"/>
              </w:rPr>
            </w:pPr>
            <w:r>
              <w:rPr>
                <w:rFonts w:ascii="Arial" w:cs="Arial" w:eastAsia="Arial" w:hAnsi="Arial"/>
                <w:sz w:val="14"/>
                <w:szCs w:val="14"/>
                <w:color w:val="auto"/>
                <w:w w:val="98"/>
              </w:rPr>
              <w:t>Boston-Cambridge-Quincy,</w:t>
            </w:r>
          </w:p>
        </w:tc>
        <w:tc>
          <w:tcPr>
            <w:tcW w:w="880" w:type="dxa"/>
            <w:vAlign w:val="bottom"/>
            <w:gridSpan w:val="3"/>
          </w:tcPr>
          <w:p>
            <w:pPr>
              <w:jc w:val="right"/>
              <w:ind w:right="100"/>
              <w:spacing w:after="0" w:line="131" w:lineRule="exact"/>
              <w:rPr>
                <w:sz w:val="20"/>
                <w:szCs w:val="20"/>
                <w:color w:val="auto"/>
              </w:rPr>
            </w:pPr>
            <w:r>
              <w:rPr>
                <w:rFonts w:ascii="Arial" w:cs="Arial" w:eastAsia="Arial" w:hAnsi="Arial"/>
                <w:sz w:val="14"/>
                <w:szCs w:val="14"/>
                <w:color w:val="auto"/>
              </w:rPr>
              <w:t>2005-2008</w:t>
            </w:r>
          </w:p>
        </w:tc>
        <w:tc>
          <w:tcPr>
            <w:tcW w:w="620" w:type="dxa"/>
            <w:vAlign w:val="bottom"/>
          </w:tcPr>
          <w:p>
            <w:pPr>
              <w:jc w:val="right"/>
              <w:spacing w:after="0" w:line="131" w:lineRule="exact"/>
              <w:rPr>
                <w:sz w:val="20"/>
                <w:szCs w:val="20"/>
                <w:color w:val="auto"/>
              </w:rPr>
            </w:pPr>
            <w:r>
              <w:rPr>
                <w:rFonts w:ascii="Arial" w:cs="Arial" w:eastAsia="Arial" w:hAnsi="Arial"/>
                <w:sz w:val="14"/>
                <w:szCs w:val="14"/>
                <w:color w:val="auto"/>
              </w:rPr>
              <w:t>147,586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3"/>
          </w:tcPr>
          <w:p>
            <w:pPr>
              <w:jc w:val="right"/>
              <w:ind w:right="60"/>
              <w:spacing w:after="0" w:line="131" w:lineRule="exact"/>
              <w:rPr>
                <w:sz w:val="20"/>
                <w:szCs w:val="20"/>
                <w:color w:val="auto"/>
              </w:rPr>
            </w:pPr>
            <w:r>
              <w:rPr>
                <w:rFonts w:ascii="Arial" w:cs="Arial" w:eastAsia="Arial" w:hAnsi="Arial"/>
                <w:sz w:val="14"/>
                <w:szCs w:val="14"/>
                <w:color w:val="auto"/>
              </w:rPr>
              <w:t>332,000</w:t>
            </w:r>
          </w:p>
        </w:tc>
        <w:tc>
          <w:tcPr>
            <w:tcW w:w="740" w:type="dxa"/>
            <w:vAlign w:val="bottom"/>
            <w:gridSpan w:val="3"/>
          </w:tcPr>
          <w:p>
            <w:pPr>
              <w:jc w:val="right"/>
              <w:ind w:right="160"/>
              <w:spacing w:after="0" w:line="131" w:lineRule="exact"/>
              <w:rPr>
                <w:sz w:val="20"/>
                <w:szCs w:val="20"/>
                <w:color w:val="auto"/>
              </w:rPr>
            </w:pPr>
            <w:r>
              <w:rPr>
                <w:rFonts w:ascii="Arial" w:cs="Arial" w:eastAsia="Arial" w:hAnsi="Arial"/>
                <w:sz w:val="14"/>
                <w:szCs w:val="14"/>
                <w:color w:val="auto"/>
              </w:rPr>
              <w:t>100%</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60" w:type="dxa"/>
            <w:vAlign w:val="bottom"/>
            <w:gridSpan w:val="2"/>
          </w:tcPr>
          <w:p>
            <w:pPr>
              <w:ind w:left="100"/>
              <w:spacing w:after="0" w:line="131" w:lineRule="exact"/>
              <w:rPr>
                <w:sz w:val="20"/>
                <w:szCs w:val="20"/>
                <w:color w:val="auto"/>
              </w:rPr>
            </w:pPr>
            <w:r>
              <w:rPr>
                <w:rFonts w:ascii="Arial" w:cs="Arial" w:eastAsia="Arial" w:hAnsi="Arial"/>
                <w:sz w:val="14"/>
                <w:szCs w:val="14"/>
                <w:color w:val="auto"/>
              </w:rPr>
              <w:t>AC Moore / Bed, Bath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tcPr>
          <w:p>
            <w:pPr>
              <w:spacing w:after="0" w:line="149" w:lineRule="exact"/>
              <w:rPr>
                <w:sz w:val="20"/>
                <w:szCs w:val="20"/>
                <w:color w:val="auto"/>
              </w:rPr>
            </w:pPr>
            <w:r>
              <w:rPr>
                <w:rFonts w:ascii="Arial" w:cs="Arial" w:eastAsia="Arial" w:hAnsi="Arial"/>
                <w:sz w:val="14"/>
                <w:szCs w:val="14"/>
                <w:color w:val="auto"/>
              </w:rPr>
              <w:t>MA-NH</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Beyond / Christmas Tree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Shops / Kmart / Staples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gridSpan w:val="2"/>
          </w:tcPr>
          <w:p>
            <w:pPr>
              <w:ind w:left="100"/>
              <w:spacing w:after="0" w:line="159" w:lineRule="exact"/>
              <w:rPr>
                <w:sz w:val="20"/>
                <w:szCs w:val="20"/>
                <w:color w:val="auto"/>
              </w:rPr>
            </w:pPr>
            <w:r>
              <w:rPr>
                <w:rFonts w:ascii="Arial" w:cs="Arial" w:eastAsia="Arial" w:hAnsi="Arial"/>
                <w:sz w:val="14"/>
                <w:szCs w:val="14"/>
                <w:color w:val="auto"/>
                <w:w w:val="99"/>
              </w:rPr>
              <w:t>Sports Authority / 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Chelsea Commons</w:t>
            </w:r>
          </w:p>
        </w:tc>
        <w:tc>
          <w:tcPr>
            <w:tcW w:w="4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Boston-Cambridge-Quincy,</w:t>
            </w:r>
          </w:p>
        </w:tc>
        <w:tc>
          <w:tcPr>
            <w:tcW w:w="8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2006-2008</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29,073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8,025</w:t>
            </w:r>
          </w:p>
        </w:tc>
        <w:tc>
          <w:tcPr>
            <w:tcW w:w="7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222,000</w:t>
            </w:r>
          </w:p>
        </w:tc>
        <w:tc>
          <w:tcPr>
            <w:tcW w:w="7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91%</w:t>
            </w:r>
          </w:p>
        </w:tc>
        <w:tc>
          <w:tcPr>
            <w:tcW w:w="54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16,000</w:t>
            </w:r>
          </w:p>
        </w:tc>
        <w:tc>
          <w:tcPr>
            <w:tcW w:w="9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Sav-A-Lot</w:t>
            </w:r>
          </w:p>
        </w:tc>
        <w:tc>
          <w:tcPr>
            <w:tcW w:w="17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MA-NH</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tcPr>
          <w:p>
            <w:pPr>
              <w:spacing w:after="0" w:line="138" w:lineRule="exact"/>
              <w:rPr>
                <w:sz w:val="20"/>
                <w:szCs w:val="20"/>
                <w:color w:val="auto"/>
              </w:rPr>
            </w:pPr>
            <w:r>
              <w:rPr>
                <w:rFonts w:ascii="Arial" w:cs="Arial" w:eastAsia="Arial" w:hAnsi="Arial"/>
                <w:sz w:val="14"/>
                <w:szCs w:val="14"/>
                <w:color w:val="auto"/>
              </w:rPr>
              <w:t>Dedham Plaza</w:t>
            </w:r>
          </w:p>
        </w:tc>
        <w:tc>
          <w:tcPr>
            <w:tcW w:w="480" w:type="dxa"/>
            <w:vAlign w:val="bottom"/>
          </w:tcPr>
          <w:p>
            <w:pPr>
              <w:spacing w:after="0"/>
              <w:rPr>
                <w:sz w:val="11"/>
                <w:szCs w:val="11"/>
                <w:color w:val="auto"/>
              </w:rPr>
            </w:pPr>
          </w:p>
        </w:tc>
        <w:tc>
          <w:tcPr>
            <w:tcW w:w="1680" w:type="dxa"/>
            <w:vAlign w:val="bottom"/>
          </w:tcPr>
          <w:p>
            <w:pPr>
              <w:spacing w:after="0" w:line="138" w:lineRule="exact"/>
              <w:rPr>
                <w:sz w:val="20"/>
                <w:szCs w:val="20"/>
                <w:color w:val="auto"/>
              </w:rPr>
            </w:pPr>
            <w:r>
              <w:rPr>
                <w:rFonts w:ascii="Arial" w:cs="Arial" w:eastAsia="Arial" w:hAnsi="Arial"/>
                <w:sz w:val="14"/>
                <w:szCs w:val="14"/>
                <w:color w:val="auto"/>
                <w:w w:val="98"/>
              </w:rPr>
              <w:t>Boston-Cambridge-Quincy,</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1993</w:t>
            </w:r>
          </w:p>
        </w:tc>
        <w:tc>
          <w:tcPr>
            <w:tcW w:w="10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31,439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242,000</w:t>
            </w:r>
          </w:p>
        </w:tc>
        <w:tc>
          <w:tcPr>
            <w:tcW w:w="74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89%</w:t>
            </w:r>
          </w:p>
        </w:tc>
        <w:tc>
          <w:tcPr>
            <w:tcW w:w="5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80,000</w:t>
            </w:r>
          </w:p>
        </w:tc>
        <w:tc>
          <w:tcPr>
            <w:tcW w:w="9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Star Market</w:t>
            </w: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80" w:type="dxa"/>
            <w:vAlign w:val="bottom"/>
          </w:tcPr>
          <w:p>
            <w:pPr>
              <w:spacing w:after="0" w:line="159" w:lineRule="exact"/>
              <w:rPr>
                <w:sz w:val="20"/>
                <w:szCs w:val="20"/>
                <w:color w:val="auto"/>
              </w:rPr>
            </w:pPr>
            <w:r>
              <w:rPr>
                <w:rFonts w:ascii="Arial" w:cs="Arial" w:eastAsia="Arial" w:hAnsi="Arial"/>
                <w:sz w:val="14"/>
                <w:szCs w:val="14"/>
                <w:color w:val="auto"/>
              </w:rPr>
              <w:t>MA-NH</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Linden Square</w:t>
            </w:r>
          </w:p>
        </w:tc>
        <w:tc>
          <w:tcPr>
            <w:tcW w:w="4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Boston-Cambridge-Quincy,</w:t>
            </w:r>
          </w:p>
        </w:tc>
        <w:tc>
          <w:tcPr>
            <w:tcW w:w="8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2006-2007</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141,927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217,000</w:t>
            </w:r>
          </w:p>
        </w:tc>
        <w:tc>
          <w:tcPr>
            <w:tcW w:w="7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84%</w:t>
            </w:r>
          </w:p>
        </w:tc>
        <w:tc>
          <w:tcPr>
            <w:tcW w:w="54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50,000</w:t>
            </w:r>
          </w:p>
        </w:tc>
        <w:tc>
          <w:tcPr>
            <w:tcW w:w="9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w w:val="90"/>
              </w:rPr>
              <w:t>Roche Brothers</w:t>
            </w:r>
          </w:p>
        </w:tc>
        <w:tc>
          <w:tcPr>
            <w:tcW w:w="17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CVS / Fitness Club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MA-NH</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Supermarkets</w:t>
            </w:r>
          </w:p>
        </w:tc>
        <w:tc>
          <w:tcPr>
            <w:tcW w:w="17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Women / Wellesley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Volkswagen, Buick</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tcPr>
          <w:p>
            <w:pPr>
              <w:spacing w:after="0" w:line="138" w:lineRule="exact"/>
              <w:rPr>
                <w:sz w:val="20"/>
                <w:szCs w:val="20"/>
                <w:color w:val="auto"/>
              </w:rPr>
            </w:pPr>
            <w:r>
              <w:rPr>
                <w:rFonts w:ascii="Arial" w:cs="Arial" w:eastAsia="Arial" w:hAnsi="Arial"/>
                <w:sz w:val="14"/>
                <w:szCs w:val="14"/>
                <w:color w:val="auto"/>
              </w:rPr>
              <w:t>North Dartmouth</w:t>
            </w:r>
          </w:p>
        </w:tc>
        <w:tc>
          <w:tcPr>
            <w:tcW w:w="480" w:type="dxa"/>
            <w:vAlign w:val="bottom"/>
          </w:tcPr>
          <w:p>
            <w:pPr>
              <w:spacing w:after="0"/>
              <w:rPr>
                <w:sz w:val="11"/>
                <w:szCs w:val="11"/>
                <w:color w:val="auto"/>
              </w:rPr>
            </w:pPr>
          </w:p>
        </w:tc>
        <w:tc>
          <w:tcPr>
            <w:tcW w:w="1680" w:type="dxa"/>
            <w:vAlign w:val="bottom"/>
          </w:tcPr>
          <w:p>
            <w:pPr>
              <w:spacing w:after="0" w:line="138" w:lineRule="exact"/>
              <w:rPr>
                <w:sz w:val="20"/>
                <w:szCs w:val="20"/>
                <w:color w:val="auto"/>
              </w:rPr>
            </w:pPr>
            <w:r>
              <w:rPr>
                <w:rFonts w:ascii="Arial" w:cs="Arial" w:eastAsia="Arial" w:hAnsi="Arial"/>
                <w:sz w:val="14"/>
                <w:szCs w:val="14"/>
                <w:color w:val="auto"/>
                <w:w w:val="98"/>
              </w:rPr>
              <w:t>Boston-Cambridge-Quincy,</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9,368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48,000</w:t>
            </w:r>
          </w:p>
        </w:tc>
        <w:tc>
          <w:tcPr>
            <w:tcW w:w="74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48,000</w:t>
            </w:r>
          </w:p>
        </w:tc>
        <w:tc>
          <w:tcPr>
            <w:tcW w:w="9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Stop &amp; Shop</w:t>
            </w: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80" w:type="dxa"/>
            <w:vAlign w:val="bottom"/>
          </w:tcPr>
          <w:p>
            <w:pPr>
              <w:spacing w:after="0" w:line="159" w:lineRule="exact"/>
              <w:rPr>
                <w:sz w:val="20"/>
                <w:szCs w:val="20"/>
                <w:color w:val="auto"/>
              </w:rPr>
            </w:pPr>
            <w:r>
              <w:rPr>
                <w:rFonts w:ascii="Arial" w:cs="Arial" w:eastAsia="Arial" w:hAnsi="Arial"/>
                <w:sz w:val="14"/>
                <w:szCs w:val="14"/>
                <w:color w:val="auto"/>
              </w:rPr>
              <w:t>MA-NH</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Queen Anne Plaza</w:t>
            </w:r>
          </w:p>
        </w:tc>
        <w:tc>
          <w:tcPr>
            <w:tcW w:w="4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Boston-Cambridge-Quincy,</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15,659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149,000</w:t>
            </w:r>
          </w:p>
        </w:tc>
        <w:tc>
          <w:tcPr>
            <w:tcW w:w="7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50,000</w:t>
            </w:r>
          </w:p>
        </w:tc>
        <w:tc>
          <w:tcPr>
            <w:tcW w:w="9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Hannaford</w:t>
            </w:r>
          </w:p>
        </w:tc>
        <w:tc>
          <w:tcPr>
            <w:tcW w:w="17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MA-NH</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tcPr>
          <w:p>
            <w:pPr>
              <w:spacing w:after="0" w:line="138" w:lineRule="exact"/>
              <w:rPr>
                <w:sz w:val="20"/>
                <w:szCs w:val="20"/>
                <w:color w:val="auto"/>
              </w:rPr>
            </w:pPr>
            <w:r>
              <w:rPr>
                <w:rFonts w:ascii="Arial" w:cs="Arial" w:eastAsia="Arial" w:hAnsi="Arial"/>
                <w:sz w:val="14"/>
                <w:szCs w:val="14"/>
                <w:color w:val="auto"/>
              </w:rPr>
              <w:t>Saugus Plaza</w:t>
            </w:r>
          </w:p>
        </w:tc>
        <w:tc>
          <w:tcPr>
            <w:tcW w:w="480" w:type="dxa"/>
            <w:vAlign w:val="bottom"/>
          </w:tcPr>
          <w:p>
            <w:pPr>
              <w:spacing w:after="0"/>
              <w:rPr>
                <w:sz w:val="11"/>
                <w:szCs w:val="11"/>
                <w:color w:val="auto"/>
              </w:rPr>
            </w:pPr>
          </w:p>
        </w:tc>
        <w:tc>
          <w:tcPr>
            <w:tcW w:w="1680" w:type="dxa"/>
            <w:vAlign w:val="bottom"/>
          </w:tcPr>
          <w:p>
            <w:pPr>
              <w:spacing w:after="0" w:line="138" w:lineRule="exact"/>
              <w:rPr>
                <w:sz w:val="20"/>
                <w:szCs w:val="20"/>
                <w:color w:val="auto"/>
              </w:rPr>
            </w:pPr>
            <w:r>
              <w:rPr>
                <w:rFonts w:ascii="Arial" w:cs="Arial" w:eastAsia="Arial" w:hAnsi="Arial"/>
                <w:sz w:val="14"/>
                <w:szCs w:val="14"/>
                <w:color w:val="auto"/>
                <w:w w:val="98"/>
              </w:rPr>
              <w:t>Boston-Cambridge-Quincy,</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1996</w:t>
            </w:r>
          </w:p>
        </w:tc>
        <w:tc>
          <w:tcPr>
            <w:tcW w:w="10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13,701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171,000</w:t>
            </w:r>
          </w:p>
        </w:tc>
        <w:tc>
          <w:tcPr>
            <w:tcW w:w="74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94%</w:t>
            </w:r>
          </w:p>
        </w:tc>
        <w:tc>
          <w:tcPr>
            <w:tcW w:w="5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55,000</w:t>
            </w:r>
          </w:p>
        </w:tc>
        <w:tc>
          <w:tcPr>
            <w:tcW w:w="9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Super Stop &amp;</w:t>
            </w:r>
          </w:p>
        </w:tc>
        <w:tc>
          <w:tcPr>
            <w:tcW w:w="176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line="159" w:lineRule="exact"/>
              <w:rPr>
                <w:sz w:val="20"/>
                <w:szCs w:val="20"/>
                <w:color w:val="auto"/>
              </w:rPr>
            </w:pPr>
            <w:r>
              <w:rPr>
                <w:rFonts w:ascii="Arial" w:cs="Arial" w:eastAsia="Arial" w:hAnsi="Arial"/>
                <w:sz w:val="14"/>
                <w:szCs w:val="14"/>
                <w:color w:val="auto"/>
              </w:rPr>
              <w:t>MA-NH</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Shop</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New England</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388,753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1,381,000</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w w:val="86"/>
              </w:rPr>
              <w:t>Baltimore</w:t>
            </w:r>
          </w:p>
        </w:tc>
        <w:tc>
          <w:tcPr>
            <w:tcW w:w="1280" w:type="dxa"/>
            <w:vAlign w:val="bottom"/>
            <w:gridSpan w:val="3"/>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60" w:type="dxa"/>
            <w:vAlign w:val="bottom"/>
            <w:gridSpan w:val="7"/>
            <w:shd w:val="clear" w:color="auto" w:fill="CCEEFF"/>
          </w:tcPr>
          <w:p>
            <w:pPr>
              <w:spacing w:after="0" w:line="131" w:lineRule="exact"/>
              <w:rPr>
                <w:sz w:val="20"/>
                <w:szCs w:val="20"/>
                <w:color w:val="auto"/>
              </w:rPr>
            </w:pPr>
            <w:r>
              <w:rPr>
                <w:rFonts w:ascii="Arial" w:cs="Arial" w:eastAsia="Arial" w:hAnsi="Arial"/>
                <w:sz w:val="14"/>
                <w:szCs w:val="14"/>
                <w:color w:val="auto"/>
              </w:rPr>
              <w:t>Governor Plaza</w:t>
            </w:r>
          </w:p>
        </w:tc>
        <w:tc>
          <w:tcPr>
            <w:tcW w:w="4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Baltimore, MD</w:t>
            </w:r>
          </w:p>
        </w:tc>
        <w:tc>
          <w:tcPr>
            <w:tcW w:w="78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1985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22,025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60"/>
              <w:spacing w:after="0" w:line="131" w:lineRule="exact"/>
              <w:rPr>
                <w:sz w:val="20"/>
                <w:szCs w:val="20"/>
                <w:color w:val="auto"/>
              </w:rPr>
            </w:pPr>
            <w:r>
              <w:rPr>
                <w:rFonts w:ascii="Arial" w:cs="Arial" w:eastAsia="Arial" w:hAnsi="Arial"/>
                <w:sz w:val="14"/>
                <w:szCs w:val="14"/>
                <w:color w:val="auto"/>
              </w:rPr>
              <w:t>269,000</w:t>
            </w:r>
          </w:p>
        </w:tc>
        <w:tc>
          <w:tcPr>
            <w:tcW w:w="740" w:type="dxa"/>
            <w:vAlign w:val="bottom"/>
            <w:gridSpan w:val="3"/>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rPr>
              <w:t>16,500</w:t>
            </w:r>
          </w:p>
        </w:tc>
        <w:tc>
          <w:tcPr>
            <w:tcW w:w="960" w:type="dxa"/>
            <w:vAlign w:val="bottom"/>
            <w:gridSpan w:val="2"/>
            <w:shd w:val="clear" w:color="auto" w:fill="CCEEFF"/>
          </w:tcPr>
          <w:p>
            <w:pPr>
              <w:ind w:left="60"/>
              <w:spacing w:after="0" w:line="131" w:lineRule="exact"/>
              <w:rPr>
                <w:sz w:val="20"/>
                <w:szCs w:val="20"/>
                <w:color w:val="auto"/>
              </w:rPr>
            </w:pPr>
            <w:r>
              <w:rPr>
                <w:rFonts w:ascii="Arial" w:cs="Arial" w:eastAsia="Arial" w:hAnsi="Arial"/>
                <w:sz w:val="14"/>
                <w:szCs w:val="14"/>
                <w:color w:val="auto"/>
              </w:rPr>
              <w:t>Aldi</w:t>
            </w:r>
          </w:p>
        </w:tc>
        <w:tc>
          <w:tcPr>
            <w:tcW w:w="1760" w:type="dxa"/>
            <w:vAlign w:val="bottom"/>
            <w:gridSpan w:val="2"/>
            <w:shd w:val="clear" w:color="auto" w:fill="CCEEFF"/>
          </w:tcPr>
          <w:p>
            <w:pPr>
              <w:ind w:left="100"/>
              <w:spacing w:after="0" w:line="131" w:lineRule="exact"/>
              <w:rPr>
                <w:sz w:val="20"/>
                <w:szCs w:val="20"/>
                <w:color w:val="auto"/>
              </w:rPr>
            </w:pPr>
            <w:r>
              <w:rPr>
                <w:rFonts w:ascii="Arial" w:cs="Arial" w:eastAsia="Arial" w:hAnsi="Arial"/>
                <w:sz w:val="14"/>
                <w:szCs w:val="14"/>
                <w:color w:val="auto"/>
              </w:rPr>
              <w:t>Bally Total Fitness / Office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tcPr>
          <w:p>
            <w:pPr>
              <w:spacing w:after="0" w:line="138" w:lineRule="exact"/>
              <w:rPr>
                <w:sz w:val="20"/>
                <w:szCs w:val="20"/>
                <w:color w:val="auto"/>
              </w:rPr>
            </w:pPr>
            <w:r>
              <w:rPr>
                <w:rFonts w:ascii="Arial" w:cs="Arial" w:eastAsia="Arial" w:hAnsi="Arial"/>
                <w:sz w:val="14"/>
                <w:szCs w:val="14"/>
                <w:color w:val="auto"/>
              </w:rPr>
              <w:t>Perring Plaza</w:t>
            </w:r>
          </w:p>
        </w:tc>
        <w:tc>
          <w:tcPr>
            <w:tcW w:w="480" w:type="dxa"/>
            <w:vAlign w:val="bottom"/>
          </w:tcPr>
          <w:p>
            <w:pPr>
              <w:spacing w:after="0"/>
              <w:rPr>
                <w:sz w:val="11"/>
                <w:szCs w:val="11"/>
                <w:color w:val="auto"/>
              </w:rPr>
            </w:pPr>
          </w:p>
        </w:tc>
        <w:tc>
          <w:tcPr>
            <w:tcW w:w="1680" w:type="dxa"/>
            <w:vAlign w:val="bottom"/>
          </w:tcPr>
          <w:p>
            <w:pPr>
              <w:spacing w:after="0" w:line="138" w:lineRule="exact"/>
              <w:rPr>
                <w:sz w:val="20"/>
                <w:szCs w:val="20"/>
                <w:color w:val="auto"/>
              </w:rPr>
            </w:pPr>
            <w:r>
              <w:rPr>
                <w:rFonts w:ascii="Arial" w:cs="Arial" w:eastAsia="Arial" w:hAnsi="Arial"/>
                <w:sz w:val="14"/>
                <w:szCs w:val="14"/>
                <w:color w:val="auto"/>
              </w:rPr>
              <w:t>Baltimore, MD</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1985</w:t>
            </w:r>
          </w:p>
        </w:tc>
        <w:tc>
          <w:tcPr>
            <w:tcW w:w="10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26,770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401,000</w:t>
            </w:r>
          </w:p>
        </w:tc>
        <w:tc>
          <w:tcPr>
            <w:tcW w:w="74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98%</w:t>
            </w:r>
          </w:p>
        </w:tc>
        <w:tc>
          <w:tcPr>
            <w:tcW w:w="5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58,000</w:t>
            </w:r>
          </w:p>
        </w:tc>
        <w:tc>
          <w:tcPr>
            <w:tcW w:w="960" w:type="dxa"/>
            <w:vAlign w:val="bottom"/>
            <w:gridSpan w:val="2"/>
          </w:tcPr>
          <w:p>
            <w:pPr>
              <w:ind w:left="60"/>
              <w:spacing w:after="0" w:line="138" w:lineRule="exact"/>
              <w:rPr>
                <w:sz w:val="20"/>
                <w:szCs w:val="20"/>
                <w:color w:val="auto"/>
              </w:rPr>
            </w:pPr>
            <w:r>
              <w:rPr>
                <w:rFonts w:ascii="Arial" w:cs="Arial" w:eastAsia="Arial" w:hAnsi="Arial"/>
                <w:sz w:val="14"/>
                <w:szCs w:val="14"/>
                <w:color w:val="auto"/>
                <w:w w:val="91"/>
              </w:rPr>
              <w:t>Shoppers Food</w:t>
            </w:r>
          </w:p>
        </w:tc>
        <w:tc>
          <w:tcPr>
            <w:tcW w:w="176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Home Depot / Burlington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Warehouse</w:t>
            </w:r>
          </w:p>
        </w:tc>
        <w:tc>
          <w:tcPr>
            <w:tcW w:w="1760" w:type="dxa"/>
            <w:vAlign w:val="bottom"/>
            <w:gridSpan w:val="2"/>
          </w:tcPr>
          <w:p>
            <w:pPr>
              <w:ind w:left="100"/>
              <w:spacing w:after="0" w:line="159" w:lineRule="exact"/>
              <w:rPr>
                <w:sz w:val="20"/>
                <w:szCs w:val="20"/>
                <w:color w:val="auto"/>
              </w:rPr>
            </w:pPr>
            <w:r>
              <w:rPr>
                <w:rFonts w:ascii="Arial" w:cs="Arial" w:eastAsia="Arial" w:hAnsi="Arial"/>
                <w:sz w:val="14"/>
                <w:szCs w:val="14"/>
                <w:color w:val="auto"/>
                <w:w w:val="90"/>
              </w:rPr>
              <w:t>Coat Factory / Jo-Ann Stores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THE AVENUE at White Marsh</w:t>
            </w:r>
          </w:p>
        </w:tc>
        <w:tc>
          <w:tcPr>
            <w:tcW w:w="48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(10)</w:t>
            </w:r>
          </w:p>
        </w:tc>
        <w:tc>
          <w:tcPr>
            <w:tcW w:w="16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Baltimore, MD</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94,560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59,485</w:t>
            </w:r>
          </w:p>
        </w:tc>
        <w:tc>
          <w:tcPr>
            <w:tcW w:w="7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298,000</w:t>
            </w:r>
          </w:p>
        </w:tc>
        <w:tc>
          <w:tcPr>
            <w:tcW w:w="7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99%</w:t>
            </w: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AMC Loews / Old Navy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w w:val="94"/>
              </w:rPr>
              <w:t>Barnes &amp; Noble / AC Moore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w w:val="91"/>
              </w:rPr>
              <w:t>The Shoppes at Nottingham Square</w:t>
            </w:r>
          </w:p>
        </w:tc>
        <w:tc>
          <w:tcPr>
            <w:tcW w:w="480" w:type="dxa"/>
            <w:vAlign w:val="bottom"/>
          </w:tcPr>
          <w:p>
            <w:pPr>
              <w:spacing w:after="0"/>
              <w:rPr>
                <w:sz w:val="12"/>
                <w:szCs w:val="12"/>
                <w:color w:val="auto"/>
              </w:rPr>
            </w:pPr>
          </w:p>
        </w:tc>
        <w:tc>
          <w:tcPr>
            <w:tcW w:w="1680" w:type="dxa"/>
            <w:vAlign w:val="bottom"/>
          </w:tcPr>
          <w:p>
            <w:pPr>
              <w:spacing w:after="0" w:line="149" w:lineRule="exact"/>
              <w:rPr>
                <w:sz w:val="20"/>
                <w:szCs w:val="20"/>
                <w:color w:val="auto"/>
              </w:rPr>
            </w:pPr>
            <w:r>
              <w:rPr>
                <w:rFonts w:ascii="Arial" w:cs="Arial" w:eastAsia="Arial" w:hAnsi="Arial"/>
                <w:sz w:val="14"/>
                <w:szCs w:val="14"/>
                <w:color w:val="auto"/>
              </w:rPr>
              <w:t>Baltimore, MD</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27,568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52,000</w:t>
            </w: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White Marsh Plaza</w:t>
            </w:r>
          </w:p>
        </w:tc>
        <w:tc>
          <w:tcPr>
            <w:tcW w:w="4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Baltimore, MD</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24,927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9,993</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80,000</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54,000</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Giant Food</w:t>
            </w: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White Marsh Other</w:t>
            </w:r>
          </w:p>
        </w:tc>
        <w:tc>
          <w:tcPr>
            <w:tcW w:w="480" w:type="dxa"/>
            <w:vAlign w:val="bottom"/>
          </w:tcPr>
          <w:p>
            <w:pPr>
              <w:spacing w:after="0"/>
              <w:rPr>
                <w:sz w:val="12"/>
                <w:szCs w:val="12"/>
                <w:color w:val="auto"/>
              </w:rPr>
            </w:pPr>
          </w:p>
        </w:tc>
        <w:tc>
          <w:tcPr>
            <w:tcW w:w="1680" w:type="dxa"/>
            <w:vAlign w:val="bottom"/>
          </w:tcPr>
          <w:p>
            <w:pPr>
              <w:spacing w:after="0" w:line="149" w:lineRule="exact"/>
              <w:rPr>
                <w:sz w:val="20"/>
                <w:szCs w:val="20"/>
                <w:color w:val="auto"/>
              </w:rPr>
            </w:pPr>
            <w:r>
              <w:rPr>
                <w:rFonts w:ascii="Arial" w:cs="Arial" w:eastAsia="Arial" w:hAnsi="Arial"/>
                <w:sz w:val="14"/>
                <w:szCs w:val="14"/>
                <w:color w:val="auto"/>
              </w:rPr>
              <w:t>Baltimore, MD</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28,893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49,000</w:t>
            </w: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Baltimore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224,743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1,149,000</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99%</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83"/>
              </w:rPr>
              <w:t>Chicago</w:t>
            </w:r>
          </w:p>
        </w:tc>
        <w:tc>
          <w:tcPr>
            <w:tcW w:w="1380" w:type="dxa"/>
            <w:vAlign w:val="bottom"/>
            <w:gridSpan w:val="4"/>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2" w:lineRule="exact"/>
              <w:rPr>
                <w:sz w:val="20"/>
                <w:szCs w:val="20"/>
                <w:color w:val="auto"/>
              </w:rPr>
            </w:pPr>
            <w:r>
              <w:rPr>
                <w:rFonts w:ascii="Arial" w:cs="Arial" w:eastAsia="Arial" w:hAnsi="Arial"/>
                <w:sz w:val="14"/>
                <w:szCs w:val="14"/>
                <w:color w:val="auto"/>
              </w:rPr>
              <w:t>Crossroads</w:t>
            </w:r>
          </w:p>
        </w:tc>
        <w:tc>
          <w:tcPr>
            <w:tcW w:w="4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Chicago, IL</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1993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23,866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173,000</w:t>
            </w:r>
          </w:p>
        </w:tc>
        <w:tc>
          <w:tcPr>
            <w:tcW w:w="74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67%</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Golfsmith / Guitar Center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tcPr>
          <w:p>
            <w:pPr>
              <w:spacing w:after="0" w:line="138" w:lineRule="exact"/>
              <w:rPr>
                <w:sz w:val="20"/>
                <w:szCs w:val="20"/>
                <w:color w:val="auto"/>
              </w:rPr>
            </w:pPr>
            <w:r>
              <w:rPr>
                <w:rFonts w:ascii="Arial" w:cs="Arial" w:eastAsia="Arial" w:hAnsi="Arial"/>
                <w:sz w:val="14"/>
                <w:szCs w:val="14"/>
                <w:color w:val="auto"/>
              </w:rPr>
              <w:t>Finley Square</w:t>
            </w:r>
          </w:p>
        </w:tc>
        <w:tc>
          <w:tcPr>
            <w:tcW w:w="480" w:type="dxa"/>
            <w:vAlign w:val="bottom"/>
          </w:tcPr>
          <w:p>
            <w:pPr>
              <w:spacing w:after="0"/>
              <w:rPr>
                <w:sz w:val="11"/>
                <w:szCs w:val="11"/>
                <w:color w:val="auto"/>
              </w:rPr>
            </w:pPr>
          </w:p>
        </w:tc>
        <w:tc>
          <w:tcPr>
            <w:tcW w:w="1680" w:type="dxa"/>
            <w:vAlign w:val="bottom"/>
          </w:tcPr>
          <w:p>
            <w:pPr>
              <w:spacing w:after="0" w:line="138" w:lineRule="exact"/>
              <w:rPr>
                <w:sz w:val="20"/>
                <w:szCs w:val="20"/>
                <w:color w:val="auto"/>
              </w:rPr>
            </w:pPr>
            <w:r>
              <w:rPr>
                <w:rFonts w:ascii="Arial" w:cs="Arial" w:eastAsia="Arial" w:hAnsi="Arial"/>
                <w:sz w:val="14"/>
                <w:szCs w:val="14"/>
                <w:color w:val="auto"/>
              </w:rPr>
              <w:t>Chicago, IL</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1995</w:t>
            </w:r>
          </w:p>
        </w:tc>
        <w:tc>
          <w:tcPr>
            <w:tcW w:w="10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31,309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315,000</w:t>
            </w:r>
          </w:p>
        </w:tc>
        <w:tc>
          <w:tcPr>
            <w:tcW w:w="74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97%</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6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Bed, Bath &amp; Beyond / Buy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Buy Baby / Petsmart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Garden Market</w:t>
            </w:r>
          </w:p>
        </w:tc>
        <w:tc>
          <w:tcPr>
            <w:tcW w:w="4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Chicago, IL</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1994</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11,536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140,000</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63,000</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Dominick’s</w:t>
            </w:r>
          </w:p>
        </w:tc>
        <w:tc>
          <w:tcPr>
            <w:tcW w:w="17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North Lake Commons</w:t>
            </w:r>
          </w:p>
        </w:tc>
        <w:tc>
          <w:tcPr>
            <w:tcW w:w="480" w:type="dxa"/>
            <w:vAlign w:val="bottom"/>
          </w:tcPr>
          <w:p>
            <w:pPr>
              <w:spacing w:after="0"/>
              <w:rPr>
                <w:sz w:val="12"/>
                <w:szCs w:val="12"/>
                <w:color w:val="auto"/>
              </w:rPr>
            </w:pPr>
          </w:p>
        </w:tc>
        <w:tc>
          <w:tcPr>
            <w:tcW w:w="1680" w:type="dxa"/>
            <w:vAlign w:val="bottom"/>
          </w:tcPr>
          <w:p>
            <w:pPr>
              <w:spacing w:after="0" w:line="149" w:lineRule="exact"/>
              <w:rPr>
                <w:sz w:val="20"/>
                <w:szCs w:val="20"/>
                <w:color w:val="auto"/>
              </w:rPr>
            </w:pPr>
            <w:r>
              <w:rPr>
                <w:rFonts w:ascii="Arial" w:cs="Arial" w:eastAsia="Arial" w:hAnsi="Arial"/>
                <w:sz w:val="14"/>
                <w:szCs w:val="14"/>
                <w:color w:val="auto"/>
              </w:rPr>
              <w:t>Chicago, IL</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1994</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13,699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129,000</w:t>
            </w: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90%</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77,000</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Dominick’s</w:t>
            </w: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Chicago</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80,410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757,000</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6"/>
          </w:tcPr>
          <w:p>
            <w:pPr>
              <w:spacing w:after="0" w:line="135" w:lineRule="exact"/>
              <w:rPr>
                <w:sz w:val="20"/>
                <w:szCs w:val="20"/>
                <w:color w:val="auto"/>
              </w:rPr>
            </w:pPr>
            <w:r>
              <w:rPr>
                <w:rFonts w:ascii="Arial" w:cs="Arial" w:eastAsia="Arial" w:hAnsi="Arial"/>
                <w:sz w:val="14"/>
                <w:szCs w:val="14"/>
                <w:b w:val="1"/>
                <w:bCs w:val="1"/>
                <w:color w:val="auto"/>
              </w:rPr>
              <w:t>South Florida</w:t>
            </w:r>
          </w:p>
        </w:tc>
        <w:tc>
          <w:tcPr>
            <w:tcW w:w="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60" w:type="dxa"/>
            <w:vAlign w:val="bottom"/>
            <w:gridSpan w:val="7"/>
            <w:shd w:val="clear" w:color="auto" w:fill="CCEEFF"/>
          </w:tcPr>
          <w:p>
            <w:pPr>
              <w:spacing w:after="0" w:line="142" w:lineRule="exact"/>
              <w:rPr>
                <w:sz w:val="20"/>
                <w:szCs w:val="20"/>
                <w:color w:val="auto"/>
              </w:rPr>
            </w:pPr>
            <w:r>
              <w:rPr>
                <w:rFonts w:ascii="Arial" w:cs="Arial" w:eastAsia="Arial" w:hAnsi="Arial"/>
                <w:sz w:val="14"/>
                <w:szCs w:val="14"/>
                <w:color w:val="auto"/>
              </w:rPr>
              <w:t>Courtyard Shops</w:t>
            </w:r>
          </w:p>
        </w:tc>
        <w:tc>
          <w:tcPr>
            <w:tcW w:w="4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Miami-Ft Lauderdale</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2008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38,792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7,626</w:t>
            </w:r>
          </w:p>
        </w:tc>
        <w:tc>
          <w:tcPr>
            <w:tcW w:w="7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130,000</w:t>
            </w:r>
          </w:p>
        </w:tc>
        <w:tc>
          <w:tcPr>
            <w:tcW w:w="74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94%</w:t>
            </w:r>
          </w:p>
        </w:tc>
        <w:tc>
          <w:tcPr>
            <w:tcW w:w="5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49,000</w:t>
            </w:r>
          </w:p>
        </w:tc>
        <w:tc>
          <w:tcPr>
            <w:tcW w:w="96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Publix</w:t>
            </w: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Del Mar Village</w:t>
            </w:r>
          </w:p>
        </w:tc>
        <w:tc>
          <w:tcPr>
            <w:tcW w:w="480" w:type="dxa"/>
            <w:vAlign w:val="bottom"/>
          </w:tcPr>
          <w:p>
            <w:pPr>
              <w:spacing w:after="0"/>
              <w:rPr>
                <w:sz w:val="12"/>
                <w:szCs w:val="12"/>
                <w:color w:val="auto"/>
              </w:rPr>
            </w:pPr>
          </w:p>
        </w:tc>
        <w:tc>
          <w:tcPr>
            <w:tcW w:w="1680" w:type="dxa"/>
            <w:vAlign w:val="bottom"/>
          </w:tcPr>
          <w:p>
            <w:pPr>
              <w:spacing w:after="0" w:line="149" w:lineRule="exact"/>
              <w:rPr>
                <w:sz w:val="20"/>
                <w:szCs w:val="20"/>
                <w:color w:val="auto"/>
              </w:rPr>
            </w:pPr>
            <w:r>
              <w:rPr>
                <w:rFonts w:ascii="Arial" w:cs="Arial" w:eastAsia="Arial" w:hAnsi="Arial"/>
                <w:sz w:val="14"/>
                <w:szCs w:val="14"/>
                <w:color w:val="auto"/>
              </w:rPr>
              <w:t>Miami-Ft Lauderdale</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53,858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178,000</w:t>
            </w: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94%</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44,000</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Winn Dixie</w:t>
            </w:r>
          </w:p>
        </w:tc>
        <w:tc>
          <w:tcPr>
            <w:tcW w:w="1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South Florida</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92,650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308,000</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6"/>
          </w:tcPr>
          <w:p>
            <w:pPr>
              <w:spacing w:after="0" w:line="135" w:lineRule="exact"/>
              <w:rPr>
                <w:sz w:val="20"/>
                <w:szCs w:val="20"/>
                <w:color w:val="auto"/>
              </w:rPr>
            </w:pPr>
            <w:r>
              <w:rPr>
                <w:rFonts w:ascii="Arial" w:cs="Arial" w:eastAsia="Arial" w:hAnsi="Arial"/>
                <w:sz w:val="14"/>
                <w:szCs w:val="14"/>
                <w:b w:val="1"/>
                <w:bCs w:val="1"/>
                <w:color w:val="auto"/>
              </w:rPr>
              <w:t>Other</w:t>
            </w:r>
          </w:p>
        </w:tc>
        <w:tc>
          <w:tcPr>
            <w:tcW w:w="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60" w:type="dxa"/>
            <w:vAlign w:val="bottom"/>
            <w:gridSpan w:val="7"/>
            <w:shd w:val="clear" w:color="auto" w:fill="CCEEFF"/>
          </w:tcPr>
          <w:p>
            <w:pPr>
              <w:spacing w:after="0" w:line="131" w:lineRule="exact"/>
              <w:rPr>
                <w:sz w:val="20"/>
                <w:szCs w:val="20"/>
                <w:color w:val="auto"/>
              </w:rPr>
            </w:pPr>
            <w:r>
              <w:rPr>
                <w:rFonts w:ascii="Arial" w:cs="Arial" w:eastAsia="Arial" w:hAnsi="Arial"/>
                <w:sz w:val="14"/>
                <w:szCs w:val="14"/>
                <w:color w:val="auto"/>
              </w:rPr>
              <w:t>Barracks Road</w:t>
            </w:r>
          </w:p>
        </w:tc>
        <w:tc>
          <w:tcPr>
            <w:tcW w:w="4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Charlottesville, VA</w:t>
            </w:r>
          </w:p>
        </w:tc>
        <w:tc>
          <w:tcPr>
            <w:tcW w:w="78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1985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45,392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41,011</w:t>
            </w:r>
          </w:p>
        </w:tc>
        <w:tc>
          <w:tcPr>
            <w:tcW w:w="760" w:type="dxa"/>
            <w:vAlign w:val="bottom"/>
            <w:gridSpan w:val="3"/>
            <w:shd w:val="clear" w:color="auto" w:fill="CCEEFF"/>
          </w:tcPr>
          <w:p>
            <w:pPr>
              <w:jc w:val="right"/>
              <w:ind w:right="60"/>
              <w:spacing w:after="0" w:line="131" w:lineRule="exact"/>
              <w:rPr>
                <w:sz w:val="20"/>
                <w:szCs w:val="20"/>
                <w:color w:val="auto"/>
              </w:rPr>
            </w:pPr>
            <w:r>
              <w:rPr>
                <w:rFonts w:ascii="Arial" w:cs="Arial" w:eastAsia="Arial" w:hAnsi="Arial"/>
                <w:sz w:val="14"/>
                <w:szCs w:val="14"/>
                <w:color w:val="auto"/>
              </w:rPr>
              <w:t>488,000</w:t>
            </w:r>
          </w:p>
        </w:tc>
        <w:tc>
          <w:tcPr>
            <w:tcW w:w="740" w:type="dxa"/>
            <w:vAlign w:val="bottom"/>
            <w:gridSpan w:val="3"/>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94%</w:t>
            </w:r>
          </w:p>
        </w:tc>
        <w:tc>
          <w:tcPr>
            <w:tcW w:w="54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rPr>
              <w:t>99,000</w:t>
            </w:r>
          </w:p>
        </w:tc>
        <w:tc>
          <w:tcPr>
            <w:tcW w:w="960" w:type="dxa"/>
            <w:vAlign w:val="bottom"/>
            <w:gridSpan w:val="2"/>
            <w:shd w:val="clear" w:color="auto" w:fill="CCEEFF"/>
          </w:tcPr>
          <w:p>
            <w:pPr>
              <w:ind w:left="60"/>
              <w:spacing w:after="0" w:line="131" w:lineRule="exact"/>
              <w:rPr>
                <w:sz w:val="20"/>
                <w:szCs w:val="20"/>
                <w:color w:val="auto"/>
              </w:rPr>
            </w:pPr>
            <w:r>
              <w:rPr>
                <w:rFonts w:ascii="Arial" w:cs="Arial" w:eastAsia="Arial" w:hAnsi="Arial"/>
                <w:sz w:val="14"/>
                <w:szCs w:val="14"/>
                <w:color w:val="auto"/>
                <w:w w:val="98"/>
              </w:rPr>
              <w:t>Harris Teeter /</w:t>
            </w:r>
          </w:p>
        </w:tc>
        <w:tc>
          <w:tcPr>
            <w:tcW w:w="1760" w:type="dxa"/>
            <w:vAlign w:val="bottom"/>
            <w:gridSpan w:val="2"/>
            <w:shd w:val="clear" w:color="auto" w:fill="CCEEFF"/>
          </w:tcPr>
          <w:p>
            <w:pPr>
              <w:ind w:left="100"/>
              <w:spacing w:after="0" w:line="131" w:lineRule="exact"/>
              <w:rPr>
                <w:sz w:val="20"/>
                <w:szCs w:val="20"/>
                <w:color w:val="auto"/>
              </w:rPr>
            </w:pPr>
            <w:r>
              <w:rPr>
                <w:rFonts w:ascii="Arial" w:cs="Arial" w:eastAsia="Arial" w:hAnsi="Arial"/>
                <w:sz w:val="14"/>
                <w:szCs w:val="14"/>
                <w:color w:val="auto"/>
                <w:w w:val="90"/>
              </w:rPr>
              <w:t>Bed, Bath &amp; Beyond / Barnes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Kroger</w:t>
            </w:r>
          </w:p>
        </w:tc>
        <w:tc>
          <w:tcPr>
            <w:tcW w:w="17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&amp; Noble / Old Navy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Bristol Plaza</w:t>
            </w:r>
          </w:p>
        </w:tc>
        <w:tc>
          <w:tcPr>
            <w:tcW w:w="480" w:type="dxa"/>
            <w:vAlign w:val="bottom"/>
          </w:tcPr>
          <w:p>
            <w:pPr>
              <w:spacing w:after="0"/>
              <w:rPr>
                <w:sz w:val="12"/>
                <w:szCs w:val="12"/>
                <w:color w:val="auto"/>
              </w:rPr>
            </w:pPr>
          </w:p>
        </w:tc>
        <w:tc>
          <w:tcPr>
            <w:tcW w:w="1680" w:type="dxa"/>
            <w:vAlign w:val="bottom"/>
          </w:tcPr>
          <w:p>
            <w:pPr>
              <w:spacing w:after="0" w:line="149" w:lineRule="exact"/>
              <w:rPr>
                <w:sz w:val="20"/>
                <w:szCs w:val="20"/>
                <w:color w:val="auto"/>
              </w:rPr>
            </w:pPr>
            <w:r>
              <w:rPr>
                <w:rFonts w:ascii="Arial" w:cs="Arial" w:eastAsia="Arial" w:hAnsi="Arial"/>
                <w:sz w:val="14"/>
                <w:szCs w:val="14"/>
                <w:color w:val="auto"/>
              </w:rPr>
              <w:t>Hartford, CT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27,336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272,000</w:t>
            </w: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84%</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74,000</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Stop &amp; Shop</w:t>
            </w:r>
          </w:p>
        </w:tc>
        <w:tc>
          <w:tcPr>
            <w:tcW w:w="1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Eastgate</w:t>
            </w:r>
          </w:p>
        </w:tc>
        <w:tc>
          <w:tcPr>
            <w:tcW w:w="4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Raleigh-Durham-Chapel Hill,</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25,655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153,000</w:t>
            </w:r>
          </w:p>
        </w:tc>
        <w:tc>
          <w:tcPr>
            <w:tcW w:w="7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99%</w:t>
            </w: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NC</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tcPr>
          <w:p>
            <w:pPr>
              <w:spacing w:after="0" w:line="138" w:lineRule="exact"/>
              <w:rPr>
                <w:sz w:val="20"/>
                <w:szCs w:val="20"/>
                <w:color w:val="auto"/>
              </w:rPr>
            </w:pPr>
            <w:r>
              <w:rPr>
                <w:rFonts w:ascii="Arial" w:cs="Arial" w:eastAsia="Arial" w:hAnsi="Arial"/>
                <w:sz w:val="14"/>
                <w:szCs w:val="14"/>
                <w:color w:val="auto"/>
              </w:rPr>
              <w:t>Gratiot Plaza</w:t>
            </w:r>
          </w:p>
        </w:tc>
        <w:tc>
          <w:tcPr>
            <w:tcW w:w="480" w:type="dxa"/>
            <w:vAlign w:val="bottom"/>
          </w:tcPr>
          <w:p>
            <w:pPr>
              <w:spacing w:after="0"/>
              <w:rPr>
                <w:sz w:val="11"/>
                <w:szCs w:val="11"/>
                <w:color w:val="auto"/>
              </w:rPr>
            </w:pPr>
          </w:p>
        </w:tc>
        <w:tc>
          <w:tcPr>
            <w:tcW w:w="1680" w:type="dxa"/>
            <w:vAlign w:val="bottom"/>
          </w:tcPr>
          <w:p>
            <w:pPr>
              <w:spacing w:after="0" w:line="138" w:lineRule="exact"/>
              <w:rPr>
                <w:sz w:val="20"/>
                <w:szCs w:val="20"/>
                <w:color w:val="auto"/>
              </w:rPr>
            </w:pPr>
            <w:r>
              <w:rPr>
                <w:rFonts w:ascii="Arial" w:cs="Arial" w:eastAsia="Arial" w:hAnsi="Arial"/>
                <w:sz w:val="14"/>
                <w:szCs w:val="14"/>
                <w:color w:val="auto"/>
              </w:rPr>
              <w:t>Detroit, MI</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1973</w:t>
            </w:r>
          </w:p>
        </w:tc>
        <w:tc>
          <w:tcPr>
            <w:tcW w:w="10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18,674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217,000</w:t>
            </w:r>
          </w:p>
        </w:tc>
        <w:tc>
          <w:tcPr>
            <w:tcW w:w="74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99%</w:t>
            </w:r>
          </w:p>
        </w:tc>
        <w:tc>
          <w:tcPr>
            <w:tcW w:w="5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69,000</w:t>
            </w:r>
          </w:p>
        </w:tc>
        <w:tc>
          <w:tcPr>
            <w:tcW w:w="9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Kroger</w:t>
            </w:r>
          </w:p>
        </w:tc>
        <w:tc>
          <w:tcPr>
            <w:tcW w:w="1760" w:type="dxa"/>
            <w:vAlign w:val="bottom"/>
            <w:gridSpan w:val="2"/>
          </w:tcPr>
          <w:p>
            <w:pPr>
              <w:ind w:left="100"/>
              <w:spacing w:after="0" w:line="138" w:lineRule="exact"/>
              <w:rPr>
                <w:sz w:val="20"/>
                <w:szCs w:val="20"/>
                <w:color w:val="auto"/>
              </w:rPr>
            </w:pPr>
            <w:r>
              <w:rPr>
                <w:rFonts w:ascii="Arial" w:cs="Arial" w:eastAsia="Arial" w:hAnsi="Arial"/>
                <w:sz w:val="14"/>
                <w:szCs w:val="14"/>
                <w:color w:val="auto"/>
                <w:w w:val="98"/>
              </w:rPr>
              <w:t>Bed, Bath &amp; Beyond / Best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Buy / DSW</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Greenwich Avenue</w:t>
            </w:r>
          </w:p>
        </w:tc>
        <w:tc>
          <w:tcPr>
            <w:tcW w:w="4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New Haven-Bridgeport-</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13,936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36,000</w:t>
            </w:r>
          </w:p>
        </w:tc>
        <w:tc>
          <w:tcPr>
            <w:tcW w:w="7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Stamford-Waterbury</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Houston St</w:t>
            </w:r>
          </w:p>
        </w:tc>
        <w:tc>
          <w:tcPr>
            <w:tcW w:w="480" w:type="dxa"/>
            <w:vAlign w:val="bottom"/>
          </w:tcPr>
          <w:p>
            <w:pPr>
              <w:spacing w:after="0"/>
              <w:rPr>
                <w:sz w:val="12"/>
                <w:szCs w:val="12"/>
                <w:color w:val="auto"/>
              </w:rPr>
            </w:pPr>
          </w:p>
        </w:tc>
        <w:tc>
          <w:tcPr>
            <w:tcW w:w="1680" w:type="dxa"/>
            <w:vAlign w:val="bottom"/>
          </w:tcPr>
          <w:p>
            <w:pPr>
              <w:spacing w:after="0" w:line="149" w:lineRule="exact"/>
              <w:rPr>
                <w:sz w:val="20"/>
                <w:szCs w:val="20"/>
                <w:color w:val="auto"/>
              </w:rPr>
            </w:pPr>
            <w:r>
              <w:rPr>
                <w:rFonts w:ascii="Arial" w:cs="Arial" w:eastAsia="Arial" w:hAnsi="Arial"/>
                <w:sz w:val="14"/>
                <w:szCs w:val="14"/>
                <w:color w:val="auto"/>
              </w:rPr>
              <w:t>San Antonio, TX</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1998</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69,550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196,000</w:t>
            </w: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78%</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Hotel Valencia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Lancaster</w:t>
            </w:r>
          </w:p>
        </w:tc>
        <w:tc>
          <w:tcPr>
            <w:tcW w:w="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w:t>
            </w: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Lancaster, PA</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4,907</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107,000</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39,000</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Giant Food</w:t>
            </w:r>
          </w:p>
        </w:tc>
        <w:tc>
          <w:tcPr>
            <w:tcW w:w="17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tcPr>
          <w:p>
            <w:pPr>
              <w:spacing w:after="0" w:line="149" w:lineRule="exact"/>
              <w:rPr>
                <w:sz w:val="20"/>
                <w:szCs w:val="20"/>
                <w:color w:val="auto"/>
              </w:rPr>
            </w:pPr>
            <w:r>
              <w:rPr>
                <w:rFonts w:ascii="Arial" w:cs="Arial" w:eastAsia="Arial" w:hAnsi="Arial"/>
                <w:sz w:val="14"/>
                <w:szCs w:val="14"/>
                <w:color w:val="auto"/>
              </w:rPr>
              <w:t>Shoppers’ World</w:t>
            </w:r>
          </w:p>
        </w:tc>
        <w:tc>
          <w:tcPr>
            <w:tcW w:w="480" w:type="dxa"/>
            <w:vAlign w:val="bottom"/>
          </w:tcPr>
          <w:p>
            <w:pPr>
              <w:spacing w:after="0"/>
              <w:rPr>
                <w:sz w:val="12"/>
                <w:szCs w:val="12"/>
                <w:color w:val="auto"/>
              </w:rPr>
            </w:pPr>
          </w:p>
        </w:tc>
        <w:tc>
          <w:tcPr>
            <w:tcW w:w="1680" w:type="dxa"/>
            <w:vAlign w:val="bottom"/>
          </w:tcPr>
          <w:p>
            <w:pPr>
              <w:spacing w:after="0" w:line="149" w:lineRule="exact"/>
              <w:rPr>
                <w:sz w:val="20"/>
                <w:szCs w:val="20"/>
                <w:color w:val="auto"/>
              </w:rPr>
            </w:pPr>
            <w:r>
              <w:rPr>
                <w:rFonts w:ascii="Arial" w:cs="Arial" w:eastAsia="Arial" w:hAnsi="Arial"/>
                <w:sz w:val="14"/>
                <w:szCs w:val="14"/>
                <w:color w:val="auto"/>
              </w:rPr>
              <w:t>Charlottesville, VA</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29,549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5,800</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169,000</w:t>
            </w: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95%</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28,000</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Whole Foods</w:t>
            </w:r>
          </w:p>
        </w:tc>
        <w:tc>
          <w:tcPr>
            <w:tcW w:w="1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Shops at Willow Lawn</w:t>
            </w:r>
          </w:p>
        </w:tc>
        <w:tc>
          <w:tcPr>
            <w:tcW w:w="4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Richmond-Petersburg, VA</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75,893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476,000</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60,000</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Kroger</w:t>
            </w:r>
          </w:p>
        </w:tc>
        <w:tc>
          <w:tcPr>
            <w:tcW w:w="17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Old Navy / Staples / Ross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rPr>
              <w:t>Total Other</w:t>
            </w: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91%</w:t>
            </w: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316,890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3"/>
              </w:rPr>
              <w:t>2,114,000</w:t>
            </w:r>
          </w:p>
        </w:tc>
        <w:tc>
          <w:tcPr>
            <w:tcW w:w="74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Grand Total</w:t>
            </w:r>
          </w:p>
        </w:tc>
        <w:tc>
          <w:tcPr>
            <w:tcW w:w="4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3,707,978</w:t>
            </w:r>
          </w:p>
        </w:tc>
        <w:tc>
          <w:tcPr>
            <w:tcW w:w="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607,705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82"/>
              </w:rPr>
              <w:t>18,168,000</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94%</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22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mortgage or capital lease obligations differ from the total reported on the consolidated balance sheet due to the unamortized discount or premium on certain mortgage payables.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newly created redevelopment square footage not yet in service, as well as residential and hotel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Portion of property subject to capital lease obligation.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 64.1% ownership interest in the property.</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Property owned in a “downreit” partnership, of which a wholly owned subsidiary of the Trust is the sole general partner, with third party partners holding operating partnership units.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 70% ownership interest in the property.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 90% ownership interest in the property.</w:t>
      </w:r>
    </w:p>
    <w:p>
      <w:pPr>
        <w:spacing w:after="0" w:line="9" w:lineRule="exact"/>
        <w:rPr>
          <w:rFonts w:ascii="Arial" w:cs="Arial" w:eastAsia="Arial" w:hAnsi="Arial"/>
          <w:sz w:val="18"/>
          <w:szCs w:val="18"/>
          <w:color w:val="auto"/>
        </w:rPr>
      </w:pPr>
    </w:p>
    <w:p>
      <w:pPr>
        <w:ind w:left="460" w:right="38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pacing w:after="0" w:line="1"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 of the ownership of this property is in a “downreit” partnership, of which a wholly owned subsidiary of the Trust is the sole general partner, with third party partners holding operating partnership units.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Property subject to capital lease obligation.</w:t>
      </w:r>
    </w:p>
    <w:p>
      <w:pPr>
        <w:sectPr>
          <w:pgSz w:w="11900" w:h="16838" w:orient="portrait"/>
          <w:cols w:equalWidth="0" w:num="1">
            <w:col w:w="11420"/>
          </w:cols>
          <w:pgMar w:left="240" w:top="274"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274"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Comparable (2)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Straight-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lined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Cash</w:t>
            </w: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Basis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12"/>
                <w:szCs w:val="12"/>
                <w:color w:val="auto"/>
              </w:rPr>
            </w:pPr>
          </w:p>
        </w:tc>
        <w:tc>
          <w:tcPr>
            <w:tcW w:w="1000" w:type="dxa"/>
            <w:vAlign w:val="bottom"/>
            <w:gridSpan w:val="5"/>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Prior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Basis %</w:t>
            </w: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0"/>
              </w:rPr>
              <w:t>Increase</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75"/>
              </w:rPr>
              <w:t>of</w:t>
            </w:r>
          </w:p>
        </w:tc>
        <w:tc>
          <w:tcPr>
            <w:tcW w:w="108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Comparable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2"/>
                <w:szCs w:val="12"/>
                <w:color w:val="auto"/>
              </w:rPr>
            </w:pPr>
          </w:p>
        </w:tc>
        <w:tc>
          <w:tcPr>
            <w:tcW w:w="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Rent (4)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Annual</w:t>
            </w: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Over</w:t>
            </w: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Tenant</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Leases</w:t>
            </w:r>
          </w:p>
        </w:tc>
        <w:tc>
          <w:tcPr>
            <w:tcW w:w="80" w:type="dxa"/>
            <w:vAlign w:val="bottom"/>
          </w:tcPr>
          <w:p>
            <w:pPr>
              <w:spacing w:after="0"/>
              <w:rPr>
                <w:sz w:val="12"/>
                <w:szCs w:val="12"/>
                <w:color w:val="auto"/>
              </w:rPr>
            </w:pPr>
          </w:p>
        </w:tc>
        <w:tc>
          <w:tcPr>
            <w:tcW w:w="1000" w:type="dxa"/>
            <w:vAlign w:val="bottom"/>
            <w:gridSpan w:val="5"/>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Leases</w:t>
            </w:r>
          </w:p>
        </w:tc>
        <w:tc>
          <w:tcPr>
            <w:tcW w:w="120" w:type="dxa"/>
            <w:vAlign w:val="bottom"/>
          </w:tcPr>
          <w:p>
            <w:pPr>
              <w:spacing w:after="0"/>
              <w:rPr>
                <w:sz w:val="12"/>
                <w:szCs w:val="12"/>
                <w:color w:val="auto"/>
              </w:rPr>
            </w:pPr>
          </w:p>
        </w:tc>
        <w:tc>
          <w:tcPr>
            <w:tcW w:w="78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GLA</w:t>
            </w:r>
          </w:p>
        </w:tc>
        <w:tc>
          <w:tcPr>
            <w:tcW w:w="10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Rent (3)</w:t>
            </w:r>
          </w:p>
        </w:tc>
        <w:tc>
          <w:tcPr>
            <w:tcW w:w="100" w:type="dxa"/>
            <w:vAlign w:val="bottom"/>
          </w:tcPr>
          <w:p>
            <w:pPr>
              <w:spacing w:after="0"/>
              <w:rPr>
                <w:sz w:val="12"/>
                <w:szCs w:val="12"/>
                <w:color w:val="auto"/>
              </w:rPr>
            </w:pPr>
          </w:p>
        </w:tc>
        <w:tc>
          <w:tcPr>
            <w:tcW w:w="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Per Sq.</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Increase</w:t>
            </w: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Over</w:t>
            </w: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Prior</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0"/>
              </w:rPr>
              <w:t>Lease</w:t>
            </w:r>
          </w:p>
        </w:tc>
        <w:tc>
          <w:tcPr>
            <w:tcW w:w="1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7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1"/>
              </w:rPr>
              <w:t>Signed</w:t>
            </w:r>
          </w:p>
        </w:tc>
        <w:tc>
          <w:tcPr>
            <w:tcW w:w="80" w:type="dxa"/>
            <w:vAlign w:val="bottom"/>
          </w:tcPr>
          <w:p>
            <w:pPr>
              <w:spacing w:after="0"/>
              <w:rPr>
                <w:sz w:val="14"/>
                <w:szCs w:val="14"/>
                <w:color w:val="auto"/>
              </w:rPr>
            </w:pPr>
          </w:p>
        </w:tc>
        <w:tc>
          <w:tcPr>
            <w:tcW w:w="10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5"/>
              </w:rPr>
              <w:t>Signed</w:t>
            </w:r>
          </w:p>
        </w:tc>
        <w:tc>
          <w:tcPr>
            <w:tcW w:w="120" w:type="dxa"/>
            <w:vAlign w:val="bottom"/>
          </w:tcPr>
          <w:p>
            <w:pPr>
              <w:spacing w:after="0"/>
              <w:rPr>
                <w:sz w:val="14"/>
                <w:szCs w:val="14"/>
                <w:color w:val="auto"/>
              </w:rPr>
            </w:pPr>
          </w:p>
        </w:tc>
        <w:tc>
          <w:tcPr>
            <w:tcW w:w="780" w:type="dxa"/>
            <w:vAlign w:val="bottom"/>
            <w:gridSpan w:val="4"/>
          </w:tcPr>
          <w:p>
            <w:pPr>
              <w:ind w:left="40"/>
              <w:spacing w:after="0"/>
              <w:rPr>
                <w:sz w:val="20"/>
                <w:szCs w:val="20"/>
                <w:color w:val="auto"/>
              </w:rPr>
            </w:pPr>
            <w:r>
              <w:rPr>
                <w:rFonts w:ascii="Arial" w:cs="Arial" w:eastAsia="Arial" w:hAnsi="Arial"/>
                <w:sz w:val="14"/>
                <w:szCs w:val="14"/>
                <w:b w:val="1"/>
                <w:bCs w:val="1"/>
                <w:color w:val="auto"/>
              </w:rPr>
              <w:t>Signed</w:t>
            </w: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Per Sq. Ft.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Ft.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Rent</w:t>
            </w: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Prior Rent</w:t>
            </w: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Rent</w:t>
            </w:r>
          </w:p>
        </w:tc>
        <w:tc>
          <w:tcPr>
            <w:tcW w:w="1860" w:type="dxa"/>
            <w:vAlign w:val="bottom"/>
            <w:gridSpan w:val="6"/>
          </w:tcPr>
          <w:p>
            <w:pPr>
              <w:spacing w:after="0"/>
              <w:rPr>
                <w:sz w:val="20"/>
                <w:szCs w:val="20"/>
                <w:color w:val="auto"/>
              </w:rPr>
            </w:pPr>
            <w:r>
              <w:rPr>
                <w:rFonts w:ascii="Arial" w:cs="Arial" w:eastAsia="Arial" w:hAnsi="Arial"/>
                <w:sz w:val="14"/>
                <w:szCs w:val="14"/>
                <w:b w:val="1"/>
                <w:bCs w:val="1"/>
                <w:color w:val="auto"/>
              </w:rPr>
              <w:t>Term (5)   &amp; Incentives (6)</w:t>
            </w: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2nd Quarter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tcBorders>
              <w:left w:val="single" w:sz="8" w:color="CCEEFF"/>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tcBorders>
              <w:left w:val="single" w:sz="8" w:color="CCEEFF"/>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2009</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315,214</w:t>
            </w: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26.87</w:t>
            </w:r>
          </w:p>
        </w:tc>
        <w:tc>
          <w:tcPr>
            <w:tcW w:w="6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$23.25</w:t>
            </w:r>
          </w:p>
        </w:tc>
        <w:tc>
          <w:tcPr>
            <w:tcW w:w="10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9"/>
              </w:rPr>
              <w:t>$1,141,114</w:t>
            </w:r>
          </w:p>
        </w:tc>
        <w:tc>
          <w:tcPr>
            <w:tcW w:w="180" w:type="dxa"/>
            <w:vAlign w:val="bottom"/>
            <w:tcBorders>
              <w:right w:val="single" w:sz="8" w:color="CCEEFF"/>
            </w:tcBorders>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left w:val="single" w:sz="8" w:color="CCEEFF"/>
            </w:tcBorders>
            <w:shd w:val="clear" w:color="auto" w:fill="CCEEFF"/>
          </w:tcPr>
          <w:p>
            <w:pPr>
              <w:spacing w:after="0"/>
              <w:rPr>
                <w:sz w:val="19"/>
                <w:szCs w:val="19"/>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1,194,192</w:t>
            </w:r>
          </w:p>
        </w:tc>
        <w:tc>
          <w:tcPr>
            <w:tcW w:w="20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1st Quarter 2009</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ind w:left="3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232,105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31.42</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$26.99</w:t>
            </w:r>
          </w:p>
        </w:tc>
        <w:tc>
          <w:tcPr>
            <w:tcW w:w="1000" w:type="dxa"/>
            <w:vAlign w:val="bottom"/>
            <w:gridSpan w:val="5"/>
          </w:tcPr>
          <w:p>
            <w:pPr>
              <w:jc w:val="right"/>
              <w:ind w:right="80"/>
              <w:spacing w:after="0"/>
              <w:rPr>
                <w:sz w:val="20"/>
                <w:szCs w:val="20"/>
                <w:color w:val="auto"/>
              </w:rPr>
            </w:pPr>
            <w:r>
              <w:rPr>
                <w:rFonts w:ascii="Arial" w:cs="Arial" w:eastAsia="Arial" w:hAnsi="Arial"/>
                <w:sz w:val="18"/>
                <w:szCs w:val="18"/>
                <w:color w:val="auto"/>
                <w:w w:val="99"/>
              </w:rPr>
              <w:t>$1,029,234</w:t>
            </w: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2,413,756</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Quarter 2008</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329,622</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21.62</w:t>
            </w:r>
          </w:p>
        </w:tc>
        <w:tc>
          <w:tcPr>
            <w:tcW w:w="6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$19.18</w:t>
            </w:r>
          </w:p>
        </w:tc>
        <w:tc>
          <w:tcPr>
            <w:tcW w:w="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803,054</w:t>
            </w: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1,733,441</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3rd Quarter 2008</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4"/>
          </w:tcPr>
          <w:p>
            <w:pPr>
              <w:ind w:left="3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351,310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25.03</w:t>
            </w:r>
          </w:p>
        </w:tc>
        <w:tc>
          <w:tcPr>
            <w:tcW w:w="680" w:type="dxa"/>
            <w:vAlign w:val="bottom"/>
            <w:gridSpan w:val="4"/>
          </w:tcPr>
          <w:p>
            <w:pPr>
              <w:ind w:lef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20.28</w:t>
            </w:r>
          </w:p>
        </w:tc>
        <w:tc>
          <w:tcPr>
            <w:tcW w:w="1000" w:type="dxa"/>
            <w:vAlign w:val="bottom"/>
            <w:gridSpan w:val="5"/>
          </w:tcPr>
          <w:p>
            <w:pPr>
              <w:jc w:val="right"/>
              <w:ind w:right="8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1,669,056</w:t>
            </w:r>
          </w:p>
        </w:tc>
        <w:tc>
          <w:tcPr>
            <w:tcW w:w="1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2,728,958</w:t>
            </w: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- 12</w:t>
            </w: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months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1,228,251</w:t>
            </w: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25.79</w:t>
            </w:r>
          </w:p>
        </w:tc>
        <w:tc>
          <w:tcPr>
            <w:tcW w:w="680" w:type="dxa"/>
            <w:vAlign w:val="bottom"/>
            <w:gridSpan w:val="4"/>
            <w:shd w:val="clear" w:color="auto" w:fill="CCEEFF"/>
          </w:tcPr>
          <w:p>
            <w:pPr>
              <w:ind w:lef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22.01</w:t>
            </w:r>
          </w:p>
        </w:tc>
        <w:tc>
          <w:tcPr>
            <w:tcW w:w="10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4,642,458</w:t>
            </w:r>
          </w:p>
        </w:tc>
        <w:tc>
          <w:tcPr>
            <w:tcW w:w="180" w:type="dxa"/>
            <w:vAlign w:val="bottom"/>
            <w:tcBorders>
              <w:right w:val="single" w:sz="8" w:color="CCEEFF"/>
            </w:tcBorders>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left w:val="single" w:sz="8" w:color="CCEEFF"/>
            </w:tcBorders>
            <w:shd w:val="clear" w:color="auto" w:fill="CCEEFF"/>
          </w:tcPr>
          <w:p>
            <w:pPr>
              <w:spacing w:after="0"/>
              <w:rPr>
                <w:sz w:val="19"/>
                <w:szCs w:val="19"/>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8,070,347</w:t>
            </w:r>
          </w:p>
        </w:tc>
        <w:tc>
          <w:tcPr>
            <w:tcW w:w="20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40" w:type="dxa"/>
            <w:vAlign w:val="bottom"/>
            <w:gridSpan w:val="14"/>
          </w:tcPr>
          <w:p>
            <w:pPr>
              <w:spacing w:after="0"/>
              <w:rPr>
                <w:sz w:val="20"/>
                <w:szCs w:val="20"/>
                <w:color w:val="auto"/>
              </w:rPr>
            </w:pPr>
            <w:r>
              <w:rPr>
                <w:rFonts w:ascii="Arial" w:cs="Arial" w:eastAsia="Arial" w:hAnsi="Arial"/>
                <w:sz w:val="18"/>
                <w:szCs w:val="18"/>
                <w:b w:val="1"/>
                <w:bCs w:val="1"/>
                <w:color w:val="auto"/>
                <w:w w:val="98"/>
              </w:rPr>
              <w:t>New Lease Summary - Comparable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Straight-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lined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Cash</w:t>
            </w: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Basis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Number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Prior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Basis %</w:t>
            </w: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Increase</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8"/>
              </w:rPr>
              <w:t>Weighted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100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Comparable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2"/>
                <w:szCs w:val="12"/>
                <w:color w:val="auto"/>
              </w:rPr>
            </w:pPr>
          </w:p>
        </w:tc>
        <w:tc>
          <w:tcPr>
            <w:tcW w:w="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Rent (4)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Annual</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Over</w:t>
            </w: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Tenant</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79"/>
              </w:rPr>
              <w:t>Leases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79"/>
              </w:rPr>
              <w:t>Leases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GLA</w:t>
            </w:r>
          </w:p>
        </w:tc>
        <w:tc>
          <w:tcPr>
            <w:tcW w:w="1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Rent (3)</w:t>
            </w:r>
          </w:p>
        </w:tc>
        <w:tc>
          <w:tcPr>
            <w:tcW w:w="100" w:type="dxa"/>
            <w:vAlign w:val="bottom"/>
          </w:tcPr>
          <w:p>
            <w:pPr>
              <w:spacing w:after="0"/>
              <w:rPr>
                <w:sz w:val="12"/>
                <w:szCs w:val="12"/>
                <w:color w:val="auto"/>
              </w:rPr>
            </w:pPr>
          </w:p>
        </w:tc>
        <w:tc>
          <w:tcPr>
            <w:tcW w:w="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Per Sq.</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Increase</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Over</w:t>
            </w: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Prior</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Lease</w:t>
            </w:r>
          </w:p>
        </w:tc>
        <w:tc>
          <w:tcPr>
            <w:tcW w:w="1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Signed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1"/>
              </w:rPr>
              <w:t>Signed</w:t>
            </w:r>
          </w:p>
        </w:tc>
        <w:tc>
          <w:tcPr>
            <w:tcW w:w="120" w:type="dxa"/>
            <w:vAlign w:val="bottom"/>
          </w:tcPr>
          <w:p>
            <w:pPr>
              <w:spacing w:after="0"/>
              <w:rPr>
                <w:sz w:val="14"/>
                <w:szCs w:val="14"/>
                <w:color w:val="auto"/>
              </w:rPr>
            </w:pPr>
          </w:p>
        </w:tc>
        <w:tc>
          <w:tcPr>
            <w:tcW w:w="780" w:type="dxa"/>
            <w:vAlign w:val="bottom"/>
            <w:gridSpan w:val="4"/>
          </w:tcPr>
          <w:p>
            <w:pPr>
              <w:ind w:left="100"/>
              <w:spacing w:after="0"/>
              <w:rPr>
                <w:sz w:val="20"/>
                <w:szCs w:val="20"/>
                <w:color w:val="auto"/>
              </w:rPr>
            </w:pPr>
            <w:r>
              <w:rPr>
                <w:rFonts w:ascii="Arial" w:cs="Arial" w:eastAsia="Arial" w:hAnsi="Arial"/>
                <w:sz w:val="14"/>
                <w:szCs w:val="14"/>
                <w:b w:val="1"/>
                <w:bCs w:val="1"/>
                <w:color w:val="auto"/>
              </w:rPr>
              <w:t>Signed</w:t>
            </w: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Per Sq. Ft.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ind w:left="80"/>
              <w:spacing w:after="0"/>
              <w:rPr>
                <w:sz w:val="20"/>
                <w:szCs w:val="20"/>
                <w:color w:val="auto"/>
              </w:rPr>
            </w:pPr>
            <w:r>
              <w:rPr>
                <w:rFonts w:ascii="Arial" w:cs="Arial" w:eastAsia="Arial" w:hAnsi="Arial"/>
                <w:sz w:val="14"/>
                <w:szCs w:val="14"/>
                <w:b w:val="1"/>
                <w:bCs w:val="1"/>
                <w:color w:val="auto"/>
              </w:rPr>
              <w:t>in Rent</w:t>
            </w: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Prior Rent</w:t>
            </w: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Rent</w:t>
            </w:r>
          </w:p>
        </w:tc>
        <w:tc>
          <w:tcPr>
            <w:tcW w:w="1860" w:type="dxa"/>
            <w:vAlign w:val="bottom"/>
            <w:gridSpan w:val="6"/>
          </w:tcPr>
          <w:p>
            <w:pPr>
              <w:ind w:left="20"/>
              <w:spacing w:after="0"/>
              <w:rPr>
                <w:sz w:val="20"/>
                <w:szCs w:val="20"/>
                <w:color w:val="auto"/>
              </w:rPr>
            </w:pPr>
            <w:r>
              <w:rPr>
                <w:rFonts w:ascii="Arial" w:cs="Arial" w:eastAsia="Arial" w:hAnsi="Arial"/>
                <w:sz w:val="14"/>
                <w:szCs w:val="14"/>
                <w:b w:val="1"/>
                <w:bCs w:val="1"/>
                <w:color w:val="auto"/>
              </w:rPr>
              <w:t>Term (5)   &amp; Incentives (6)</w:t>
            </w: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2nd Quarter 2009</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73,693</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5"/>
              </w:rPr>
              <w:t>24.27</w:t>
            </w:r>
          </w:p>
        </w:tc>
        <w:tc>
          <w:tcPr>
            <w:tcW w:w="12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3"/>
              </w:rPr>
              <w:t>$27.68</w:t>
            </w:r>
          </w:p>
        </w:tc>
        <w:tc>
          <w:tcPr>
            <w:tcW w:w="10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w w:val="97"/>
              </w:rPr>
              <w:t>$ (251,200)</w:t>
            </w: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1,194,192</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1st Quarter 2009</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5"/>
          </w:tcPr>
          <w:p>
            <w:pPr>
              <w:jc w:val="right"/>
              <w:ind w:right="120"/>
              <w:spacing w:after="0"/>
              <w:rPr>
                <w:sz w:val="20"/>
                <w:szCs w:val="20"/>
                <w:color w:val="auto"/>
              </w:rPr>
            </w:pPr>
            <w:r>
              <w:rPr>
                <w:rFonts w:ascii="Arial" w:cs="Arial" w:eastAsia="Arial" w:hAnsi="Arial"/>
                <w:sz w:val="18"/>
                <w:szCs w:val="18"/>
                <w:color w:val="auto"/>
              </w:rPr>
              <w:t>35%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73,535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w w:val="75"/>
              </w:rPr>
              <w:t>32.54</w:t>
            </w:r>
          </w:p>
        </w:tc>
        <w:tc>
          <w:tcPr>
            <w:tcW w:w="120" w:type="dxa"/>
            <w:vAlign w:val="bottom"/>
          </w:tcPr>
          <w:p>
            <w:pPr>
              <w:spacing w:after="0"/>
              <w:rPr>
                <w:sz w:val="18"/>
                <w:szCs w:val="18"/>
                <w:color w:val="auto"/>
              </w:rPr>
            </w:pPr>
          </w:p>
        </w:tc>
        <w:tc>
          <w:tcPr>
            <w:tcW w:w="580" w:type="dxa"/>
            <w:vAlign w:val="bottom"/>
            <w:gridSpan w:val="3"/>
          </w:tcPr>
          <w:p>
            <w:pPr>
              <w:ind w:left="80"/>
              <w:spacing w:after="0"/>
              <w:rPr>
                <w:sz w:val="20"/>
                <w:szCs w:val="20"/>
                <w:color w:val="auto"/>
              </w:rPr>
            </w:pPr>
            <w:r>
              <w:rPr>
                <w:rFonts w:ascii="Arial" w:cs="Arial" w:eastAsia="Arial" w:hAnsi="Arial"/>
                <w:sz w:val="18"/>
                <w:szCs w:val="18"/>
                <w:color w:val="auto"/>
                <w:w w:val="83"/>
              </w:rPr>
              <w:t>$32.28</w:t>
            </w:r>
          </w:p>
        </w:tc>
        <w:tc>
          <w:tcPr>
            <w:tcW w:w="10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2,398,456</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Quarter 2008</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67,903</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5"/>
              </w:rPr>
              <w:t>28.76</w:t>
            </w:r>
          </w:p>
        </w:tc>
        <w:tc>
          <w:tcPr>
            <w:tcW w:w="12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3"/>
              </w:rPr>
              <w:t>$24.20</w:t>
            </w: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309,271</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1,583,441</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3rd Quarter 2008</w:t>
            </w:r>
          </w:p>
        </w:tc>
        <w:tc>
          <w:tcPr>
            <w:tcW w:w="1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5"/>
          </w:tcPr>
          <w:p>
            <w:pPr>
              <w:jc w:val="right"/>
              <w:ind w:right="120"/>
              <w:spacing w:after="0"/>
              <w:rPr>
                <w:sz w:val="20"/>
                <w:szCs w:val="20"/>
                <w:color w:val="auto"/>
              </w:rPr>
            </w:pPr>
            <w:r>
              <w:rPr>
                <w:rFonts w:ascii="Arial" w:cs="Arial" w:eastAsia="Arial" w:hAnsi="Arial"/>
                <w:sz w:val="18"/>
                <w:szCs w:val="18"/>
                <w:color w:val="auto"/>
              </w:rPr>
              <w:t>38%</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93,768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w w:val="75"/>
              </w:rPr>
              <w:t>43.16</w:t>
            </w:r>
          </w:p>
        </w:tc>
        <w:tc>
          <w:tcPr>
            <w:tcW w:w="120" w:type="dxa"/>
            <w:vAlign w:val="bottom"/>
          </w:tcPr>
          <w:p>
            <w:pPr>
              <w:spacing w:after="0"/>
              <w:rPr>
                <w:sz w:val="18"/>
                <w:szCs w:val="18"/>
                <w:color w:val="auto"/>
              </w:rPr>
            </w:pPr>
          </w:p>
        </w:tc>
        <w:tc>
          <w:tcPr>
            <w:tcW w:w="580" w:type="dxa"/>
            <w:vAlign w:val="bottom"/>
            <w:gridSpan w:val="3"/>
          </w:tcPr>
          <w:p>
            <w:pPr>
              <w:ind w:left="8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29.76</w:t>
            </w:r>
          </w:p>
        </w:tc>
        <w:tc>
          <w:tcPr>
            <w:tcW w:w="100" w:type="dxa"/>
            <w:vAlign w:val="bottom"/>
          </w:tcPr>
          <w:p>
            <w:pPr>
              <w:spacing w:after="0"/>
              <w:rPr>
                <w:sz w:val="18"/>
                <w:szCs w:val="18"/>
                <w:color w:val="auto"/>
              </w:rPr>
            </w:pPr>
          </w:p>
        </w:tc>
        <w:tc>
          <w:tcPr>
            <w:tcW w:w="880" w:type="dxa"/>
            <w:vAlign w:val="bottom"/>
            <w:gridSpan w:val="4"/>
          </w:tcPr>
          <w:p>
            <w:pPr>
              <w:ind w:left="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1,257,073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2,224,958</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Total - 12 months</w:t>
            </w:r>
          </w:p>
        </w:tc>
        <w:tc>
          <w:tcPr>
            <w:tcW w:w="1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308,899</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5"/>
              </w:rPr>
              <w:t>32.96</w:t>
            </w:r>
          </w:p>
        </w:tc>
        <w:tc>
          <w:tcPr>
            <w:tcW w:w="12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ind w:left="8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28.64</w:t>
            </w:r>
          </w:p>
        </w:tc>
        <w:tc>
          <w:tcPr>
            <w:tcW w:w="10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ind w:left="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1,334,774</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7,401,047</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gridSpan w:val="4"/>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40" w:type="dxa"/>
            <w:vAlign w:val="bottom"/>
            <w:gridSpan w:val="19"/>
          </w:tcPr>
          <w:p>
            <w:pPr>
              <w:spacing w:after="0"/>
              <w:rPr>
                <w:sz w:val="20"/>
                <w:szCs w:val="20"/>
                <w:color w:val="auto"/>
              </w:rPr>
            </w:pPr>
            <w:r>
              <w:rPr>
                <w:rFonts w:ascii="Arial" w:cs="Arial" w:eastAsia="Arial" w:hAnsi="Arial"/>
                <w:sz w:val="18"/>
                <w:szCs w:val="18"/>
                <w:b w:val="1"/>
                <w:bCs w:val="1"/>
                <w:color w:val="auto"/>
              </w:rPr>
              <w:t>Renewal Lease Summary - Comparable (2) (7)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Straight-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lined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Cash</w:t>
            </w: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Basis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88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Prior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Basis %</w:t>
            </w: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Increase</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8"/>
              </w:rPr>
              <w:t>Weighted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Comparable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Rent (4)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Annual</w:t>
            </w: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Over</w:t>
            </w: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Tenant</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79"/>
              </w:rPr>
              <w:t>Leases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GLA</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Rent (3)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Per Sq.</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Increase</w:t>
            </w: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Over</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Prior</w:t>
            </w:r>
          </w:p>
        </w:tc>
        <w:tc>
          <w:tcPr>
            <w:tcW w:w="6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Lease</w:t>
            </w:r>
          </w:p>
        </w:tc>
        <w:tc>
          <w:tcPr>
            <w:tcW w:w="10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Signed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Signed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Signed</w:t>
            </w:r>
          </w:p>
        </w:tc>
        <w:tc>
          <w:tcPr>
            <w:tcW w:w="10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Per Sq. Ft.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in Rent</w:t>
            </w: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Prior Rent</w:t>
            </w: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Rent</w:t>
            </w:r>
          </w:p>
        </w:tc>
        <w:tc>
          <w:tcPr>
            <w:tcW w:w="1860" w:type="dxa"/>
            <w:vAlign w:val="bottom"/>
            <w:gridSpan w:val="6"/>
          </w:tcPr>
          <w:p>
            <w:pPr>
              <w:ind w:left="40"/>
              <w:spacing w:after="0"/>
              <w:rPr>
                <w:sz w:val="20"/>
                <w:szCs w:val="20"/>
                <w:color w:val="auto"/>
              </w:rPr>
            </w:pPr>
            <w:r>
              <w:rPr>
                <w:rFonts w:ascii="Arial" w:cs="Arial" w:eastAsia="Arial" w:hAnsi="Arial"/>
                <w:sz w:val="14"/>
                <w:szCs w:val="14"/>
                <w:b w:val="1"/>
                <w:bCs w:val="1"/>
                <w:color w:val="auto"/>
              </w:rPr>
              <w:t>Term (5)   &amp; Incentives (6)</w:t>
            </w: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2nd Quarter 2009</w:t>
            </w:r>
          </w:p>
        </w:tc>
        <w:tc>
          <w:tcPr>
            <w:tcW w:w="7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900" w:type="dxa"/>
            <w:vAlign w:val="bottom"/>
            <w:tcBorders>
              <w:right w:val="single" w:sz="8" w:color="CCEEFF"/>
            </w:tcBorders>
            <w:gridSpan w:val="5"/>
            <w:shd w:val="clear" w:color="auto" w:fill="CCEEFF"/>
          </w:tcPr>
          <w:p>
            <w:pPr>
              <w:jc w:val="center"/>
              <w:ind w:left="52"/>
              <w:spacing w:after="0"/>
              <w:rPr>
                <w:sz w:val="20"/>
                <w:szCs w:val="20"/>
                <w:color w:val="auto"/>
              </w:rPr>
            </w:pPr>
            <w:r>
              <w:rPr>
                <w:rFonts w:ascii="Arial" w:cs="Arial" w:eastAsia="Arial" w:hAnsi="Arial"/>
                <w:sz w:val="18"/>
                <w:szCs w:val="18"/>
                <w:color w:val="auto"/>
                <w:w w:val="86"/>
              </w:rPr>
              <w:t>241,521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4"/>
              </w:rPr>
              <w:t>27.66</w:t>
            </w:r>
          </w:p>
        </w:tc>
        <w:tc>
          <w:tcPr>
            <w:tcW w:w="68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90"/>
              </w:rPr>
              <w:t>$21.89</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$1,392,314</w:t>
            </w: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1st Quarter 2009</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65%</w:t>
            </w:r>
          </w:p>
        </w:tc>
        <w:tc>
          <w:tcPr>
            <w:tcW w:w="900" w:type="dxa"/>
            <w:vAlign w:val="bottom"/>
            <w:gridSpan w:val="5"/>
          </w:tcPr>
          <w:p>
            <w:pPr>
              <w:jc w:val="center"/>
              <w:ind w:left="52"/>
              <w:spacing w:after="0"/>
              <w:rPr>
                <w:sz w:val="20"/>
                <w:szCs w:val="20"/>
                <w:color w:val="auto"/>
              </w:rPr>
            </w:pPr>
            <w:r>
              <w:rPr>
                <w:rFonts w:ascii="Arial" w:cs="Arial" w:eastAsia="Arial" w:hAnsi="Arial"/>
                <w:sz w:val="18"/>
                <w:szCs w:val="18"/>
                <w:color w:val="auto"/>
                <w:w w:val="86"/>
              </w:rPr>
              <w:t>158,570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w w:val="84"/>
              </w:rPr>
              <w:t>30.90</w:t>
            </w:r>
          </w:p>
        </w:tc>
        <w:tc>
          <w:tcPr>
            <w:tcW w:w="680" w:type="dxa"/>
            <w:vAlign w:val="bottom"/>
            <w:gridSpan w:val="4"/>
          </w:tcPr>
          <w:p>
            <w:pPr>
              <w:jc w:val="center"/>
              <w:ind w:left="92"/>
              <w:spacing w:after="0"/>
              <w:rPr>
                <w:sz w:val="20"/>
                <w:szCs w:val="20"/>
                <w:color w:val="auto"/>
              </w:rPr>
            </w:pPr>
            <w:r>
              <w:rPr>
                <w:rFonts w:ascii="Arial" w:cs="Arial" w:eastAsia="Arial" w:hAnsi="Arial"/>
                <w:sz w:val="18"/>
                <w:szCs w:val="18"/>
                <w:color w:val="auto"/>
                <w:w w:val="90"/>
              </w:rPr>
              <w:t>$24.53</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$1,009,604</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15,300</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Quarter 2008</w:t>
            </w:r>
          </w:p>
        </w:tc>
        <w:tc>
          <w:tcPr>
            <w:tcW w:w="7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900" w:type="dxa"/>
            <w:vAlign w:val="bottom"/>
            <w:tcBorders>
              <w:right w:val="single" w:sz="8" w:color="CCEEFF"/>
            </w:tcBorders>
            <w:gridSpan w:val="5"/>
            <w:shd w:val="clear" w:color="auto" w:fill="CCEEFF"/>
          </w:tcPr>
          <w:p>
            <w:pPr>
              <w:jc w:val="center"/>
              <w:ind w:left="52"/>
              <w:spacing w:after="0"/>
              <w:rPr>
                <w:sz w:val="20"/>
                <w:szCs w:val="20"/>
                <w:color w:val="auto"/>
              </w:rPr>
            </w:pPr>
            <w:r>
              <w:rPr>
                <w:rFonts w:ascii="Arial" w:cs="Arial" w:eastAsia="Arial" w:hAnsi="Arial"/>
                <w:sz w:val="18"/>
                <w:szCs w:val="18"/>
                <w:color w:val="auto"/>
                <w:w w:val="86"/>
              </w:rPr>
              <w:t>261,719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4"/>
              </w:rPr>
              <w:t>19.76</w:t>
            </w:r>
          </w:p>
        </w:tc>
        <w:tc>
          <w:tcPr>
            <w:tcW w:w="68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90"/>
              </w:rPr>
              <w:t>$17.88</w:t>
            </w: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493,783</w:t>
            </w: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3rd Quarter 2008</w:t>
            </w:r>
          </w:p>
        </w:tc>
        <w:tc>
          <w:tcPr>
            <w:tcW w:w="260" w:type="dxa"/>
            <w:vAlign w:val="bottom"/>
            <w:gridSpan w:val="2"/>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62%</w:t>
            </w:r>
          </w:p>
        </w:tc>
        <w:tc>
          <w:tcPr>
            <w:tcW w:w="900" w:type="dxa"/>
            <w:vAlign w:val="bottom"/>
            <w:gridSpan w:val="5"/>
          </w:tcPr>
          <w:p>
            <w:pPr>
              <w:jc w:val="center"/>
              <w:ind w:left="52"/>
              <w:spacing w:after="0"/>
              <w:rPr>
                <w:sz w:val="20"/>
                <w:szCs w:val="20"/>
                <w:color w:val="auto"/>
              </w:rPr>
            </w:pPr>
            <w:r>
              <w:rPr>
                <w:rFonts w:ascii="Arial" w:cs="Arial" w:eastAsia="Arial" w:hAnsi="Arial"/>
                <w:sz w:val="18"/>
                <w:szCs w:val="18"/>
                <w:color w:val="auto"/>
                <w:w w:val="86"/>
              </w:rPr>
              <w:t>257,542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w w:val="84"/>
              </w:rPr>
              <w:t>18.43</w:t>
            </w:r>
          </w:p>
        </w:tc>
        <w:tc>
          <w:tcPr>
            <w:tcW w:w="680" w:type="dxa"/>
            <w:vAlign w:val="bottom"/>
            <w:gridSpan w:val="4"/>
          </w:tcPr>
          <w:p>
            <w:pPr>
              <w:jc w:val="center"/>
              <w:ind w:left="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16.83</w:t>
            </w:r>
          </w:p>
        </w:tc>
        <w:tc>
          <w:tcPr>
            <w:tcW w:w="280" w:type="dxa"/>
            <w:vAlign w:val="bottom"/>
            <w:gridSpan w:val="3"/>
          </w:tcPr>
          <w:p>
            <w:pPr>
              <w:ind w:left="200"/>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411,983</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504,000</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Total - 12 months</w:t>
            </w:r>
          </w:p>
        </w:tc>
        <w:tc>
          <w:tcPr>
            <w:tcW w:w="260" w:type="dxa"/>
            <w:vAlign w:val="bottom"/>
            <w:gridSpan w:val="2"/>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900" w:type="dxa"/>
            <w:vAlign w:val="bottom"/>
            <w:tcBorders>
              <w:right w:val="single" w:sz="8" w:color="CCEEFF"/>
            </w:tcBorders>
            <w:gridSpan w:val="5"/>
            <w:shd w:val="clear" w:color="auto" w:fill="CCEEFF"/>
          </w:tcPr>
          <w:p>
            <w:pPr>
              <w:jc w:val="center"/>
              <w:ind w:left="52"/>
              <w:spacing w:after="0"/>
              <w:rPr>
                <w:sz w:val="20"/>
                <w:szCs w:val="20"/>
                <w:color w:val="auto"/>
              </w:rPr>
            </w:pPr>
            <w:r>
              <w:rPr>
                <w:rFonts w:ascii="Arial" w:cs="Arial" w:eastAsia="Arial" w:hAnsi="Arial"/>
                <w:sz w:val="18"/>
                <w:szCs w:val="18"/>
                <w:color w:val="auto"/>
                <w:w w:val="86"/>
              </w:rPr>
              <w:t>919,352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4"/>
              </w:rPr>
              <w:t>23.38</w:t>
            </w:r>
          </w:p>
        </w:tc>
        <w:tc>
          <w:tcPr>
            <w:tcW w:w="68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19.79</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3,307,684</w:t>
            </w: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Comparable and Non-comparable (2)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20" w:type="dxa"/>
            <w:vAlign w:val="bottom"/>
          </w:tcPr>
          <w:p>
            <w:pPr>
              <w:spacing w:after="0"/>
              <w:rPr>
                <w:sz w:val="12"/>
                <w:szCs w:val="12"/>
                <w:color w:val="auto"/>
              </w:rPr>
            </w:pPr>
          </w:p>
        </w:tc>
        <w:tc>
          <w:tcPr>
            <w:tcW w:w="8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Weighted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Tenant</w:t>
            </w:r>
          </w:p>
        </w:tc>
        <w:tc>
          <w:tcPr>
            <w:tcW w:w="3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Number of</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Rent (3)</w:t>
            </w:r>
          </w:p>
        </w:tc>
        <w:tc>
          <w:tcPr>
            <w:tcW w:w="32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Improvements</w:t>
            </w:r>
          </w:p>
        </w:tc>
        <w:tc>
          <w:tcPr>
            <w:tcW w:w="3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74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79"/>
              </w:rPr>
              <w:t>Leases Signed</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GLA Signed</w:t>
            </w:r>
          </w:p>
        </w:tc>
        <w:tc>
          <w:tcPr>
            <w:tcW w:w="3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Per Sq. Ft.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4"/>
              </w:rPr>
              <w:t>Lease Term (5)</w:t>
            </w:r>
          </w:p>
        </w:tc>
        <w:tc>
          <w:tcPr>
            <w:tcW w:w="3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6"/>
              </w:rPr>
              <w:t>&amp; Incentives (6)</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 2009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318,703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1,503,836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Arial" w:cs="Arial" w:eastAsia="Arial" w:hAnsi="Arial"/>
                <w:sz w:val="18"/>
                <w:szCs w:val="18"/>
                <w:color w:val="auto"/>
              </w:rPr>
              <w:t>1st Quarter 2009</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233,172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31.35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2,430,940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 2008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334,127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1,898,706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Arial" w:cs="Arial" w:eastAsia="Arial" w:hAnsi="Arial"/>
                <w:sz w:val="18"/>
                <w:szCs w:val="18"/>
                <w:color w:val="auto"/>
              </w:rPr>
              <w:t>3rd Quarter 2008</w:t>
            </w: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369,323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3,721,035</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1,255,325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9,554,517</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Comparable leases represent those leases signed on spaces for which there was a former tenant.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rent represents minimum rent and percentage rent, if any, paid by the prior tenant in the final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Renewal leases represent expiring leases rolling over with the same tenant in the same location. All other leases are categorized as new.</w:t>
      </w:r>
    </w:p>
    <w:p>
      <w:pPr>
        <w:sectPr>
          <w:pgSz w:w="11900" w:h="16838" w:orient="portrait"/>
          <w:cols w:equalWidth="0" w:num="1">
            <w:col w:w="11420"/>
          </w:cols>
          <w:pgMar w:left="240" w:top="274"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74"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Assumes no exercise of lease options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7"/>
              </w:rPr>
              <w:t>Anchor Tenants (1)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4"/>
              </w:rPr>
              <w:t>Small Shop Tenants</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0"/>
              </w:rPr>
              <w:t>% of Small</w:t>
            </w: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6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Anchor SF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PSF (2)</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24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Shop SF</w:t>
            </w:r>
          </w:p>
        </w:tc>
        <w:tc>
          <w:tcPr>
            <w:tcW w:w="160" w:type="dxa"/>
            <w:vAlign w:val="bottom"/>
          </w:tcPr>
          <w:p>
            <w:pPr>
              <w:spacing w:after="0"/>
              <w:rPr>
                <w:sz w:val="14"/>
                <w:szCs w:val="14"/>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PSF (2)</w:t>
            </w:r>
          </w:p>
        </w:tc>
        <w:tc>
          <w:tcPr>
            <w:tcW w:w="2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Expiring SF</w:t>
            </w: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Total SF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461,000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516,000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11.67</w:t>
            </w:r>
          </w:p>
        </w:tc>
        <w:tc>
          <w:tcPr>
            <w:tcW w:w="700" w:type="dxa"/>
            <w:vAlign w:val="bottom"/>
          </w:tcPr>
          <w:p>
            <w:pPr>
              <w:jc w:val="right"/>
              <w:spacing w:after="0"/>
              <w:rPr>
                <w:sz w:val="20"/>
                <w:szCs w:val="20"/>
                <w:color w:val="auto"/>
              </w:rPr>
            </w:pPr>
            <w:r>
              <w:rPr>
                <w:rFonts w:ascii="Arial" w:cs="Arial" w:eastAsia="Arial" w:hAnsi="Arial"/>
                <w:sz w:val="18"/>
                <w:szCs w:val="18"/>
                <w:color w:val="auto"/>
              </w:rPr>
              <w:t>833,000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1,349,000</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1,132,000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2,001,000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2012</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978,000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13.16</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1,097,000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2,074,000</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1,012,000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2,111,000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2014</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1,398,000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15.68</w:t>
            </w:r>
          </w:p>
        </w:tc>
        <w:tc>
          <w:tcPr>
            <w:tcW w:w="700" w:type="dxa"/>
            <w:vAlign w:val="bottom"/>
          </w:tcPr>
          <w:p>
            <w:pPr>
              <w:jc w:val="right"/>
              <w:spacing w:after="0"/>
              <w:rPr>
                <w:sz w:val="20"/>
                <w:szCs w:val="20"/>
                <w:color w:val="auto"/>
              </w:rPr>
            </w:pPr>
            <w:r>
              <w:rPr>
                <w:rFonts w:ascii="Arial" w:cs="Arial" w:eastAsia="Arial" w:hAnsi="Arial"/>
                <w:sz w:val="18"/>
                <w:szCs w:val="18"/>
                <w:color w:val="auto"/>
              </w:rPr>
              <w:t>755,000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32.16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2,153,000</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1,086,000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17.42</w:t>
            </w:r>
          </w:p>
        </w:tc>
        <w:tc>
          <w:tcPr>
            <w:tcW w:w="700" w:type="dxa"/>
            <w:vAlign w:val="bottom"/>
          </w:tcPr>
          <w:p>
            <w:pPr>
              <w:jc w:val="right"/>
              <w:spacing w:after="0"/>
              <w:rPr>
                <w:sz w:val="20"/>
                <w:szCs w:val="20"/>
                <w:color w:val="auto"/>
              </w:rPr>
            </w:pPr>
            <w:r>
              <w:rPr>
                <w:rFonts w:ascii="Arial" w:cs="Arial" w:eastAsia="Arial" w:hAnsi="Arial"/>
                <w:sz w:val="18"/>
                <w:szCs w:val="18"/>
                <w:color w:val="auto"/>
              </w:rPr>
              <w:t>442,000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30.88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905,000</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1,054,000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11.35</w:t>
            </w:r>
          </w:p>
        </w:tc>
        <w:tc>
          <w:tcPr>
            <w:tcW w:w="700" w:type="dxa"/>
            <w:vAlign w:val="bottom"/>
          </w:tcPr>
          <w:p>
            <w:pPr>
              <w:jc w:val="right"/>
              <w:spacing w:after="0"/>
              <w:rPr>
                <w:sz w:val="20"/>
                <w:szCs w:val="20"/>
                <w:color w:val="auto"/>
              </w:rPr>
            </w:pPr>
            <w:r>
              <w:rPr>
                <w:rFonts w:ascii="Arial" w:cs="Arial" w:eastAsia="Arial" w:hAnsi="Arial"/>
                <w:sz w:val="18"/>
                <w:szCs w:val="18"/>
                <w:color w:val="auto"/>
              </w:rPr>
              <w:t>298,000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34.84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938,000</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2,309,000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2,849,000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60" w:type="dxa"/>
            <w:vAlign w:val="bottom"/>
            <w:gridSpan w:val="4"/>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9,568,000</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15.09</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7,415,000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30.76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16,981,000</w:t>
            </w:r>
          </w:p>
        </w:tc>
        <w:tc>
          <w:tcPr>
            <w:tcW w:w="2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060" w:type="dxa"/>
            <w:vAlign w:val="bottom"/>
            <w:gridSpan w:val="5"/>
          </w:tcPr>
          <w:p>
            <w:pPr>
              <w:spacing w:after="0"/>
              <w:rPr>
                <w:sz w:val="20"/>
                <w:szCs w:val="20"/>
                <w:color w:val="auto"/>
              </w:rPr>
            </w:pPr>
            <w:r>
              <w:rPr>
                <w:rFonts w:ascii="Arial" w:cs="Arial" w:eastAsia="Arial" w:hAnsi="Arial"/>
                <w:sz w:val="18"/>
                <w:szCs w:val="18"/>
                <w:b w:val="1"/>
                <w:bCs w:val="1"/>
                <w:color w:val="auto"/>
                <w:w w:val="88"/>
              </w:rPr>
              <w:t>Assumes all lease options are exercised</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7"/>
              </w:rPr>
              <w:t>Anchor Tenants (1)</w:t>
            </w: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4"/>
              </w:rPr>
              <w:t>Small Shop Tenants</w:t>
            </w: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0"/>
              </w:rPr>
              <w:t>% of Small</w:t>
            </w: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6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Anchor SF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PSF (2)</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24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Shop SF</w:t>
            </w:r>
          </w:p>
        </w:tc>
        <w:tc>
          <w:tcPr>
            <w:tcW w:w="160" w:type="dxa"/>
            <w:vAlign w:val="bottom"/>
          </w:tcPr>
          <w:p>
            <w:pPr>
              <w:spacing w:after="0"/>
              <w:rPr>
                <w:sz w:val="14"/>
                <w:szCs w:val="14"/>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PSF (2)</w:t>
            </w:r>
          </w:p>
        </w:tc>
        <w:tc>
          <w:tcPr>
            <w:tcW w:w="2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Expiring SF</w:t>
            </w: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Total SF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306,000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11.46</w:t>
            </w:r>
          </w:p>
        </w:tc>
        <w:tc>
          <w:tcPr>
            <w:tcW w:w="700" w:type="dxa"/>
            <w:vAlign w:val="bottom"/>
          </w:tcPr>
          <w:p>
            <w:pPr>
              <w:jc w:val="right"/>
              <w:spacing w:after="0"/>
              <w:rPr>
                <w:sz w:val="20"/>
                <w:szCs w:val="20"/>
                <w:color w:val="auto"/>
              </w:rPr>
            </w:pPr>
            <w:r>
              <w:rPr>
                <w:rFonts w:ascii="Arial" w:cs="Arial" w:eastAsia="Arial" w:hAnsi="Arial"/>
                <w:sz w:val="18"/>
                <w:szCs w:val="18"/>
                <w:color w:val="auto"/>
              </w:rPr>
              <w:t>530,000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696,000</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858,000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2012</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16.15</w:t>
            </w:r>
          </w:p>
        </w:tc>
        <w:tc>
          <w:tcPr>
            <w:tcW w:w="700" w:type="dxa"/>
            <w:vAlign w:val="bottom"/>
          </w:tcPr>
          <w:p>
            <w:pPr>
              <w:jc w:val="right"/>
              <w:spacing w:after="0"/>
              <w:rPr>
                <w:sz w:val="20"/>
                <w:szCs w:val="20"/>
                <w:color w:val="auto"/>
              </w:rPr>
            </w:pPr>
            <w:r>
              <w:rPr>
                <w:rFonts w:ascii="Arial" w:cs="Arial" w:eastAsia="Arial" w:hAnsi="Arial"/>
                <w:sz w:val="18"/>
                <w:szCs w:val="18"/>
                <w:color w:val="auto"/>
              </w:rPr>
              <w:t>635,000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853,000</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698,000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2014</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10.20</w:t>
            </w:r>
          </w:p>
        </w:tc>
        <w:tc>
          <w:tcPr>
            <w:tcW w:w="700" w:type="dxa"/>
            <w:vAlign w:val="bottom"/>
          </w:tcPr>
          <w:p>
            <w:pPr>
              <w:jc w:val="right"/>
              <w:spacing w:after="0"/>
              <w:rPr>
                <w:sz w:val="20"/>
                <w:szCs w:val="20"/>
                <w:color w:val="auto"/>
              </w:rPr>
            </w:pPr>
            <w:r>
              <w:rPr>
                <w:rFonts w:ascii="Arial" w:cs="Arial" w:eastAsia="Arial" w:hAnsi="Arial"/>
                <w:sz w:val="18"/>
                <w:szCs w:val="18"/>
                <w:color w:val="auto"/>
              </w:rPr>
              <w:t>508,000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33.55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732,000</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541,000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18.70</w:t>
            </w:r>
          </w:p>
        </w:tc>
        <w:tc>
          <w:tcPr>
            <w:tcW w:w="700" w:type="dxa"/>
            <w:vAlign w:val="bottom"/>
          </w:tcPr>
          <w:p>
            <w:pPr>
              <w:jc w:val="right"/>
              <w:spacing w:after="0"/>
              <w:rPr>
                <w:sz w:val="20"/>
                <w:szCs w:val="20"/>
                <w:color w:val="auto"/>
              </w:rPr>
            </w:pPr>
            <w:r>
              <w:rPr>
                <w:rFonts w:ascii="Arial" w:cs="Arial" w:eastAsia="Arial" w:hAnsi="Arial"/>
                <w:sz w:val="18"/>
                <w:szCs w:val="18"/>
                <w:color w:val="auto"/>
              </w:rPr>
              <w:t>426,000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31.90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630,000</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695,000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14.59</w:t>
            </w:r>
          </w:p>
        </w:tc>
        <w:tc>
          <w:tcPr>
            <w:tcW w:w="700" w:type="dxa"/>
            <w:vAlign w:val="bottom"/>
          </w:tcPr>
          <w:p>
            <w:pPr>
              <w:jc w:val="right"/>
              <w:spacing w:after="0"/>
              <w:rPr>
                <w:sz w:val="20"/>
                <w:szCs w:val="20"/>
                <w:color w:val="auto"/>
              </w:rPr>
            </w:pPr>
            <w:r>
              <w:rPr>
                <w:rFonts w:ascii="Arial" w:cs="Arial" w:eastAsia="Arial" w:hAnsi="Arial"/>
                <w:sz w:val="18"/>
                <w:szCs w:val="18"/>
                <w:color w:val="auto"/>
              </w:rPr>
              <w:t>456,000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34.98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761,000</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7,728,000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2,484,000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10,211,000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60" w:type="dxa"/>
            <w:vAlign w:val="bottom"/>
            <w:gridSpan w:val="4"/>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9,568,000</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15.09</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7,415,000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30.76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16,981,000</w:t>
            </w:r>
          </w:p>
        </w:tc>
        <w:tc>
          <w:tcPr>
            <w:tcW w:w="2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Minimum Rent reflects in-place contractual (cash-basis) rent as of June 30,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occupied square footage as of June 30,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Portfolio Statistics (1)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8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At June 30, 2009</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At June 30, 2008</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gridSpan w:val="4"/>
            <w:vMerge w:val="continue"/>
          </w:tcPr>
          <w:p>
            <w:pPr>
              <w:spacing w:after="0"/>
              <w:rPr>
                <w:sz w:val="12"/>
                <w:szCs w:val="12"/>
                <w:color w:val="auto"/>
              </w:rPr>
            </w:pPr>
          </w:p>
        </w:tc>
        <w:tc>
          <w:tcPr>
            <w:tcW w:w="80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12"/>
                <w:szCs w:val="12"/>
                <w:color w:val="auto"/>
              </w:rPr>
            </w:pPr>
          </w:p>
        </w:tc>
        <w:tc>
          <w:tcPr>
            <w:tcW w:w="7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Leased</w:t>
            </w:r>
          </w:p>
        </w:tc>
        <w:tc>
          <w:tcPr>
            <w:tcW w:w="22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400" w:type="dxa"/>
            <w:vAlign w:val="bottom"/>
          </w:tcPr>
          <w:p>
            <w:pPr>
              <w:spacing w:after="0"/>
              <w:rPr>
                <w:sz w:val="12"/>
                <w:szCs w:val="12"/>
                <w:color w:val="auto"/>
              </w:rPr>
            </w:pPr>
          </w:p>
        </w:tc>
        <w:tc>
          <w:tcPr>
            <w:tcW w:w="80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12"/>
                <w:szCs w:val="12"/>
                <w:color w:val="auto"/>
              </w:rPr>
            </w:pPr>
          </w:p>
        </w:tc>
        <w:tc>
          <w:tcPr>
            <w:tcW w:w="8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Leased</w:t>
            </w:r>
          </w:p>
        </w:tc>
        <w:tc>
          <w:tcPr>
            <w:tcW w:w="20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(sf)</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18,168,000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17,084,000</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18,399,000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17,634,000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903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871</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96.5%</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412"/>
        </w:trPr>
        <w:tc>
          <w:tcPr>
            <w:tcW w:w="5660" w:type="dxa"/>
            <w:vAlign w:val="bottom"/>
            <w:gridSpan w:val="4"/>
          </w:tcPr>
          <w:p>
            <w:pPr>
              <w:spacing w:after="0"/>
              <w:rPr>
                <w:sz w:val="20"/>
                <w:szCs w:val="20"/>
                <w:color w:val="auto"/>
              </w:rPr>
            </w:pPr>
            <w:r>
              <w:rPr>
                <w:rFonts w:ascii="Arial" w:cs="Arial" w:eastAsia="Arial" w:hAnsi="Arial"/>
                <w:sz w:val="18"/>
                <w:szCs w:val="18"/>
                <w:b w:val="1"/>
                <w:bCs w:val="1"/>
                <w:color w:val="auto"/>
              </w:rPr>
              <w:t>Same Center Statistics (1)</w:t>
            </w:r>
          </w:p>
        </w:tc>
        <w:tc>
          <w:tcPr>
            <w:tcW w:w="800" w:type="dxa"/>
            <w:vAlign w:val="bottom"/>
          </w:tcPr>
          <w:p>
            <w:pPr>
              <w:spacing w:after="0"/>
              <w:rPr>
                <w:sz w:val="24"/>
                <w:szCs w:val="24"/>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5"/>
              </w:rPr>
              <w:t>At June 30, 2009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5"/>
              </w:rPr>
              <w:t>At June 30, 2008</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8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gridSpan w:val="4"/>
            <w:vMerge w:val="continue"/>
          </w:tcPr>
          <w:p>
            <w:pPr>
              <w:spacing w:after="0"/>
              <w:rPr>
                <w:sz w:val="12"/>
                <w:szCs w:val="12"/>
                <w:color w:val="auto"/>
              </w:rPr>
            </w:pPr>
          </w:p>
        </w:tc>
        <w:tc>
          <w:tcPr>
            <w:tcW w:w="80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12"/>
                <w:szCs w:val="12"/>
                <w:color w:val="auto"/>
              </w:rPr>
            </w:pPr>
          </w:p>
        </w:tc>
        <w:tc>
          <w:tcPr>
            <w:tcW w:w="7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Leased</w:t>
            </w:r>
          </w:p>
        </w:tc>
        <w:tc>
          <w:tcPr>
            <w:tcW w:w="22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400" w:type="dxa"/>
            <w:vAlign w:val="bottom"/>
          </w:tcPr>
          <w:p>
            <w:pPr>
              <w:spacing w:after="0"/>
              <w:rPr>
                <w:sz w:val="12"/>
                <w:szCs w:val="12"/>
                <w:color w:val="auto"/>
              </w:rPr>
            </w:pPr>
          </w:p>
        </w:tc>
        <w:tc>
          <w:tcPr>
            <w:tcW w:w="80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12"/>
                <w:szCs w:val="12"/>
                <w:color w:val="auto"/>
              </w:rPr>
            </w:pPr>
          </w:p>
        </w:tc>
        <w:tc>
          <w:tcPr>
            <w:tcW w:w="8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Leased</w:t>
            </w:r>
          </w:p>
        </w:tc>
        <w:tc>
          <w:tcPr>
            <w:tcW w:w="20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(4) (sf)</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16,946,000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15,961,000</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17,207,000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16,543,000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694</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96.0%</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portfolio and Same Center statistics at June 30, 2009 and 2008 include Rollingwood, The Crest at Congressional and the residential rental units at Santana Row. Overall portfolio statistics as of June 30, 2009, include the 180 residential units at Arlington East (Bethesda Row) which were first delivered in May 2008 and continued to be delivered through 2008.</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properties purchased, sold or under redevelopment.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 of</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Tenant Name</w:t>
            </w:r>
          </w:p>
        </w:tc>
        <w:tc>
          <w:tcPr>
            <w:tcW w:w="34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Annualized Base</w:t>
            </w:r>
          </w:p>
        </w:tc>
        <w:tc>
          <w:tcPr>
            <w:tcW w:w="15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Total Annualized</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2"/>
              </w:rPr>
              <w:t>Percentage 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Stores</w:t>
            </w:r>
          </w:p>
        </w:tc>
        <w:tc>
          <w:tcPr>
            <w:tcW w:w="0" w:type="dxa"/>
            <w:vAlign w:val="bottom"/>
          </w:tcPr>
          <w:p>
            <w:pPr>
              <w:spacing w:after="0"/>
              <w:rPr>
                <w:sz w:val="1"/>
                <w:szCs w:val="1"/>
                <w:color w:val="auto"/>
              </w:rPr>
            </w:pPr>
          </w:p>
        </w:tc>
      </w:tr>
      <w:tr>
        <w:trPr>
          <w:trHeight w:val="161"/>
        </w:trPr>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3"/>
              </w:rPr>
              <w:t>Rank</w:t>
            </w:r>
          </w:p>
        </w:tc>
        <w:tc>
          <w:tcPr>
            <w:tcW w:w="43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Rent</w:t>
            </w:r>
          </w:p>
        </w:tc>
        <w:tc>
          <w:tcPr>
            <w:tcW w:w="15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Base Rent</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Tenant GLA</w:t>
            </w: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 GLA</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Leased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Bed, Bath &amp; Beyond,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9,751,000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Ahold USA,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8,406,000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2.26%</w:t>
            </w:r>
          </w:p>
        </w:tc>
        <w:tc>
          <w:tcPr>
            <w:tcW w:w="780" w:type="dxa"/>
            <w:vAlign w:val="bottom"/>
          </w:tcPr>
          <w:p>
            <w:pPr>
              <w:jc w:val="right"/>
              <w:spacing w:after="0"/>
              <w:rPr>
                <w:sz w:val="20"/>
                <w:szCs w:val="20"/>
                <w:color w:val="auto"/>
              </w:rPr>
            </w:pPr>
            <w:r>
              <w:rPr>
                <w:rFonts w:ascii="Arial" w:cs="Arial" w:eastAsia="Arial" w:hAnsi="Arial"/>
                <w:sz w:val="18"/>
                <w:szCs w:val="18"/>
                <w:color w:val="auto"/>
              </w:rPr>
              <w:t>571,000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3.14%</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TJX Companies</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7,029,000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4</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Safeway,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6,751,000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1.81%</w:t>
            </w:r>
          </w:p>
        </w:tc>
        <w:tc>
          <w:tcPr>
            <w:tcW w:w="780" w:type="dxa"/>
            <w:vAlign w:val="bottom"/>
          </w:tcPr>
          <w:p>
            <w:pPr>
              <w:jc w:val="right"/>
              <w:spacing w:after="0"/>
              <w:rPr>
                <w:sz w:val="20"/>
                <w:szCs w:val="20"/>
                <w:color w:val="auto"/>
              </w:rPr>
            </w:pPr>
            <w:r>
              <w:rPr>
                <w:rFonts w:ascii="Arial" w:cs="Arial" w:eastAsia="Arial" w:hAnsi="Arial"/>
                <w:sz w:val="18"/>
                <w:szCs w:val="18"/>
                <w:color w:val="auto"/>
              </w:rPr>
              <w:t>481,000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2.65%</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Gap,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6,438,000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6</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CVS Corporation</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6,219,000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1.67%</w:t>
            </w:r>
          </w:p>
        </w:tc>
        <w:tc>
          <w:tcPr>
            <w:tcW w:w="780" w:type="dxa"/>
            <w:vAlign w:val="bottom"/>
          </w:tcPr>
          <w:p>
            <w:pPr>
              <w:jc w:val="right"/>
              <w:spacing w:after="0"/>
              <w:rPr>
                <w:sz w:val="20"/>
                <w:szCs w:val="20"/>
                <w:color w:val="auto"/>
              </w:rPr>
            </w:pPr>
            <w:r>
              <w:rPr>
                <w:rFonts w:ascii="Arial" w:cs="Arial" w:eastAsia="Arial" w:hAnsi="Arial"/>
                <w:sz w:val="18"/>
                <w:szCs w:val="18"/>
                <w:color w:val="auto"/>
              </w:rPr>
              <w:t>205,000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Barnes &amp; Noble,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4,725,000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8</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OPNET Technologies,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3,754,000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1.01%</w:t>
            </w:r>
          </w:p>
        </w:tc>
        <w:tc>
          <w:tcPr>
            <w:tcW w:w="780" w:type="dxa"/>
            <w:vAlign w:val="bottom"/>
          </w:tcPr>
          <w:p>
            <w:pPr>
              <w:jc w:val="right"/>
              <w:spacing w:after="0"/>
              <w:rPr>
                <w:sz w:val="20"/>
                <w:szCs w:val="20"/>
                <w:color w:val="auto"/>
              </w:rPr>
            </w:pPr>
            <w:r>
              <w:rPr>
                <w:rFonts w:ascii="Arial" w:cs="Arial" w:eastAsia="Arial" w:hAnsi="Arial"/>
                <w:sz w:val="18"/>
                <w:szCs w:val="18"/>
                <w:color w:val="auto"/>
              </w:rPr>
              <w:t>83,000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0.46%</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Staples,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3,479,000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10</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Best Buy Stores, L.P.</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3,459,000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0.93%</w:t>
            </w:r>
          </w:p>
        </w:tc>
        <w:tc>
          <w:tcPr>
            <w:tcW w:w="780" w:type="dxa"/>
            <w:vAlign w:val="bottom"/>
          </w:tcPr>
          <w:p>
            <w:pPr>
              <w:jc w:val="right"/>
              <w:spacing w:after="0"/>
              <w:rPr>
                <w:sz w:val="20"/>
                <w:szCs w:val="20"/>
                <w:color w:val="auto"/>
              </w:rPr>
            </w:pPr>
            <w:r>
              <w:rPr>
                <w:rFonts w:ascii="Arial" w:cs="Arial" w:eastAsia="Arial" w:hAnsi="Arial"/>
                <w:sz w:val="18"/>
                <w:szCs w:val="18"/>
                <w:color w:val="auto"/>
              </w:rPr>
              <w:t>99,000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0.54%</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DSW,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3,263,000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12</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Supervalu Inc.(Acme/Sav-A-</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3,227,000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0.87%</w:t>
            </w:r>
          </w:p>
        </w:tc>
        <w:tc>
          <w:tcPr>
            <w:tcW w:w="780" w:type="dxa"/>
            <w:vAlign w:val="bottom"/>
          </w:tcPr>
          <w:p>
            <w:pPr>
              <w:jc w:val="right"/>
              <w:spacing w:after="0"/>
              <w:rPr>
                <w:sz w:val="20"/>
                <w:szCs w:val="20"/>
                <w:color w:val="auto"/>
              </w:rPr>
            </w:pPr>
            <w:r>
              <w:rPr>
                <w:rFonts w:ascii="Arial" w:cs="Arial" w:eastAsia="Arial" w:hAnsi="Arial"/>
                <w:sz w:val="18"/>
                <w:szCs w:val="18"/>
                <w:color w:val="auto"/>
              </w:rPr>
              <w:t>338,000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1.86%</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Lot/Star Mkt/Shoppers Food)</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Wells Fargo Bank, N.A.</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3,200,000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(includes Wachovia Corporation)</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14</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L.A. Fitness International LLC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3,061,000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0.82%</w:t>
            </w:r>
          </w:p>
        </w:tc>
        <w:tc>
          <w:tcPr>
            <w:tcW w:w="780" w:type="dxa"/>
            <w:vAlign w:val="bottom"/>
          </w:tcPr>
          <w:p>
            <w:pPr>
              <w:jc w:val="right"/>
              <w:spacing w:after="0"/>
              <w:rPr>
                <w:sz w:val="20"/>
                <w:szCs w:val="20"/>
                <w:color w:val="auto"/>
              </w:rPr>
            </w:pPr>
            <w:r>
              <w:rPr>
                <w:rFonts w:ascii="Arial" w:cs="Arial" w:eastAsia="Arial" w:hAnsi="Arial"/>
                <w:sz w:val="18"/>
                <w:szCs w:val="18"/>
                <w:color w:val="auto"/>
              </w:rPr>
              <w:t>178,000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0.98%</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Home Depot,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2,832,000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16</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Ross Stores,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2,810,000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0.75%</w:t>
            </w:r>
          </w:p>
        </w:tc>
        <w:tc>
          <w:tcPr>
            <w:tcW w:w="780" w:type="dxa"/>
            <w:vAlign w:val="bottom"/>
          </w:tcPr>
          <w:p>
            <w:pPr>
              <w:jc w:val="right"/>
              <w:spacing w:after="0"/>
              <w:rPr>
                <w:sz w:val="20"/>
                <w:szCs w:val="20"/>
                <w:color w:val="auto"/>
              </w:rPr>
            </w:pPr>
            <w:r>
              <w:rPr>
                <w:rFonts w:ascii="Arial" w:cs="Arial" w:eastAsia="Arial" w:hAnsi="Arial"/>
                <w:sz w:val="18"/>
                <w:szCs w:val="18"/>
                <w:color w:val="auto"/>
              </w:rPr>
              <w:t>149,000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0.82%</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Kohl’s Corporation</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2,793,000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18</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Wakefern Food Corporation</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2,783,000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0.75%</w:t>
            </w:r>
          </w:p>
        </w:tc>
        <w:tc>
          <w:tcPr>
            <w:tcW w:w="780" w:type="dxa"/>
            <w:vAlign w:val="bottom"/>
          </w:tcPr>
          <w:p>
            <w:pPr>
              <w:jc w:val="right"/>
              <w:spacing w:after="0"/>
              <w:rPr>
                <w:sz w:val="20"/>
                <w:szCs w:val="20"/>
                <w:color w:val="auto"/>
              </w:rPr>
            </w:pPr>
            <w:r>
              <w:rPr>
                <w:rFonts w:ascii="Arial" w:cs="Arial" w:eastAsia="Arial" w:hAnsi="Arial"/>
                <w:sz w:val="18"/>
                <w:szCs w:val="18"/>
                <w:color w:val="auto"/>
              </w:rPr>
              <w:t>136,000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0.75%</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Bank of America, N.A.</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2,673,000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20</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Great Atlantic &amp; Pacific Tea Co</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2,517,000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0.68%</w:t>
            </w:r>
          </w:p>
        </w:tc>
        <w:tc>
          <w:tcPr>
            <w:tcW w:w="780" w:type="dxa"/>
            <w:vAlign w:val="bottom"/>
          </w:tcPr>
          <w:p>
            <w:pPr>
              <w:jc w:val="right"/>
              <w:spacing w:after="0"/>
              <w:rPr>
                <w:sz w:val="20"/>
                <w:szCs w:val="20"/>
                <w:color w:val="auto"/>
              </w:rPr>
            </w:pPr>
            <w:r>
              <w:rPr>
                <w:rFonts w:ascii="Arial" w:cs="Arial" w:eastAsia="Arial" w:hAnsi="Arial"/>
                <w:sz w:val="18"/>
                <w:szCs w:val="18"/>
                <w:color w:val="auto"/>
              </w:rPr>
              <w:t>217,000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1.19%</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Container Store,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2,496,000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22</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A.C. Moore,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2,483,000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0.67%</w:t>
            </w:r>
          </w:p>
        </w:tc>
        <w:tc>
          <w:tcPr>
            <w:tcW w:w="780" w:type="dxa"/>
            <w:vAlign w:val="bottom"/>
          </w:tcPr>
          <w:p>
            <w:pPr>
              <w:jc w:val="right"/>
              <w:spacing w:after="0"/>
              <w:rPr>
                <w:sz w:val="20"/>
                <w:szCs w:val="20"/>
                <w:color w:val="auto"/>
              </w:rPr>
            </w:pPr>
            <w:r>
              <w:rPr>
                <w:rFonts w:ascii="Arial" w:cs="Arial" w:eastAsia="Arial" w:hAnsi="Arial"/>
                <w:sz w:val="18"/>
                <w:szCs w:val="18"/>
                <w:color w:val="auto"/>
              </w:rPr>
              <w:t>141,000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0.78%</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AMC Entertainment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2,378,000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24</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Dollar Tree Stores,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2,357,000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0.63%</w:t>
            </w:r>
          </w:p>
        </w:tc>
        <w:tc>
          <w:tcPr>
            <w:tcW w:w="780" w:type="dxa"/>
            <w:vAlign w:val="bottom"/>
          </w:tcPr>
          <w:p>
            <w:pPr>
              <w:jc w:val="right"/>
              <w:spacing w:after="0"/>
              <w:rPr>
                <w:sz w:val="20"/>
                <w:szCs w:val="20"/>
                <w:color w:val="auto"/>
              </w:rPr>
            </w:pPr>
            <w:r>
              <w:rPr>
                <w:rFonts w:ascii="Arial" w:cs="Arial" w:eastAsia="Arial" w:hAnsi="Arial"/>
                <w:sz w:val="18"/>
                <w:szCs w:val="18"/>
                <w:color w:val="auto"/>
              </w:rPr>
              <w:t>158,000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0.87%</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PETsMART,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2,317,000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00" w:type="dxa"/>
            <w:vAlign w:val="bottom"/>
            <w:gridSpan w:val="2"/>
            <w:vMerge w:val="restart"/>
          </w:tcPr>
          <w:p>
            <w:pPr>
              <w:ind w:left="320"/>
              <w:spacing w:after="0"/>
              <w:rPr>
                <w:sz w:val="20"/>
                <w:szCs w:val="20"/>
                <w:color w:val="auto"/>
              </w:rPr>
            </w:pPr>
            <w:r>
              <w:rPr>
                <w:rFonts w:ascii="Arial" w:cs="Arial" w:eastAsia="Arial" w:hAnsi="Arial"/>
                <w:sz w:val="18"/>
                <w:szCs w:val="18"/>
                <w:color w:val="auto"/>
              </w:rPr>
              <w:t>Totals - Top 25 Tenants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gridSpan w:val="2"/>
            <w:vMerge w:val="continue"/>
          </w:tcPr>
          <w:p>
            <w:pPr>
              <w:spacing w:after="0"/>
              <w:rPr>
                <w:sz w:val="19"/>
                <w:szCs w:val="19"/>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u w:val="single" w:color="auto"/>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101,201,000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27.19%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5,818,000</w:t>
            </w:r>
          </w:p>
        </w:tc>
        <w:tc>
          <w:tcPr>
            <w:tcW w:w="60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32.02%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(1)</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372,476,000(2)</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18,168,000(3)</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Does not include amounts related to leases these tenants have with our partnership with a discretionary fund created and advised by ING Clarion Partners.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annual in-place contractual (cash-basis) rent as of June 30,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155"/>
              <w:spacing w:after="0"/>
              <w:rPr>
                <w:sz w:val="20"/>
                <w:szCs w:val="20"/>
                <w:color w:val="auto"/>
              </w:rPr>
            </w:pPr>
            <w:r>
              <w:rPr>
                <w:rFonts w:ascii="Arial" w:cs="Arial" w:eastAsia="Arial" w:hAnsi="Arial"/>
                <w:sz w:val="14"/>
                <w:szCs w:val="14"/>
                <w:b w:val="1"/>
                <w:bCs w:val="1"/>
                <w:color w:val="auto"/>
                <w:w w:val="86"/>
              </w:rPr>
              <w:t>2009 Guidance</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66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7"/>
              </w:rPr>
              <w:t>(Dollars in millions except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per share amounts) (1)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Funds from Operations available for common shareholders (FFO)</w:t>
            </w:r>
          </w:p>
        </w:tc>
        <w:tc>
          <w:tcPr>
            <w:tcW w:w="5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Net income attributable to the Trust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Depreciation and amortization of real estate &amp; real estate partnership assets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60" w:type="dxa"/>
            <w:vAlign w:val="bottom"/>
            <w:gridSpan w:val="4"/>
          </w:tcPr>
          <w:p>
            <w:pPr>
              <w:spacing w:after="0"/>
              <w:rPr>
                <w:sz w:val="20"/>
                <w:szCs w:val="20"/>
                <w:color w:val="auto"/>
              </w:rPr>
            </w:pPr>
            <w:r>
              <w:rPr>
                <w:rFonts w:ascii="Arial" w:cs="Arial" w:eastAsia="Arial" w:hAnsi="Arial"/>
                <w:sz w:val="18"/>
                <w:szCs w:val="18"/>
                <w:color w:val="auto"/>
              </w:rPr>
              <w:t>Funds from operations</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Income attributable to operating partnerships units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9660" w:type="dxa"/>
            <w:vAlign w:val="bottom"/>
            <w:gridSpan w:val="4"/>
          </w:tcPr>
          <w:p>
            <w:pPr>
              <w:spacing w:after="0"/>
              <w:rPr>
                <w:sz w:val="20"/>
                <w:szCs w:val="20"/>
                <w:color w:val="auto"/>
              </w:rPr>
            </w:pPr>
            <w:r>
              <w:rPr>
                <w:rFonts w:ascii="Arial" w:cs="Arial" w:eastAsia="Arial" w:hAnsi="Arial"/>
                <w:sz w:val="18"/>
                <w:szCs w:val="18"/>
                <w:color w:val="auto"/>
              </w:rPr>
              <w:t>FFO</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Litigation provision (2)</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4"/>
          </w:tcPr>
          <w:p>
            <w:pPr>
              <w:spacing w:after="0"/>
              <w:rPr>
                <w:sz w:val="20"/>
                <w:szCs w:val="20"/>
                <w:color w:val="auto"/>
              </w:rPr>
            </w:pPr>
            <w:r>
              <w:rPr>
                <w:rFonts w:ascii="Arial" w:cs="Arial" w:eastAsia="Arial" w:hAnsi="Arial"/>
                <w:sz w:val="18"/>
                <w:szCs w:val="18"/>
                <w:color w:val="auto"/>
              </w:rPr>
              <w:t>FFO excluding litigation provision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227</w:t>
            </w:r>
          </w:p>
        </w:tc>
        <w:tc>
          <w:tcPr>
            <w:tcW w:w="38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59.4</w:t>
            </w:r>
          </w:p>
        </w:tc>
        <w:tc>
          <w:tcPr>
            <w:tcW w:w="0" w:type="dxa"/>
            <w:vAlign w:val="bottom"/>
          </w:tcPr>
          <w:p>
            <w:pPr>
              <w:spacing w:after="0"/>
              <w:rPr>
                <w:sz w:val="1"/>
                <w:szCs w:val="1"/>
                <w:color w:val="auto"/>
              </w:rPr>
            </w:pPr>
          </w:p>
        </w:tc>
      </w:tr>
      <w:tr>
        <w:trPr>
          <w:trHeight w:val="322"/>
        </w:trPr>
        <w:tc>
          <w:tcPr>
            <w:tcW w:w="9660" w:type="dxa"/>
            <w:vAlign w:val="bottom"/>
            <w:gridSpan w:val="4"/>
          </w:tcPr>
          <w:p>
            <w:pPr>
              <w:spacing w:after="0"/>
              <w:rPr>
                <w:sz w:val="20"/>
                <w:szCs w:val="20"/>
                <w:color w:val="auto"/>
              </w:rPr>
            </w:pPr>
            <w:r>
              <w:rPr>
                <w:rFonts w:ascii="Arial" w:cs="Arial" w:eastAsia="Arial" w:hAnsi="Arial"/>
                <w:sz w:val="18"/>
                <w:szCs w:val="18"/>
                <w:color w:val="auto"/>
              </w:rPr>
              <w:t>FFO per diluted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3.47</w:t>
            </w:r>
          </w:p>
        </w:tc>
        <w:tc>
          <w:tcPr>
            <w:tcW w:w="38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3.52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Litigation provision (2)</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4"/>
          </w:tcPr>
          <w:p>
            <w:pPr>
              <w:spacing w:after="0"/>
              <w:rPr>
                <w:sz w:val="20"/>
                <w:szCs w:val="20"/>
                <w:color w:val="auto"/>
              </w:rPr>
            </w:pPr>
            <w:r>
              <w:rPr>
                <w:rFonts w:ascii="Arial" w:cs="Arial" w:eastAsia="Arial" w:hAnsi="Arial"/>
                <w:sz w:val="18"/>
                <w:szCs w:val="18"/>
                <w:color w:val="auto"/>
              </w:rPr>
              <w:t>FFO per diluted share excluding litigation provision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3.82</w:t>
            </w:r>
          </w:p>
        </w:tc>
        <w:tc>
          <w:tcPr>
            <w:tcW w:w="38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9" w:lineRule="exact"/>
        <w:rPr>
          <w:rFonts w:ascii="Arial" w:cs="Arial" w:eastAsia="Arial" w:hAnsi="Arial"/>
          <w:sz w:val="18"/>
          <w:szCs w:val="18"/>
          <w:color w:val="auto"/>
        </w:rPr>
      </w:pPr>
    </w:p>
    <w:p>
      <w:pPr>
        <w:ind w:left="460" w:right="44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represents a charge for litigation regarding a parcel of land located adjacent to Santana Row as well as other costs related to the litigation and appeal process.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 and Balance Sheets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INCOME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June 30,</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6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56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w w:val="71"/>
              </w:rPr>
              <w:t>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gridSpan w:val="3"/>
          </w:tcPr>
          <w:p>
            <w:pPr>
              <w:jc w:val="center"/>
              <w:spacing w:after="0"/>
              <w:rPr>
                <w:sz w:val="20"/>
                <w:szCs w:val="20"/>
                <w:color w:val="auto"/>
              </w:rPr>
            </w:pPr>
            <w:r>
              <w:rPr>
                <w:rFonts w:ascii="Arial" w:cs="Arial" w:eastAsia="Arial" w:hAnsi="Arial"/>
                <w:sz w:val="12"/>
                <w:szCs w:val="12"/>
                <w:b w:val="1"/>
                <w:bCs w:val="1"/>
                <w:color w:val="auto"/>
                <w:w w:val="74"/>
              </w:rPr>
              <w:t>thousands)</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$ 4,790</w:t>
            </w:r>
          </w:p>
        </w:tc>
        <w:tc>
          <w:tcPr>
            <w:tcW w:w="5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$ 4,760</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$ 9,455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$ 9,377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8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4,808</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4,806</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9,496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9,486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Rental</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806</w:t>
            </w:r>
          </w:p>
        </w:tc>
        <w:tc>
          <w:tcPr>
            <w:tcW w:w="5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671</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1,912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5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2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1,192</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2,486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ind w:left="420"/>
              <w:spacing w:after="0"/>
              <w:rPr>
                <w:sz w:val="20"/>
                <w:szCs w:val="20"/>
                <w:color w:val="auto"/>
              </w:rPr>
            </w:pPr>
            <w:r>
              <w:rPr>
                <w:rFonts w:ascii="Arial" w:cs="Arial" w:eastAsia="Arial" w:hAnsi="Arial"/>
                <w:sz w:val="18"/>
                <w:szCs w:val="18"/>
                <w:color w:val="auto"/>
              </w:rPr>
              <w:t>Operating income</w:t>
            </w:r>
          </w:p>
        </w:tc>
        <w:tc>
          <w:tcPr>
            <w:tcW w:w="2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gridSpan w:val="2"/>
            <w:vMerge w:val="continue"/>
          </w:tcPr>
          <w:p>
            <w:pPr>
              <w:spacing w:after="0"/>
              <w:rPr>
                <w:sz w:val="19"/>
                <w:szCs w:val="19"/>
                <w:color w:val="auto"/>
              </w:rPr>
            </w:pPr>
          </w:p>
        </w:tc>
        <w:tc>
          <w:tcPr>
            <w:tcW w:w="2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2,265</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2,448</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4,026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75"/>
              <w:spacing w:after="0"/>
              <w:rPr>
                <w:sz w:val="20"/>
                <w:szCs w:val="20"/>
                <w:color w:val="auto"/>
              </w:rPr>
            </w:pPr>
            <w:r>
              <w:rPr>
                <w:rFonts w:ascii="Arial" w:cs="Arial" w:eastAsia="Arial" w:hAnsi="Arial"/>
                <w:sz w:val="18"/>
                <w:szCs w:val="18"/>
                <w:color w:val="auto"/>
              </w:rPr>
              <w:t>(1,132)</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(1,135)</w:t>
            </w:r>
          </w:p>
        </w:tc>
        <w:tc>
          <w:tcPr>
            <w:tcW w:w="1260" w:type="dxa"/>
            <w:vAlign w:val="bottom"/>
            <w:gridSpan w:val="5"/>
            <w:shd w:val="clear" w:color="auto" w:fill="CCEEFF"/>
          </w:tcPr>
          <w:p>
            <w:pPr>
              <w:jc w:val="right"/>
              <w:ind w:right="155"/>
              <w:spacing w:after="0"/>
              <w:rPr>
                <w:sz w:val="20"/>
                <w:szCs w:val="20"/>
                <w:color w:val="auto"/>
              </w:rPr>
            </w:pPr>
            <w:r>
              <w:rPr>
                <w:rFonts w:ascii="Arial" w:cs="Arial" w:eastAsia="Arial" w:hAnsi="Arial"/>
                <w:sz w:val="18"/>
                <w:szCs w:val="18"/>
                <w:color w:val="auto"/>
              </w:rPr>
              <w:t>(2,265)</w:t>
            </w: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2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gridSpan w:val="3"/>
            <w:vMerge w:val="continue"/>
          </w:tcPr>
          <w:p>
            <w:pPr>
              <w:spacing w:after="0"/>
              <w:rPr>
                <w:sz w:val="19"/>
                <w:szCs w:val="19"/>
                <w:color w:val="auto"/>
              </w:rPr>
            </w:pPr>
          </w:p>
        </w:tc>
        <w:tc>
          <w:tcPr>
            <w:tcW w:w="2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$ 1,133</w:t>
            </w:r>
          </w:p>
        </w:tc>
        <w:tc>
          <w:tcPr>
            <w:tcW w:w="50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$ 1,313</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$ 1,761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$ 2,334</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CONSOLIDATED BALANCE SHEETS</w:t>
            </w:r>
          </w:p>
        </w:tc>
        <w:tc>
          <w:tcPr>
            <w:tcW w:w="2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740" w:type="dxa"/>
            <w:vAlign w:val="bottom"/>
            <w:gridSpan w:val="3"/>
            <w:vMerge w:val="continue"/>
          </w:tcPr>
          <w:p>
            <w:pPr>
              <w:spacing w:after="0"/>
              <w:rPr>
                <w:sz w:val="24"/>
                <w:szCs w:val="24"/>
                <w:color w:val="auto"/>
              </w:rPr>
            </w:pPr>
          </w:p>
        </w:tc>
        <w:tc>
          <w:tcPr>
            <w:tcW w:w="2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4"/>
          </w:tcPr>
          <w:p>
            <w:pPr>
              <w:ind w:left="2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2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3"/>
              </w:rPr>
              <w:t>$202,781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202,519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2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(16,988)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(14,609)</w:t>
            </w: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Net real estate</w:t>
            </w:r>
          </w:p>
        </w:tc>
        <w:tc>
          <w:tcPr>
            <w:tcW w:w="2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185,793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187,910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6,014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194,956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197,580</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LIABILITIES AND PARTNERS’ CAPITAL</w:t>
            </w:r>
          </w:p>
        </w:tc>
        <w:tc>
          <w:tcPr>
            <w:tcW w:w="2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40" w:type="dxa"/>
            <w:vAlign w:val="bottom"/>
            <w:gridSpan w:val="3"/>
            <w:vMerge w:val="continue"/>
          </w:tcPr>
          <w:p>
            <w:pPr>
              <w:spacing w:after="0"/>
              <w:rPr>
                <w:sz w:val="18"/>
                <w:szCs w:val="18"/>
                <w:color w:val="auto"/>
              </w:rPr>
            </w:pPr>
          </w:p>
        </w:tc>
        <w:tc>
          <w:tcPr>
            <w:tcW w:w="2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Mortgages payable</w:t>
            </w:r>
          </w:p>
        </w:tc>
        <w:tc>
          <w:tcPr>
            <w:tcW w:w="2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9"/>
              </w:rPr>
              <w:t>$ 81,274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81,365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2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87,817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88,728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2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107,139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108,852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TOTAL LIABILITIES AND PARTNERS’ CAPITAL</w:t>
            </w:r>
          </w:p>
        </w:tc>
        <w:tc>
          <w:tcPr>
            <w:tcW w:w="2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194,956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197,580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0" w:type="dxa"/>
            <w:vAlign w:val="bottom"/>
            <w:vMerge w:val="restart"/>
          </w:tcPr>
          <w:p>
            <w:pPr>
              <w:jc w:val="right"/>
              <w:ind w:right="1652"/>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Debt Maturities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6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8"/>
              </w:rPr>
              <w:t>Stated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6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Interest Rate as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5"/>
              </w:rPr>
              <w:t>Maturity</w:t>
            </w:r>
          </w:p>
        </w:tc>
        <w:tc>
          <w:tcPr>
            <w:tcW w:w="206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5"/>
              </w:rPr>
              <w:t>June 30, 2009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Mortgage Loans</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gridSpan w:val="5"/>
          </w:tcPr>
          <w:p>
            <w:pPr>
              <w:ind w:left="440"/>
              <w:spacing w:after="0"/>
              <w:rPr>
                <w:sz w:val="20"/>
                <w:szCs w:val="20"/>
                <w:color w:val="auto"/>
              </w:rPr>
            </w:pPr>
            <w:r>
              <w:rPr>
                <w:rFonts w:ascii="Arial" w:cs="Arial" w:eastAsia="Arial" w:hAnsi="Arial"/>
                <w:sz w:val="18"/>
                <w:szCs w:val="18"/>
                <w:i w:val="1"/>
                <w:iCs w:val="1"/>
                <w:color w:val="auto"/>
              </w:rPr>
              <w:t>Secured Fixed Rate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Campus Plaza</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91"/>
              </w:rPr>
              <w:t>12/01/09</w:t>
            </w:r>
          </w:p>
        </w:tc>
        <w:tc>
          <w:tcPr>
            <w:tcW w:w="3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4.530%(a)</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tcPr>
          <w:p>
            <w:pPr>
              <w:ind w:left="440"/>
              <w:spacing w:after="0"/>
              <w:rPr>
                <w:sz w:val="20"/>
                <w:szCs w:val="20"/>
                <w:color w:val="auto"/>
              </w:rPr>
            </w:pPr>
            <w:r>
              <w:rPr>
                <w:rFonts w:ascii="Arial" w:cs="Arial" w:eastAsia="Arial" w:hAnsi="Arial"/>
                <w:sz w:val="18"/>
                <w:szCs w:val="18"/>
                <w:color w:val="auto"/>
              </w:rPr>
              <w:t>Pleasant Shops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center"/>
              <w:ind w:left="254"/>
              <w:spacing w:after="0"/>
              <w:rPr>
                <w:sz w:val="20"/>
                <w:szCs w:val="20"/>
                <w:color w:val="auto"/>
              </w:rPr>
            </w:pPr>
            <w:r>
              <w:rPr>
                <w:rFonts w:ascii="Arial" w:cs="Arial" w:eastAsia="Arial" w:hAnsi="Arial"/>
                <w:sz w:val="18"/>
                <w:szCs w:val="18"/>
                <w:color w:val="auto"/>
                <w:w w:val="91"/>
              </w:rPr>
              <w:t>12/01/09</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60" w:type="dxa"/>
            <w:vAlign w:val="bottom"/>
            <w:gridSpan w:val="3"/>
          </w:tcPr>
          <w:p>
            <w:pPr>
              <w:ind w:left="660"/>
              <w:spacing w:after="0"/>
              <w:rPr>
                <w:sz w:val="20"/>
                <w:szCs w:val="20"/>
                <w:color w:val="auto"/>
              </w:rPr>
            </w:pPr>
            <w:r>
              <w:rPr>
                <w:rFonts w:ascii="Arial" w:cs="Arial" w:eastAsia="Arial" w:hAnsi="Arial"/>
                <w:sz w:val="18"/>
                <w:szCs w:val="18"/>
                <w:color w:val="auto"/>
              </w:rPr>
              <w:t>4.530%(a)</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Plaza del Mercado</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91"/>
              </w:rPr>
              <w:t>07/05/14</w:t>
            </w:r>
          </w:p>
        </w:tc>
        <w:tc>
          <w:tcPr>
            <w:tcW w:w="3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5.770%(b)</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tcPr>
          <w:p>
            <w:pPr>
              <w:ind w:left="440"/>
              <w:spacing w:after="0"/>
              <w:rPr>
                <w:sz w:val="20"/>
                <w:szCs w:val="20"/>
                <w:color w:val="auto"/>
              </w:rPr>
            </w:pPr>
            <w:r>
              <w:rPr>
                <w:rFonts w:ascii="Arial" w:cs="Arial" w:eastAsia="Arial" w:hAnsi="Arial"/>
                <w:sz w:val="18"/>
                <w:szCs w:val="18"/>
                <w:color w:val="auto"/>
              </w:rPr>
              <w:t>Atlantic Plaza</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center"/>
              <w:ind w:left="254"/>
              <w:spacing w:after="0"/>
              <w:rPr>
                <w:sz w:val="20"/>
                <w:szCs w:val="20"/>
                <w:color w:val="auto"/>
              </w:rPr>
            </w:pPr>
            <w:r>
              <w:rPr>
                <w:rFonts w:ascii="Arial" w:cs="Arial" w:eastAsia="Arial" w:hAnsi="Arial"/>
                <w:sz w:val="18"/>
                <w:szCs w:val="18"/>
                <w:color w:val="auto"/>
                <w:w w:val="91"/>
              </w:rPr>
              <w:t>12/01/14</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60" w:type="dxa"/>
            <w:vAlign w:val="bottom"/>
            <w:gridSpan w:val="3"/>
          </w:tcPr>
          <w:p>
            <w:pPr>
              <w:ind w:left="660"/>
              <w:spacing w:after="0"/>
              <w:rPr>
                <w:sz w:val="20"/>
                <w:szCs w:val="20"/>
                <w:color w:val="auto"/>
              </w:rPr>
            </w:pPr>
            <w:r>
              <w:rPr>
                <w:rFonts w:ascii="Arial" w:cs="Arial" w:eastAsia="Arial" w:hAnsi="Arial"/>
                <w:sz w:val="18"/>
                <w:szCs w:val="18"/>
                <w:color w:val="auto"/>
              </w:rPr>
              <w:t>5.120%(a)</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Barcroft Plaza</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91"/>
              </w:rPr>
              <w:t>07/01/16</w:t>
            </w:r>
          </w:p>
        </w:tc>
        <w:tc>
          <w:tcPr>
            <w:tcW w:w="3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5.990%(a)(c)</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40" w:type="dxa"/>
            <w:vAlign w:val="bottom"/>
            <w:gridSpan w:val="5"/>
          </w:tcPr>
          <w:p>
            <w:pPr>
              <w:ind w:left="440"/>
              <w:spacing w:after="0"/>
              <w:rPr>
                <w:sz w:val="20"/>
                <w:szCs w:val="20"/>
                <w:color w:val="auto"/>
              </w:rPr>
            </w:pPr>
            <w:r>
              <w:rPr>
                <w:rFonts w:ascii="Arial" w:cs="Arial" w:eastAsia="Arial" w:hAnsi="Arial"/>
                <w:sz w:val="18"/>
                <w:szCs w:val="18"/>
                <w:color w:val="auto"/>
              </w:rPr>
              <w:t>Greenlawn Plaza</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center"/>
              <w:ind w:left="254"/>
              <w:spacing w:after="0"/>
              <w:rPr>
                <w:sz w:val="20"/>
                <w:szCs w:val="20"/>
                <w:color w:val="auto"/>
              </w:rPr>
            </w:pPr>
            <w:r>
              <w:rPr>
                <w:rFonts w:ascii="Arial" w:cs="Arial" w:eastAsia="Arial" w:hAnsi="Arial"/>
                <w:sz w:val="18"/>
                <w:szCs w:val="18"/>
                <w:color w:val="auto"/>
                <w:w w:val="91"/>
              </w:rPr>
              <w:t>07/01/16</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60" w:type="dxa"/>
            <w:vAlign w:val="bottom"/>
            <w:gridSpan w:val="3"/>
          </w:tcPr>
          <w:p>
            <w:pPr>
              <w:ind w:left="660"/>
              <w:spacing w:after="0"/>
              <w:rPr>
                <w:sz w:val="20"/>
                <w:szCs w:val="20"/>
                <w:color w:val="auto"/>
              </w:rPr>
            </w:pPr>
            <w:r>
              <w:rPr>
                <w:rFonts w:ascii="Arial" w:cs="Arial" w:eastAsia="Arial" w:hAnsi="Arial"/>
                <w:sz w:val="18"/>
                <w:szCs w:val="18"/>
                <w:color w:val="auto"/>
              </w:rPr>
              <w:t>5.900%(a)</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tcBorders>
              <w:right w:val="single" w:sz="8" w:color="CCEEFF"/>
            </w:tcBorders>
            <w:gridSpan w:val="4"/>
            <w:shd w:val="clear" w:color="auto" w:fill="CCEEFF"/>
          </w:tcPr>
          <w:p>
            <w:pPr>
              <w:jc w:val="center"/>
              <w:ind w:right="680"/>
              <w:spacing w:after="0"/>
              <w:rPr>
                <w:sz w:val="20"/>
                <w:szCs w:val="20"/>
                <w:color w:val="auto"/>
              </w:rPr>
            </w:pPr>
            <w:r>
              <w:rPr>
                <w:rFonts w:ascii="Arial" w:cs="Arial" w:eastAsia="Arial" w:hAnsi="Arial"/>
                <w:sz w:val="18"/>
                <w:szCs w:val="18"/>
                <w:color w:val="auto"/>
                <w:w w:val="89"/>
              </w:rPr>
              <w:t>Total Fixed Rate Debt</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8"/>
                <w:szCs w:val="18"/>
                <w:color w:val="auto"/>
                <w:w w:val="90"/>
              </w:rPr>
              <w:t>Debt Maturities</w:t>
            </w:r>
          </w:p>
        </w:tc>
        <w:tc>
          <w:tcPr>
            <w:tcW w:w="1420" w:type="dxa"/>
            <w:vAlign w:val="bottom"/>
            <w:gridSpan w:val="3"/>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120" w:type="dxa"/>
            <w:vAlign w:val="bottom"/>
            <w:tcBorders>
              <w:bottom w:val="single" w:sz="8" w:color="auto"/>
            </w:tcBorders>
            <w:gridSpan w:val="2"/>
            <w:vMerge w:val="continue"/>
          </w:tcPr>
          <w:p>
            <w:pPr>
              <w:spacing w:after="0"/>
              <w:rPr>
                <w:sz w:val="24"/>
                <w:szCs w:val="24"/>
                <w:color w:val="auto"/>
              </w:rPr>
            </w:pPr>
          </w:p>
        </w:tc>
        <w:tc>
          <w:tcPr>
            <w:tcW w:w="142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540" w:type="dxa"/>
            <w:vAlign w:val="bottom"/>
            <w:gridSpan w:val="5"/>
          </w:tcPr>
          <w:p>
            <w:pPr>
              <w:spacing w:after="0"/>
              <w:rPr>
                <w:sz w:val="20"/>
                <w:szCs w:val="20"/>
                <w:color w:val="auto"/>
              </w:rPr>
            </w:pPr>
            <w:r>
              <w:rPr>
                <w:rFonts w:ascii="Arial" w:cs="Arial" w:eastAsia="Arial" w:hAnsi="Arial"/>
                <w:sz w:val="18"/>
                <w:szCs w:val="18"/>
                <w:color w:val="auto"/>
              </w:rPr>
              <w:t>(in thousands)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Scheduled</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6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Percent of</w:t>
            </w:r>
          </w:p>
        </w:tc>
        <w:tc>
          <w:tcPr>
            <w:tcW w:w="11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4"/>
                <w:szCs w:val="14"/>
                <w:color w:val="auto"/>
              </w:rPr>
            </w:pPr>
          </w:p>
        </w:tc>
        <w:tc>
          <w:tcPr>
            <w:tcW w:w="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w:t>
            </w: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10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Maturities</w:t>
            </w:r>
          </w:p>
        </w:tc>
        <w:tc>
          <w:tcPr>
            <w:tcW w:w="640" w:type="dxa"/>
            <w:vAlign w:val="bottom"/>
          </w:tcPr>
          <w:p>
            <w:pPr>
              <w:spacing w:after="0"/>
              <w:rPr>
                <w:sz w:val="14"/>
                <w:szCs w:val="14"/>
                <w:color w:val="auto"/>
              </w:rPr>
            </w:pPr>
          </w:p>
        </w:tc>
        <w:tc>
          <w:tcPr>
            <w:tcW w:w="160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Debt Maturing</w:t>
            </w: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Debt Maturing</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gridSpan w:val="5"/>
            <w:shd w:val="clear" w:color="auto" w:fill="CCEEFF"/>
          </w:tcPr>
          <w:p>
            <w:pPr>
              <w:jc w:val="center"/>
              <w:ind w:right="220"/>
              <w:spacing w:after="0"/>
              <w:rPr>
                <w:sz w:val="20"/>
                <w:szCs w:val="20"/>
                <w:color w:val="auto"/>
              </w:rPr>
            </w:pPr>
            <w:r>
              <w:rPr>
                <w:rFonts w:ascii="Arial" w:cs="Arial" w:eastAsia="Arial" w:hAnsi="Arial"/>
                <w:sz w:val="18"/>
                <w:szCs w:val="18"/>
                <w:color w:val="auto"/>
                <w:w w:val="89"/>
              </w:rPr>
              <w:t>2009</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94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$ 23,400</w:t>
            </w:r>
          </w:p>
        </w:tc>
        <w:tc>
          <w:tcPr>
            <w:tcW w:w="3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$23,494</w:t>
            </w:r>
          </w:p>
        </w:tc>
        <w:tc>
          <w:tcPr>
            <w:tcW w:w="68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2010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196</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196</w:t>
            </w:r>
          </w:p>
        </w:tc>
        <w:tc>
          <w:tcPr>
            <w:tcW w:w="6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84"/>
              </w:rPr>
              <w:t>2011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208</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208</w:t>
            </w:r>
          </w:p>
        </w:tc>
        <w:tc>
          <w:tcPr>
            <w:tcW w:w="68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2012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220</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220</w:t>
            </w:r>
          </w:p>
        </w:tc>
        <w:tc>
          <w:tcPr>
            <w:tcW w:w="6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jc w:val="center"/>
              <w:ind w:right="220"/>
              <w:spacing w:after="0"/>
              <w:rPr>
                <w:sz w:val="20"/>
                <w:szCs w:val="20"/>
                <w:color w:val="auto"/>
              </w:rPr>
            </w:pPr>
            <w:r>
              <w:rPr>
                <w:rFonts w:ascii="Arial" w:cs="Arial" w:eastAsia="Arial" w:hAnsi="Arial"/>
                <w:sz w:val="18"/>
                <w:szCs w:val="18"/>
                <w:color w:val="auto"/>
                <w:w w:val="89"/>
              </w:rPr>
              <w:t>2013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233</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233</w:t>
            </w:r>
          </w:p>
        </w:tc>
        <w:tc>
          <w:tcPr>
            <w:tcW w:w="68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2014</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142</w:t>
            </w:r>
          </w:p>
        </w:tc>
        <w:tc>
          <w:tcPr>
            <w:tcW w:w="600" w:type="dxa"/>
            <w:vAlign w:val="bottom"/>
          </w:tcPr>
          <w:p>
            <w:pPr>
              <w:jc w:val="right"/>
              <w:spacing w:after="0"/>
              <w:rPr>
                <w:sz w:val="20"/>
                <w:szCs w:val="20"/>
                <w:color w:val="auto"/>
              </w:rPr>
            </w:pPr>
            <w:r>
              <w:rPr>
                <w:rFonts w:ascii="Arial" w:cs="Arial" w:eastAsia="Arial" w:hAnsi="Arial"/>
                <w:sz w:val="18"/>
                <w:szCs w:val="18"/>
                <w:color w:val="auto"/>
              </w:rPr>
              <w:t>22,396</w:t>
            </w:r>
          </w:p>
        </w:tc>
        <w:tc>
          <w:tcPr>
            <w:tcW w:w="360" w:type="dxa"/>
            <w:vAlign w:val="bottom"/>
          </w:tcPr>
          <w:p>
            <w:pPr>
              <w:spacing w:after="0"/>
              <w:rPr>
                <w:sz w:val="18"/>
                <w:szCs w:val="18"/>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22,538</w:t>
            </w:r>
          </w:p>
        </w:tc>
        <w:tc>
          <w:tcPr>
            <w:tcW w:w="6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jc w:val="center"/>
              <w:ind w:right="220"/>
              <w:spacing w:after="0"/>
              <w:rPr>
                <w:sz w:val="20"/>
                <w:szCs w:val="20"/>
                <w:color w:val="auto"/>
              </w:rPr>
            </w:pPr>
            <w:r>
              <w:rPr>
                <w:rFonts w:ascii="Arial" w:cs="Arial" w:eastAsia="Arial" w:hAnsi="Arial"/>
                <w:sz w:val="18"/>
                <w:szCs w:val="18"/>
                <w:color w:val="auto"/>
                <w:w w:val="89"/>
              </w:rPr>
              <w:t>2015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2016</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34,385</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34,385</w:t>
            </w:r>
          </w:p>
        </w:tc>
        <w:tc>
          <w:tcPr>
            <w:tcW w:w="6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42.3%</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gridSpan w:val="5"/>
            <w:shd w:val="clear" w:color="auto" w:fill="CCEEFF"/>
          </w:tcPr>
          <w:p>
            <w:pPr>
              <w:jc w:val="center"/>
              <w:ind w:right="220"/>
              <w:spacing w:after="0"/>
              <w:rPr>
                <w:sz w:val="20"/>
                <w:szCs w:val="20"/>
                <w:color w:val="auto"/>
              </w:rPr>
            </w:pPr>
            <w:r>
              <w:rPr>
                <w:rFonts w:ascii="Arial" w:cs="Arial" w:eastAsia="Arial" w:hAnsi="Arial"/>
                <w:sz w:val="18"/>
                <w:szCs w:val="18"/>
                <w:color w:val="auto"/>
                <w:w w:val="89"/>
              </w:rPr>
              <w:t>Total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$ 80,181</w:t>
            </w:r>
          </w:p>
        </w:tc>
        <w:tc>
          <w:tcPr>
            <w:tcW w:w="3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81,274</w:t>
            </w:r>
          </w:p>
        </w:tc>
        <w:tc>
          <w:tcPr>
            <w:tcW w:w="68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Mortgage or</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Grocery</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8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Real Estate</w:t>
            </w:r>
          </w:p>
        </w:tc>
        <w:tc>
          <w:tcPr>
            <w:tcW w:w="10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Capital Lease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Anchor</w:t>
            </w:r>
          </w:p>
        </w:tc>
        <w:tc>
          <w:tcPr>
            <w:tcW w:w="8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Grocery</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61"/>
        </w:trPr>
        <w:tc>
          <w:tcPr>
            <w:tcW w:w="2480" w:type="dxa"/>
            <w:vAlign w:val="bottom"/>
            <w:gridSpan w:val="7"/>
          </w:tcPr>
          <w:p>
            <w:pPr>
              <w:spacing w:after="0"/>
              <w:rPr>
                <w:sz w:val="20"/>
                <w:szCs w:val="20"/>
                <w:color w:val="auto"/>
              </w:rPr>
            </w:pPr>
            <w:r>
              <w:rPr>
                <w:rFonts w:ascii="Arial" w:cs="Arial" w:eastAsia="Arial" w:hAnsi="Arial"/>
                <w:sz w:val="14"/>
                <w:szCs w:val="14"/>
                <w:b w:val="1"/>
                <w:bCs w:val="1"/>
                <w:color w:val="auto"/>
              </w:rPr>
              <w:t>Property Name</w:t>
            </w:r>
          </w:p>
        </w:tc>
        <w:tc>
          <w:tcPr>
            <w:tcW w:w="260" w:type="dxa"/>
            <w:vAlign w:val="bottom"/>
          </w:tcPr>
          <w:p>
            <w:pPr>
              <w:spacing w:after="0"/>
              <w:rPr>
                <w:sz w:val="14"/>
                <w:szCs w:val="14"/>
                <w:color w:val="auto"/>
              </w:rPr>
            </w:pPr>
          </w:p>
        </w:tc>
        <w:tc>
          <w:tcPr>
            <w:tcW w:w="1800" w:type="dxa"/>
            <w:vAlign w:val="bottom"/>
          </w:tcPr>
          <w:p>
            <w:pPr>
              <w:ind w:left="400"/>
              <w:spacing w:after="0"/>
              <w:rPr>
                <w:sz w:val="20"/>
                <w:szCs w:val="20"/>
                <w:color w:val="auto"/>
              </w:rPr>
            </w:pPr>
            <w:r>
              <w:rPr>
                <w:rFonts w:ascii="Arial" w:cs="Arial" w:eastAsia="Arial" w:hAnsi="Arial"/>
                <w:sz w:val="14"/>
                <w:szCs w:val="14"/>
                <w:b w:val="1"/>
                <w:bCs w:val="1"/>
                <w:color w:val="auto"/>
              </w:rPr>
              <w:t>MSA Description</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Acquired</w:t>
            </w:r>
          </w:p>
        </w:tc>
        <w:tc>
          <w:tcPr>
            <w:tcW w:w="80" w:type="dxa"/>
            <w:vAlign w:val="bottom"/>
          </w:tcPr>
          <w:p>
            <w:pPr>
              <w:spacing w:after="0"/>
              <w:rPr>
                <w:sz w:val="14"/>
                <w:szCs w:val="14"/>
                <w:color w:val="auto"/>
              </w:rPr>
            </w:pPr>
          </w:p>
        </w:tc>
        <w:tc>
          <w:tcPr>
            <w:tcW w:w="800" w:type="dxa"/>
            <w:vAlign w:val="bottom"/>
          </w:tcPr>
          <w:p>
            <w:pPr>
              <w:jc w:val="center"/>
              <w:ind w:right="12"/>
              <w:spacing w:after="0"/>
              <w:rPr>
                <w:sz w:val="20"/>
                <w:szCs w:val="20"/>
                <w:color w:val="auto"/>
              </w:rPr>
            </w:pPr>
            <w:r>
              <w:rPr>
                <w:rFonts w:ascii="Arial" w:cs="Arial" w:eastAsia="Arial" w:hAnsi="Arial"/>
                <w:sz w:val="14"/>
                <w:szCs w:val="14"/>
                <w:b w:val="1"/>
                <w:bCs w:val="1"/>
                <w:color w:val="auto"/>
                <w:w w:val="84"/>
              </w:rPr>
              <w:t>at Cost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Obligation</w:t>
            </w: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GLA</w:t>
            </w: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Leased</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GLA (1)</w:t>
            </w: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w w:val="97"/>
              </w:rPr>
              <w:t>Anchor (1)</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Tenants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9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4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99"/>
              </w:rPr>
              <w:t>Washington Metropolitan Area</w:t>
            </w:r>
          </w:p>
        </w:tc>
        <w:tc>
          <w:tcPr>
            <w:tcW w:w="26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60" w:type="dxa"/>
            <w:vAlign w:val="bottom"/>
            <w:gridSpan w:val="6"/>
          </w:tcPr>
          <w:p>
            <w:pPr>
              <w:spacing w:after="0" w:line="142" w:lineRule="exact"/>
              <w:rPr>
                <w:sz w:val="20"/>
                <w:szCs w:val="20"/>
                <w:color w:val="auto"/>
              </w:rPr>
            </w:pPr>
            <w:r>
              <w:rPr>
                <w:rFonts w:ascii="Arial" w:cs="Arial" w:eastAsia="Arial" w:hAnsi="Arial"/>
                <w:sz w:val="14"/>
                <w:szCs w:val="14"/>
                <w:color w:val="auto"/>
              </w:rPr>
              <w:t>Barcroft Plaza</w:t>
            </w:r>
          </w:p>
        </w:tc>
        <w:tc>
          <w:tcPr>
            <w:tcW w:w="2060" w:type="dxa"/>
            <w:vAlign w:val="bottom"/>
            <w:gridSpan w:val="2"/>
          </w:tcPr>
          <w:p>
            <w:pPr>
              <w:ind w:left="260"/>
              <w:spacing w:after="0" w:line="142" w:lineRule="exact"/>
              <w:rPr>
                <w:sz w:val="20"/>
                <w:szCs w:val="20"/>
                <w:color w:val="auto"/>
              </w:rPr>
            </w:pPr>
            <w:r>
              <w:rPr>
                <w:rFonts w:ascii="Arial" w:cs="Arial" w:eastAsia="Arial" w:hAnsi="Arial"/>
                <w:sz w:val="14"/>
                <w:szCs w:val="14"/>
                <w:color w:val="auto"/>
              </w:rPr>
              <w:t>Washington, DC-MD-VA</w:t>
            </w:r>
          </w:p>
        </w:tc>
        <w:tc>
          <w:tcPr>
            <w:tcW w:w="88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2006-2007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34,059</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20,785</w:t>
            </w:r>
          </w:p>
        </w:tc>
        <w:tc>
          <w:tcPr>
            <w:tcW w:w="10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w w:val="94"/>
              </w:rPr>
              <w:t>100,000</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90%</w:t>
            </w:r>
          </w:p>
        </w:tc>
        <w:tc>
          <w:tcPr>
            <w:tcW w:w="6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46,000</w:t>
            </w:r>
          </w:p>
        </w:tc>
        <w:tc>
          <w:tcPr>
            <w:tcW w:w="800" w:type="dxa"/>
            <w:vAlign w:val="bottom"/>
          </w:tcPr>
          <w:p>
            <w:pPr>
              <w:spacing w:after="0" w:line="142" w:lineRule="exact"/>
              <w:rPr>
                <w:sz w:val="20"/>
                <w:szCs w:val="20"/>
                <w:color w:val="auto"/>
              </w:rPr>
            </w:pPr>
            <w:r>
              <w:rPr>
                <w:rFonts w:ascii="Arial" w:cs="Arial" w:eastAsia="Arial" w:hAnsi="Arial"/>
                <w:sz w:val="14"/>
                <w:szCs w:val="14"/>
                <w:color w:val="auto"/>
                <w:w w:val="95"/>
              </w:rPr>
              <w:t>Harris Teeter</w:t>
            </w: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Bank of America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Free State Shopping Center</w:t>
            </w:r>
          </w:p>
        </w:tc>
        <w:tc>
          <w:tcPr>
            <w:tcW w:w="2060" w:type="dxa"/>
            <w:vAlign w:val="bottom"/>
            <w:gridSpan w:val="2"/>
            <w:shd w:val="clear" w:color="auto" w:fill="CCEEFF"/>
          </w:tcPr>
          <w:p>
            <w:pPr>
              <w:ind w:left="260"/>
              <w:spacing w:after="0" w:line="138" w:lineRule="exact"/>
              <w:rPr>
                <w:sz w:val="20"/>
                <w:szCs w:val="20"/>
                <w:color w:val="auto"/>
              </w:rPr>
            </w:pPr>
            <w:r>
              <w:rPr>
                <w:rFonts w:ascii="Arial" w:cs="Arial" w:eastAsia="Arial" w:hAnsi="Arial"/>
                <w:sz w:val="14"/>
                <w:szCs w:val="14"/>
                <w:color w:val="auto"/>
              </w:rPr>
              <w:t>Washington, DC-MD-VA</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65,837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279,000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99%</w:t>
            </w:r>
          </w:p>
        </w:tc>
        <w:tc>
          <w:tcPr>
            <w:tcW w:w="6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73,000</w:t>
            </w:r>
          </w:p>
        </w:tc>
        <w:tc>
          <w:tcPr>
            <w:tcW w:w="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Giant Food</w:t>
            </w:r>
          </w:p>
        </w:tc>
        <w:tc>
          <w:tcPr>
            <w:tcW w:w="126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TJ Maxx /Ross/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6"/>
          </w:tcPr>
          <w:p>
            <w:pPr>
              <w:spacing w:after="0" w:line="149" w:lineRule="exact"/>
              <w:rPr>
                <w:sz w:val="20"/>
                <w:szCs w:val="20"/>
                <w:color w:val="auto"/>
              </w:rPr>
            </w:pPr>
            <w:r>
              <w:rPr>
                <w:rFonts w:ascii="Arial" w:cs="Arial" w:eastAsia="Arial" w:hAnsi="Arial"/>
                <w:sz w:val="14"/>
                <w:szCs w:val="14"/>
                <w:color w:val="auto"/>
              </w:rPr>
              <w:t>Plaza del Mercado</w:t>
            </w:r>
          </w:p>
        </w:tc>
        <w:tc>
          <w:tcPr>
            <w:tcW w:w="20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Washington, DC-MD-VA</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21,175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12,989</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96,000</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25,000</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12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4"/>
                <w:szCs w:val="14"/>
                <w:b w:val="1"/>
                <w:bCs w:val="1"/>
                <w:color w:val="auto"/>
              </w:rPr>
              <w:t>Total Washington</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121,071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4"/>
              </w:rPr>
              <w:t>475,000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4"/>
                <w:szCs w:val="14"/>
                <w:color w:val="auto"/>
              </w:rPr>
              <w:t>96%</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Metropolitan Area</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w w:val="86"/>
              </w:rPr>
              <w:t>New York / New Jersey</w:t>
            </w:r>
          </w:p>
        </w:tc>
        <w:tc>
          <w:tcPr>
            <w:tcW w:w="70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color w:val="auto"/>
              </w:rPr>
              <w:t>Greenlawn Plaza</w:t>
            </w:r>
          </w:p>
        </w:tc>
        <w:tc>
          <w:tcPr>
            <w:tcW w:w="206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Nassau-Suffolk, NY</w:t>
            </w:r>
          </w:p>
        </w:tc>
        <w:tc>
          <w:tcPr>
            <w:tcW w:w="7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19,983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13,600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106,000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99%</w:t>
            </w:r>
          </w:p>
        </w:tc>
        <w:tc>
          <w:tcPr>
            <w:tcW w:w="6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46,000</w:t>
            </w:r>
          </w:p>
        </w:tc>
        <w:tc>
          <w:tcPr>
            <w:tcW w:w="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Waldbaum’s</w:t>
            </w:r>
          </w:p>
        </w:tc>
        <w:tc>
          <w:tcPr>
            <w:tcW w:w="126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Tuesday Morning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w w:val="93"/>
              </w:rPr>
              <w:t>Total New York / New Jersey</w:t>
            </w: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19,983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106,000</w:t>
            </w:r>
          </w:p>
        </w:tc>
        <w:tc>
          <w:tcPr>
            <w:tcW w:w="100" w:type="dxa"/>
            <w:vAlign w:val="bottom"/>
          </w:tcPr>
          <w:p>
            <w:pPr>
              <w:spacing w:after="0"/>
              <w:rPr>
                <w:sz w:val="13"/>
                <w:szCs w:val="13"/>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99%</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6"/>
              </w:rPr>
              <w:t>New England</w:t>
            </w:r>
          </w:p>
        </w:tc>
        <w:tc>
          <w:tcPr>
            <w:tcW w:w="1260" w:type="dxa"/>
            <w:vAlign w:val="bottom"/>
            <w:tcBorders>
              <w:bottom w:val="single" w:sz="8" w:color="CCEEFF"/>
            </w:tcBorders>
            <w:gridSpan w:val="3"/>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60" w:type="dxa"/>
            <w:vAlign w:val="bottom"/>
            <w:gridSpan w:val="6"/>
          </w:tcPr>
          <w:p>
            <w:pPr>
              <w:spacing w:after="0" w:line="131" w:lineRule="exact"/>
              <w:rPr>
                <w:sz w:val="20"/>
                <w:szCs w:val="20"/>
                <w:color w:val="auto"/>
              </w:rPr>
            </w:pPr>
            <w:r>
              <w:rPr>
                <w:rFonts w:ascii="Arial" w:cs="Arial" w:eastAsia="Arial" w:hAnsi="Arial"/>
                <w:sz w:val="14"/>
                <w:szCs w:val="14"/>
                <w:color w:val="auto"/>
              </w:rPr>
              <w:t>Atlantic Plaza</w:t>
            </w:r>
          </w:p>
        </w:tc>
        <w:tc>
          <w:tcPr>
            <w:tcW w:w="2060" w:type="dxa"/>
            <w:vAlign w:val="bottom"/>
            <w:gridSpan w:val="2"/>
          </w:tcPr>
          <w:p>
            <w:pPr>
              <w:ind w:left="260"/>
              <w:spacing w:after="0" w:line="131" w:lineRule="exact"/>
              <w:rPr>
                <w:sz w:val="20"/>
                <w:szCs w:val="20"/>
                <w:color w:val="auto"/>
              </w:rPr>
            </w:pPr>
            <w:r>
              <w:rPr>
                <w:rFonts w:ascii="Arial" w:cs="Arial" w:eastAsia="Arial" w:hAnsi="Arial"/>
                <w:sz w:val="14"/>
                <w:szCs w:val="14"/>
                <w:color w:val="auto"/>
              </w:rPr>
              <w:t>Boston-Worcester-</w:t>
            </w:r>
          </w:p>
        </w:tc>
        <w:tc>
          <w:tcPr>
            <w:tcW w:w="7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2004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4"/>
                <w:szCs w:val="14"/>
                <w:color w:val="auto"/>
              </w:rPr>
              <w:t>16,521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Arial" w:cs="Arial" w:eastAsia="Arial" w:hAnsi="Arial"/>
                <w:sz w:val="14"/>
                <w:szCs w:val="14"/>
                <w:color w:val="auto"/>
              </w:rPr>
              <w:t>10,500</w:t>
            </w:r>
          </w:p>
        </w:tc>
        <w:tc>
          <w:tcPr>
            <w:tcW w:w="100" w:type="dxa"/>
            <w:vAlign w:val="bottom"/>
          </w:tcPr>
          <w:p>
            <w:pPr>
              <w:spacing w:after="0"/>
              <w:rPr>
                <w:sz w:val="11"/>
                <w:szCs w:val="11"/>
                <w:color w:val="auto"/>
              </w:rPr>
            </w:pPr>
          </w:p>
        </w:tc>
        <w:tc>
          <w:tcPr>
            <w:tcW w:w="500" w:type="dxa"/>
            <w:vAlign w:val="bottom"/>
          </w:tcPr>
          <w:p>
            <w:pPr>
              <w:jc w:val="right"/>
              <w:spacing w:after="0" w:line="131" w:lineRule="exact"/>
              <w:rPr>
                <w:sz w:val="20"/>
                <w:szCs w:val="20"/>
                <w:color w:val="auto"/>
              </w:rPr>
            </w:pPr>
            <w:r>
              <w:rPr>
                <w:rFonts w:ascii="Arial" w:cs="Arial" w:eastAsia="Arial" w:hAnsi="Arial"/>
                <w:sz w:val="14"/>
                <w:szCs w:val="14"/>
                <w:color w:val="auto"/>
                <w:w w:val="94"/>
              </w:rPr>
              <w:t>124,000</w:t>
            </w:r>
          </w:p>
        </w:tc>
        <w:tc>
          <w:tcPr>
            <w:tcW w:w="100" w:type="dxa"/>
            <w:vAlign w:val="bottom"/>
          </w:tcPr>
          <w:p>
            <w:pPr>
              <w:spacing w:after="0"/>
              <w:rPr>
                <w:sz w:val="11"/>
                <w:szCs w:val="11"/>
                <w:color w:val="auto"/>
              </w:rPr>
            </w:pPr>
          </w:p>
        </w:tc>
        <w:tc>
          <w:tcPr>
            <w:tcW w:w="720" w:type="dxa"/>
            <w:vAlign w:val="bottom"/>
            <w:gridSpan w:val="2"/>
          </w:tcPr>
          <w:p>
            <w:pPr>
              <w:jc w:val="right"/>
              <w:ind w:right="160"/>
              <w:spacing w:after="0" w:line="131" w:lineRule="exact"/>
              <w:rPr>
                <w:sz w:val="20"/>
                <w:szCs w:val="20"/>
                <w:color w:val="auto"/>
              </w:rPr>
            </w:pPr>
            <w:r>
              <w:rPr>
                <w:rFonts w:ascii="Arial" w:cs="Arial" w:eastAsia="Arial" w:hAnsi="Arial"/>
                <w:sz w:val="14"/>
                <w:szCs w:val="14"/>
                <w:color w:val="auto"/>
              </w:rPr>
              <w:t>96%</w:t>
            </w:r>
          </w:p>
        </w:tc>
        <w:tc>
          <w:tcPr>
            <w:tcW w:w="640" w:type="dxa"/>
            <w:vAlign w:val="bottom"/>
            <w:gridSpan w:val="2"/>
          </w:tcPr>
          <w:p>
            <w:pPr>
              <w:jc w:val="right"/>
              <w:ind w:right="100"/>
              <w:spacing w:after="0" w:line="131" w:lineRule="exact"/>
              <w:rPr>
                <w:sz w:val="20"/>
                <w:szCs w:val="20"/>
                <w:color w:val="auto"/>
              </w:rPr>
            </w:pPr>
            <w:r>
              <w:rPr>
                <w:rFonts w:ascii="Arial" w:cs="Arial" w:eastAsia="Arial" w:hAnsi="Arial"/>
                <w:sz w:val="14"/>
                <w:szCs w:val="14"/>
                <w:color w:val="auto"/>
              </w:rPr>
              <w:t>63,000</w:t>
            </w:r>
          </w:p>
        </w:tc>
        <w:tc>
          <w:tcPr>
            <w:tcW w:w="800" w:type="dxa"/>
            <w:vAlign w:val="bottom"/>
          </w:tcPr>
          <w:p>
            <w:pPr>
              <w:spacing w:after="0" w:line="131" w:lineRule="exact"/>
              <w:rPr>
                <w:sz w:val="20"/>
                <w:szCs w:val="20"/>
                <w:color w:val="auto"/>
              </w:rPr>
            </w:pPr>
            <w:r>
              <w:rPr>
                <w:rFonts w:ascii="Arial" w:cs="Arial" w:eastAsia="Arial" w:hAnsi="Arial"/>
                <w:sz w:val="14"/>
                <w:szCs w:val="14"/>
                <w:color w:val="auto"/>
              </w:rPr>
              <w:t>Shaw’s</w:t>
            </w:r>
          </w:p>
        </w:tc>
        <w:tc>
          <w:tcPr>
            <w:tcW w:w="1260" w:type="dxa"/>
            <w:vAlign w:val="bottom"/>
            <w:gridSpan w:val="2"/>
          </w:tcPr>
          <w:p>
            <w:pPr>
              <w:ind w:left="120"/>
              <w:spacing w:after="0" w:line="131" w:lineRule="exact"/>
              <w:rPr>
                <w:sz w:val="20"/>
                <w:szCs w:val="20"/>
                <w:color w:val="auto"/>
              </w:rPr>
            </w:pPr>
            <w:r>
              <w:rPr>
                <w:rFonts w:ascii="Arial" w:cs="Arial" w:eastAsia="Arial" w:hAnsi="Arial"/>
                <w:sz w:val="14"/>
                <w:szCs w:val="14"/>
                <w:color w:val="auto"/>
              </w:rPr>
              <w:t>Sears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Lawrence-Lowell-</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w w:val="97"/>
              </w:rPr>
              <w:t>Supermarket</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2"/>
          </w:tcPr>
          <w:p>
            <w:pPr>
              <w:ind w:left="260"/>
              <w:spacing w:after="0"/>
              <w:rPr>
                <w:sz w:val="20"/>
                <w:szCs w:val="20"/>
                <w:color w:val="auto"/>
              </w:rPr>
            </w:pPr>
            <w:r>
              <w:rPr>
                <w:rFonts w:ascii="Arial" w:cs="Arial" w:eastAsia="Arial" w:hAnsi="Arial"/>
                <w:sz w:val="14"/>
                <w:szCs w:val="14"/>
                <w:color w:val="auto"/>
              </w:rPr>
              <w:t>Brockton, MA</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460" w:type="dxa"/>
            <w:vAlign w:val="bottom"/>
            <w:gridSpan w:val="6"/>
            <w:shd w:val="clear" w:color="auto" w:fill="CCEEFF"/>
          </w:tcPr>
          <w:p>
            <w:pPr>
              <w:spacing w:after="0" w:line="139" w:lineRule="exact"/>
              <w:rPr>
                <w:sz w:val="20"/>
                <w:szCs w:val="20"/>
                <w:color w:val="auto"/>
              </w:rPr>
            </w:pPr>
            <w:r>
              <w:rPr>
                <w:rFonts w:ascii="Arial" w:cs="Arial" w:eastAsia="Arial" w:hAnsi="Arial"/>
                <w:sz w:val="14"/>
                <w:szCs w:val="14"/>
                <w:color w:val="auto"/>
              </w:rPr>
              <w:t>Campus Plaza</w:t>
            </w:r>
          </w:p>
        </w:tc>
        <w:tc>
          <w:tcPr>
            <w:tcW w:w="2060" w:type="dxa"/>
            <w:vAlign w:val="bottom"/>
            <w:gridSpan w:val="2"/>
            <w:shd w:val="clear" w:color="auto" w:fill="CCEEFF"/>
          </w:tcPr>
          <w:p>
            <w:pPr>
              <w:ind w:left="260"/>
              <w:spacing w:after="0" w:line="139" w:lineRule="exact"/>
              <w:rPr>
                <w:sz w:val="20"/>
                <w:szCs w:val="20"/>
                <w:color w:val="auto"/>
              </w:rPr>
            </w:pPr>
            <w:r>
              <w:rPr>
                <w:rFonts w:ascii="Arial" w:cs="Arial" w:eastAsia="Arial" w:hAnsi="Arial"/>
                <w:sz w:val="14"/>
                <w:szCs w:val="14"/>
                <w:color w:val="auto"/>
              </w:rPr>
              <w:t>Boston-Worcester-</w:t>
            </w:r>
          </w:p>
        </w:tc>
        <w:tc>
          <w:tcPr>
            <w:tcW w:w="7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2004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22,202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11,000</w:t>
            </w:r>
          </w:p>
        </w:tc>
        <w:tc>
          <w:tcPr>
            <w:tcW w:w="6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w w:val="94"/>
              </w:rPr>
              <w:t>116,000</w:t>
            </w:r>
          </w:p>
        </w:tc>
        <w:tc>
          <w:tcPr>
            <w:tcW w:w="7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95%</w:t>
            </w:r>
          </w:p>
        </w:tc>
        <w:tc>
          <w:tcPr>
            <w:tcW w:w="6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46,000</w:t>
            </w:r>
          </w:p>
        </w:tc>
        <w:tc>
          <w:tcPr>
            <w:tcW w:w="8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Roche</w:t>
            </w:r>
          </w:p>
        </w:tc>
        <w:tc>
          <w:tcPr>
            <w:tcW w:w="126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rPr>
              <w:t>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Lawrence-Lowell-</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Brothers</w:t>
            </w:r>
          </w:p>
        </w:tc>
        <w:tc>
          <w:tcPr>
            <w:tcW w:w="1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Factory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Brockton, MA</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gridSpan w:val="6"/>
          </w:tcPr>
          <w:p>
            <w:pPr>
              <w:spacing w:after="0" w:line="138" w:lineRule="exact"/>
              <w:rPr>
                <w:sz w:val="20"/>
                <w:szCs w:val="20"/>
                <w:color w:val="auto"/>
              </w:rPr>
            </w:pPr>
            <w:r>
              <w:rPr>
                <w:rFonts w:ascii="Arial" w:cs="Arial" w:eastAsia="Arial" w:hAnsi="Arial"/>
                <w:sz w:val="14"/>
                <w:szCs w:val="14"/>
                <w:color w:val="auto"/>
              </w:rPr>
              <w:t>Pleasant Shops</w:t>
            </w:r>
          </w:p>
        </w:tc>
        <w:tc>
          <w:tcPr>
            <w:tcW w:w="2060" w:type="dxa"/>
            <w:vAlign w:val="bottom"/>
            <w:gridSpan w:val="2"/>
          </w:tcPr>
          <w:p>
            <w:pPr>
              <w:ind w:left="260"/>
              <w:spacing w:after="0" w:line="138" w:lineRule="exact"/>
              <w:rPr>
                <w:sz w:val="20"/>
                <w:szCs w:val="20"/>
                <w:color w:val="auto"/>
              </w:rPr>
            </w:pPr>
            <w:r>
              <w:rPr>
                <w:rFonts w:ascii="Arial" w:cs="Arial" w:eastAsia="Arial" w:hAnsi="Arial"/>
                <w:sz w:val="14"/>
                <w:szCs w:val="14"/>
                <w:color w:val="auto"/>
              </w:rPr>
              <w:t>Boston-Worcester-</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23,004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12,400</w:t>
            </w:r>
          </w:p>
        </w:tc>
        <w:tc>
          <w:tcPr>
            <w:tcW w:w="10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w w:val="94"/>
              </w:rPr>
              <w:t>129,000</w:t>
            </w:r>
          </w:p>
        </w:tc>
        <w:tc>
          <w:tcPr>
            <w:tcW w:w="100" w:type="dxa"/>
            <w:vAlign w:val="bottom"/>
          </w:tcPr>
          <w:p>
            <w:pPr>
              <w:spacing w:after="0"/>
              <w:rPr>
                <w:sz w:val="11"/>
                <w:szCs w:val="11"/>
                <w:color w:val="auto"/>
              </w:rPr>
            </w:pPr>
          </w:p>
        </w:tc>
        <w:tc>
          <w:tcPr>
            <w:tcW w:w="7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96%</w:t>
            </w:r>
          </w:p>
        </w:tc>
        <w:tc>
          <w:tcPr>
            <w:tcW w:w="6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38,000</w:t>
            </w:r>
          </w:p>
        </w:tc>
        <w:tc>
          <w:tcPr>
            <w:tcW w:w="800" w:type="dxa"/>
            <w:vAlign w:val="bottom"/>
          </w:tcPr>
          <w:p>
            <w:pPr>
              <w:spacing w:after="0" w:line="138" w:lineRule="exact"/>
              <w:rPr>
                <w:sz w:val="20"/>
                <w:szCs w:val="20"/>
                <w:color w:val="auto"/>
              </w:rPr>
            </w:pPr>
            <w:r>
              <w:rPr>
                <w:rFonts w:ascii="Arial" w:cs="Arial" w:eastAsia="Arial" w:hAnsi="Arial"/>
                <w:sz w:val="14"/>
                <w:szCs w:val="14"/>
                <w:color w:val="auto"/>
              </w:rPr>
              <w:t>Foodmaster</w:t>
            </w:r>
          </w:p>
        </w:tc>
        <w:tc>
          <w:tcPr>
            <w:tcW w:w="126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Lawrence-Lowell-</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2"/>
          </w:tcPr>
          <w:p>
            <w:pPr>
              <w:ind w:left="260"/>
              <w:spacing w:after="0"/>
              <w:rPr>
                <w:sz w:val="20"/>
                <w:szCs w:val="20"/>
                <w:color w:val="auto"/>
              </w:rPr>
            </w:pPr>
            <w:r>
              <w:rPr>
                <w:rFonts w:ascii="Arial" w:cs="Arial" w:eastAsia="Arial" w:hAnsi="Arial"/>
                <w:sz w:val="14"/>
                <w:szCs w:val="14"/>
                <w:color w:val="auto"/>
              </w:rPr>
              <w:t>Brockton, MA</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Total New England</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369,000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gridSpan w:val="7"/>
            <w:vMerge w:val="restart"/>
          </w:tcPr>
          <w:p>
            <w:pPr>
              <w:spacing w:after="0"/>
              <w:rPr>
                <w:sz w:val="20"/>
                <w:szCs w:val="20"/>
                <w:color w:val="auto"/>
              </w:rPr>
            </w:pPr>
            <w:r>
              <w:rPr>
                <w:rFonts w:ascii="Arial" w:cs="Arial" w:eastAsia="Arial" w:hAnsi="Arial"/>
                <w:sz w:val="14"/>
                <w:szCs w:val="14"/>
                <w:color w:val="auto"/>
              </w:rPr>
              <w:t>Grand Totals</w:t>
            </w: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80" w:type="dxa"/>
            <w:vAlign w:val="bottom"/>
            <w:gridSpan w:val="7"/>
            <w:vMerge w:val="continue"/>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202,781</w:t>
            </w:r>
          </w:p>
        </w:tc>
        <w:tc>
          <w:tcPr>
            <w:tcW w:w="1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81,274</w:t>
            </w: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950,000</w:t>
            </w:r>
          </w:p>
        </w:tc>
        <w:tc>
          <w:tcPr>
            <w:tcW w:w="100" w:type="dxa"/>
            <w:vAlign w:val="bottom"/>
          </w:tcPr>
          <w:p>
            <w:pPr>
              <w:spacing w:after="0"/>
              <w:rPr>
                <w:sz w:val="13"/>
                <w:szCs w:val="13"/>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96%</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w:t>
      </w:r>
    </w:p>
    <w:p>
      <w:pPr>
        <w:spacing w:after="0" w:line="15" w:lineRule="exact"/>
        <w:rPr>
          <w:sz w:val="20"/>
          <w:szCs w:val="20"/>
          <w:color w:val="auto"/>
        </w:rPr>
      </w:pPr>
    </w:p>
    <w:p>
      <w:pPr>
        <w:ind w:left="5620" w:right="5260" w:hanging="5612"/>
        <w:spacing w:after="0" w:line="404" w:lineRule="auto"/>
        <w:tabs>
          <w:tab w:leader="none" w:pos="448" w:val="left"/>
        </w:tabs>
        <w:numPr>
          <w:ilvl w:val="0"/>
          <w:numId w:val="21"/>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24</w:t>
      </w:r>
    </w:p>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Glossary of Terms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attributable to the Trust plus depreciation and amortization, net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Adjusted EBITDA to net income attributable to the Trust for the three and six months ended June 30, 2009 and 2008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6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7820" w:type="dxa"/>
            <w:vAlign w:val="bottom"/>
          </w:tcPr>
          <w:p>
            <w:pPr>
              <w:spacing w:after="0"/>
              <w:rPr>
                <w:sz w:val="14"/>
                <w:szCs w:val="14"/>
                <w:color w:val="auto"/>
              </w:rPr>
            </w:pPr>
          </w:p>
        </w:tc>
        <w:tc>
          <w:tcPr>
            <w:tcW w:w="16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257"/>
              <w:spacing w:after="0" w:line="142" w:lineRule="exact"/>
              <w:rPr>
                <w:sz w:val="20"/>
                <w:szCs w:val="20"/>
                <w:color w:val="auto"/>
              </w:rPr>
            </w:pPr>
            <w:r>
              <w:rPr>
                <w:rFonts w:ascii="Arial" w:cs="Arial" w:eastAsia="Arial" w:hAnsi="Arial"/>
                <w:sz w:val="14"/>
                <w:szCs w:val="14"/>
                <w:b w:val="1"/>
                <w:bCs w:val="1"/>
                <w:color w:val="auto"/>
                <w:w w:val="74"/>
              </w:rPr>
              <w:t>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center"/>
              <w:ind w:right="2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$28,417</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$28,974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58,960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29,633</w:t>
            </w:r>
          </w:p>
        </w:tc>
        <w:tc>
          <w:tcPr>
            <w:tcW w:w="2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27,795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53,195</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25,830</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24,476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48,829</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Early extinguishment of senior notes</w:t>
            </w:r>
          </w:p>
        </w:tc>
        <w:tc>
          <w:tcPr>
            <w:tcW w:w="580" w:type="dxa"/>
            <w:vAlign w:val="bottom"/>
          </w:tcPr>
          <w:p>
            <w:pPr>
              <w:jc w:val="right"/>
              <w:spacing w:after="0"/>
              <w:rPr>
                <w:sz w:val="20"/>
                <w:szCs w:val="20"/>
                <w:color w:val="auto"/>
              </w:rPr>
            </w:pPr>
            <w:r>
              <w:rPr>
                <w:rFonts w:ascii="Arial" w:cs="Arial" w:eastAsia="Arial" w:hAnsi="Arial"/>
                <w:sz w:val="18"/>
                <w:szCs w:val="18"/>
                <w:color w:val="auto"/>
              </w:rPr>
              <w:t>982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(260)</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1"/>
        </w:trPr>
        <w:tc>
          <w:tcPr>
            <w:tcW w:w="7820" w:type="dxa"/>
            <w:vAlign w:val="bottom"/>
          </w:tcPr>
          <w:p>
            <w:pPr>
              <w:spacing w:after="0"/>
              <w:rPr>
                <w:sz w:val="20"/>
                <w:szCs w:val="20"/>
                <w:color w:val="auto"/>
              </w:rPr>
            </w:pPr>
            <w:r>
              <w:rPr>
                <w:rFonts w:ascii="Arial" w:cs="Arial" w:eastAsia="Arial" w:hAnsi="Arial"/>
                <w:sz w:val="18"/>
                <w:szCs w:val="18"/>
                <w:color w:val="auto"/>
              </w:rPr>
              <w:t>EBITDA</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147,157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160,434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84,219</w:t>
            </w:r>
          </w:p>
        </w:tc>
        <w:tc>
          <w:tcPr>
            <w:tcW w:w="20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81,036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145,859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160,434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net income, computed in accordance with GAAP plus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15"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17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3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 lease</w:t>
      </w:r>
      <w:r>
        <w:rPr>
          <w:rFonts w:ascii="Arial" w:cs="Arial" w:eastAsia="Arial" w:hAnsi="Arial"/>
          <w:sz w:val="18"/>
          <w:szCs w:val="18"/>
          <w:b w:val="1"/>
          <w:bCs w:val="1"/>
          <w:color w:val="auto"/>
        </w:rPr>
        <w:t xml:space="preserve"> </w:t>
      </w:r>
      <w:r>
        <w:rPr>
          <w:rFonts w:ascii="Arial" w:cs="Arial" w:eastAsia="Arial" w:hAnsi="Arial"/>
          <w:sz w:val="18"/>
          <w:szCs w:val="18"/>
          <w:color w:val="auto"/>
        </w:rPr>
        <w:t>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3"/>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3"/>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2019-12-10T00:05:05Z</dcterms:created>
  <dcterms:modified xsi:type="dcterms:W3CDTF">2019-12-10T00:05:05Z</dcterms:modified>
</cp:coreProperties>
</file>