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July 12, 2006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333-135159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Supplementing Prospectus Supplement Dated July 12, 2006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June 20, 2006</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6.00% Notes due 2012</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Term sheet dated July 12, 2006</w:t>
      </w:r>
    </w:p>
    <w:p>
      <w:pPr>
        <w:sectPr>
          <w:pgSz w:w="11900" w:h="16838" w:orient="portrait"/>
          <w:cols w:equalWidth="0" w:num="1">
            <w:col w:w="11420"/>
          </w:cols>
          <w:pgMar w:left="240" w:top="239" w:right="239" w:bottom="1440" w:gutter="0" w:footer="0" w:header="0"/>
        </w:sectPr>
      </w:pP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Size:</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5"/>
          <w:szCs w:val="15"/>
          <w:color w:val="auto"/>
        </w:rPr>
        <w:t>$120,000,000</w:t>
      </w:r>
    </w:p>
    <w:p>
      <w:pPr>
        <w:spacing w:after="0" w:line="151"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Coupon (Interest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6.00% per year</w:t>
      </w:r>
    </w:p>
    <w:p>
      <w:pPr>
        <w:spacing w:after="0" w:line="152"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Yield to 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6.02%</w:t>
      </w:r>
    </w:p>
    <w:p>
      <w:pPr>
        <w:spacing w:after="0" w:line="151"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93 basis points</w:t>
      </w:r>
    </w:p>
    <w:p>
      <w:pPr>
        <w:spacing w:after="0" w:line="152"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4.375% UST due August 15, 2012</w:t>
      </w:r>
    </w:p>
    <w:p>
      <w:pPr>
        <w:spacing w:after="0" w:line="152"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Yield and 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 xml:space="preserve">5.09%; 96-09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1"/>
          <w:szCs w:val="11"/>
          <w:color w:val="auto"/>
        </w:rPr>
        <w:t>4</w:t>
      </w:r>
    </w:p>
    <w:p>
      <w:pPr>
        <w:spacing w:after="0" w:line="151" w:lineRule="exact"/>
        <w:rPr>
          <w:sz w:val="24"/>
          <w:szCs w:val="24"/>
          <w:color w:val="auto"/>
        </w:rPr>
      </w:pPr>
    </w:p>
    <w:p>
      <w:pPr>
        <w:sectPr>
          <w:pgSz w:w="11900" w:h="16838" w:orient="portrait"/>
          <w:cols w:equalWidth="0" w:num="2">
            <w:col w:w="2660" w:space="68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January 15 and July 15</w:t>
      </w:r>
    </w:p>
    <w:p>
      <w:pPr>
        <w:spacing w:after="0" w:line="152"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First Payment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January 15, 2007</w:t>
      </w:r>
    </w:p>
    <w:p>
      <w:pPr>
        <w:spacing w:after="0" w:line="151"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July 15, 2012</w:t>
      </w:r>
    </w:p>
    <w:p>
      <w:pPr>
        <w:spacing w:after="0" w:line="151"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99.901% of principal amount</w:t>
      </w:r>
    </w:p>
    <w:p>
      <w:pPr>
        <w:spacing w:after="0" w:line="140"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T+3; July 17, 2006</w:t>
      </w:r>
    </w:p>
    <w:p>
      <w:pPr>
        <w:spacing w:after="0" w:line="152"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Record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December 31 and June 30</w:t>
      </w:r>
    </w:p>
    <w:p>
      <w:pPr>
        <w:spacing w:after="0" w:line="152"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Aggregate 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$119,881,200</w:t>
      </w:r>
    </w:p>
    <w:p>
      <w:pPr>
        <w:spacing w:after="0" w:line="151"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Underwriting Discount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0.6125%</w:t>
      </w:r>
    </w:p>
    <w:p>
      <w:pPr>
        <w:spacing w:after="0" w:line="151"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Net Proceeds to the Company before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$119,146,200</w:t>
      </w:r>
    </w:p>
    <w:p>
      <w:pPr>
        <w:spacing w:after="0" w:line="50"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Expenses:</w:t>
      </w:r>
    </w:p>
    <w:p>
      <w:pPr>
        <w:sectPr>
          <w:pgSz w:w="11900" w:h="16838" w:orient="portrait"/>
          <w:cols w:equalWidth="0" w:num="1">
            <w:col w:w="11420"/>
          </w:cols>
          <w:pgMar w:left="240" w:top="239" w:right="239" w:bottom="1440" w:gutter="0" w:footer="0" w:header="0"/>
          <w:type w:val="continuous"/>
        </w:sectPr>
      </w:pP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color w:val="auto"/>
        </w:rPr>
        <w:t>Redemption Provision:</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5"/>
          <w:szCs w:val="15"/>
          <w:color w:val="auto"/>
        </w:rPr>
        <w:t>Make-whole call at any time based on U.S. Treasury plus 0.15% (fifteen one-hundredths of one percent)</w:t>
      </w:r>
    </w:p>
    <w:p>
      <w:pPr>
        <w:spacing w:after="0" w:line="151"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Dealer Concession: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0.350%</w:t>
      </w:r>
    </w:p>
    <w:p>
      <w:pPr>
        <w:spacing w:after="0" w:line="152"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Reallowance: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0.250%</w:t>
      </w:r>
    </w:p>
    <w:p>
      <w:pPr>
        <w:spacing w:after="0" w:line="152" w:lineRule="exact"/>
        <w:rPr>
          <w:sz w:val="24"/>
          <w:szCs w:val="24"/>
          <w:color w:val="auto"/>
        </w:rPr>
      </w:pPr>
    </w:p>
    <w:p>
      <w:pPr>
        <w:sectPr>
          <w:pgSz w:w="11900" w:h="16838" w:orient="portrait"/>
          <w:cols w:equalWidth="0" w:num="2">
            <w:col w:w="2620" w:space="720"/>
            <w:col w:w="808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313747AM9</w:t>
      </w:r>
    </w:p>
    <w:p>
      <w:pPr>
        <w:sectPr>
          <w:pgSz w:w="11900" w:h="16838" w:orient="portrait"/>
          <w:cols w:equalWidth="0" w:num="2">
            <w:col w:w="2620" w:space="720"/>
            <w:col w:w="8080"/>
          </w:cols>
          <w:pgMar w:left="240" w:top="23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7280" w:type="dxa"/>
            <w:vAlign w:val="bottom"/>
          </w:tcPr>
          <w:p>
            <w:pPr>
              <w:ind w:left="320"/>
              <w:spacing w:after="0"/>
              <w:rPr>
                <w:sz w:val="20"/>
                <w:szCs w:val="20"/>
                <w:color w:val="auto"/>
              </w:rPr>
            </w:pPr>
            <w:r>
              <w:rPr>
                <w:rFonts w:ascii="Arial" w:cs="Arial" w:eastAsia="Arial" w:hAnsi="Arial"/>
                <w:sz w:val="18"/>
                <w:szCs w:val="18"/>
                <w:color w:val="auto"/>
              </w:rPr>
              <w:t>Wachovia Capital Markets, LLC</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48,000,000</w:t>
            </w:r>
          </w:p>
        </w:tc>
      </w:tr>
      <w:tr>
        <w:trPr>
          <w:trHeight w:val="222"/>
        </w:trPr>
        <w:tc>
          <w:tcPr>
            <w:tcW w:w="2980" w:type="dxa"/>
            <w:vAlign w:val="bottom"/>
          </w:tcPr>
          <w:p>
            <w:pPr>
              <w:spacing w:after="0"/>
              <w:rPr>
                <w:sz w:val="19"/>
                <w:szCs w:val="19"/>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Citigroup Global Markets, Inc.</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36,000,000</w:t>
            </w:r>
          </w:p>
        </w:tc>
      </w:tr>
      <w:tr>
        <w:trPr>
          <w:trHeight w:val="426"/>
        </w:trPr>
        <w:tc>
          <w:tcPr>
            <w:tcW w:w="2980" w:type="dxa"/>
            <w:vAlign w:val="bottom"/>
          </w:tcPr>
          <w:p>
            <w:pPr>
              <w:spacing w:after="0"/>
              <w:rPr>
                <w:sz w:val="20"/>
                <w:szCs w:val="20"/>
                <w:color w:val="auto"/>
              </w:rPr>
            </w:pPr>
            <w:r>
              <w:rPr>
                <w:rFonts w:ascii="Arial" w:cs="Arial" w:eastAsia="Arial" w:hAnsi="Arial"/>
                <w:sz w:val="18"/>
                <w:szCs w:val="18"/>
                <w:color w:val="auto"/>
              </w:rPr>
              <w:t>Co-Managers:</w:t>
            </w:r>
          </w:p>
        </w:tc>
        <w:tc>
          <w:tcPr>
            <w:tcW w:w="7280" w:type="dxa"/>
            <w:vAlign w:val="bottom"/>
          </w:tcPr>
          <w:p>
            <w:pPr>
              <w:ind w:left="320"/>
              <w:spacing w:after="0"/>
              <w:rPr>
                <w:sz w:val="20"/>
                <w:szCs w:val="20"/>
                <w:color w:val="auto"/>
              </w:rPr>
            </w:pPr>
            <w:r>
              <w:rPr>
                <w:rFonts w:ascii="Arial" w:cs="Arial" w:eastAsia="Arial" w:hAnsi="Arial"/>
                <w:sz w:val="18"/>
                <w:szCs w:val="18"/>
                <w:color w:val="auto"/>
              </w:rPr>
              <w:t>Bear, Stearns &amp; Co. Inc.</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7,200,000</w:t>
            </w:r>
          </w:p>
        </w:tc>
      </w:tr>
      <w:tr>
        <w:trPr>
          <w:trHeight w:val="216"/>
        </w:trPr>
        <w:tc>
          <w:tcPr>
            <w:tcW w:w="298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Commerzbank Capital Markets Corp.</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7,200,000</w:t>
            </w:r>
          </w:p>
        </w:tc>
      </w:tr>
      <w:tr>
        <w:trPr>
          <w:trHeight w:val="216"/>
        </w:trPr>
        <w:tc>
          <w:tcPr>
            <w:tcW w:w="298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Piper Jaffray &amp; Co.</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7,200,000</w:t>
            </w:r>
          </w:p>
        </w:tc>
      </w:tr>
      <w:tr>
        <w:trPr>
          <w:trHeight w:val="216"/>
        </w:trPr>
        <w:tc>
          <w:tcPr>
            <w:tcW w:w="298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PNC Capital Markets LLC</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7,200,000</w:t>
            </w:r>
          </w:p>
        </w:tc>
      </w:tr>
      <w:tr>
        <w:trPr>
          <w:trHeight w:val="222"/>
        </w:trPr>
        <w:tc>
          <w:tcPr>
            <w:tcW w:w="2980" w:type="dxa"/>
            <w:vAlign w:val="bottom"/>
          </w:tcPr>
          <w:p>
            <w:pPr>
              <w:spacing w:after="0"/>
              <w:rPr>
                <w:sz w:val="19"/>
                <w:szCs w:val="19"/>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SunTrust Capital Markets, Inc.</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7,200,000</w:t>
            </w:r>
          </w:p>
        </w:tc>
      </w:tr>
      <w:tr>
        <w:trPr>
          <w:trHeight w:val="432"/>
        </w:trPr>
        <w:tc>
          <w:tcPr>
            <w:tcW w:w="2980" w:type="dxa"/>
            <w:vAlign w:val="bottom"/>
          </w:tcPr>
          <w:p>
            <w:pPr>
              <w:spacing w:after="0"/>
              <w:rPr>
                <w:sz w:val="20"/>
                <w:szCs w:val="20"/>
                <w:color w:val="auto"/>
              </w:rPr>
            </w:pPr>
            <w:r>
              <w:rPr>
                <w:rFonts w:ascii="Arial" w:cs="Arial" w:eastAsia="Arial" w:hAnsi="Arial"/>
                <w:sz w:val="18"/>
                <w:szCs w:val="18"/>
                <w:b w:val="1"/>
                <w:bCs w:val="1"/>
                <w:color w:val="auto"/>
              </w:rPr>
              <w:t>6.20% Notes due 2017</w:t>
            </w: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Term sheet dated July 12, 2006</w:t>
            </w: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Size:</w:t>
            </w:r>
          </w:p>
        </w:tc>
        <w:tc>
          <w:tcPr>
            <w:tcW w:w="7280" w:type="dxa"/>
            <w:vAlign w:val="bottom"/>
          </w:tcPr>
          <w:p>
            <w:pPr>
              <w:ind w:left="320"/>
              <w:spacing w:after="0"/>
              <w:rPr>
                <w:sz w:val="20"/>
                <w:szCs w:val="20"/>
                <w:color w:val="auto"/>
              </w:rPr>
            </w:pPr>
            <w:r>
              <w:rPr>
                <w:rFonts w:ascii="Arial" w:cs="Arial" w:eastAsia="Arial" w:hAnsi="Arial"/>
                <w:sz w:val="18"/>
                <w:szCs w:val="18"/>
                <w:color w:val="auto"/>
              </w:rPr>
              <w:t>$130,000,000</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Coupon (Interest Rate):</w:t>
            </w:r>
          </w:p>
        </w:tc>
        <w:tc>
          <w:tcPr>
            <w:tcW w:w="7280" w:type="dxa"/>
            <w:vAlign w:val="bottom"/>
          </w:tcPr>
          <w:p>
            <w:pPr>
              <w:ind w:left="320"/>
              <w:spacing w:after="0"/>
              <w:rPr>
                <w:sz w:val="20"/>
                <w:szCs w:val="20"/>
                <w:color w:val="auto"/>
              </w:rPr>
            </w:pPr>
            <w:r>
              <w:rPr>
                <w:rFonts w:ascii="Arial" w:cs="Arial" w:eastAsia="Arial" w:hAnsi="Arial"/>
                <w:sz w:val="18"/>
                <w:szCs w:val="18"/>
                <w:color w:val="auto"/>
              </w:rPr>
              <w:t>6.20% per year</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Yield to Maturity:</w:t>
            </w:r>
          </w:p>
        </w:tc>
        <w:tc>
          <w:tcPr>
            <w:tcW w:w="7280" w:type="dxa"/>
            <w:vAlign w:val="bottom"/>
          </w:tcPr>
          <w:p>
            <w:pPr>
              <w:ind w:left="320"/>
              <w:spacing w:after="0"/>
              <w:rPr>
                <w:sz w:val="20"/>
                <w:szCs w:val="20"/>
                <w:color w:val="auto"/>
              </w:rPr>
            </w:pPr>
            <w:r>
              <w:rPr>
                <w:rFonts w:ascii="Arial" w:cs="Arial" w:eastAsia="Arial" w:hAnsi="Arial"/>
                <w:sz w:val="18"/>
                <w:szCs w:val="18"/>
                <w:color w:val="auto"/>
              </w:rPr>
              <w:t>6.24%</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280" w:type="dxa"/>
            <w:vAlign w:val="bottom"/>
          </w:tcPr>
          <w:p>
            <w:pPr>
              <w:ind w:left="320"/>
              <w:spacing w:after="0"/>
              <w:rPr>
                <w:sz w:val="20"/>
                <w:szCs w:val="20"/>
                <w:color w:val="auto"/>
              </w:rPr>
            </w:pPr>
            <w:r>
              <w:rPr>
                <w:rFonts w:ascii="Arial" w:cs="Arial" w:eastAsia="Arial" w:hAnsi="Arial"/>
                <w:sz w:val="18"/>
                <w:szCs w:val="18"/>
                <w:color w:val="auto"/>
              </w:rPr>
              <w:t>113 basis points</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Benchmark Treasury:</w:t>
            </w:r>
          </w:p>
        </w:tc>
        <w:tc>
          <w:tcPr>
            <w:tcW w:w="7280" w:type="dxa"/>
            <w:vAlign w:val="bottom"/>
          </w:tcPr>
          <w:p>
            <w:pPr>
              <w:ind w:left="320"/>
              <w:spacing w:after="0"/>
              <w:rPr>
                <w:sz w:val="20"/>
                <w:szCs w:val="20"/>
                <w:color w:val="auto"/>
              </w:rPr>
            </w:pPr>
            <w:r>
              <w:rPr>
                <w:rFonts w:ascii="Arial" w:cs="Arial" w:eastAsia="Arial" w:hAnsi="Arial"/>
                <w:sz w:val="18"/>
                <w:szCs w:val="18"/>
                <w:color w:val="auto"/>
              </w:rPr>
              <w:t>5.125% UST due May 15, 2016</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w w:val="99"/>
              </w:rPr>
              <w:t>Benchmark Treasury Yield and Price:</w:t>
            </w:r>
          </w:p>
        </w:tc>
        <w:tc>
          <w:tcPr>
            <w:tcW w:w="7280" w:type="dxa"/>
            <w:vAlign w:val="bottom"/>
          </w:tcPr>
          <w:p>
            <w:pPr>
              <w:ind w:left="320"/>
              <w:spacing w:after="0"/>
              <w:rPr>
                <w:sz w:val="20"/>
                <w:szCs w:val="20"/>
                <w:color w:val="auto"/>
              </w:rPr>
            </w:pPr>
            <w:r>
              <w:rPr>
                <w:rFonts w:ascii="Arial" w:cs="Arial" w:eastAsia="Arial" w:hAnsi="Arial"/>
                <w:sz w:val="18"/>
                <w:szCs w:val="18"/>
                <w:color w:val="auto"/>
              </w:rPr>
              <w:t>5.11%; 100-03+</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280" w:type="dxa"/>
            <w:vAlign w:val="bottom"/>
          </w:tcPr>
          <w:p>
            <w:pPr>
              <w:ind w:left="320"/>
              <w:spacing w:after="0"/>
              <w:rPr>
                <w:sz w:val="20"/>
                <w:szCs w:val="20"/>
                <w:color w:val="auto"/>
              </w:rPr>
            </w:pPr>
            <w:r>
              <w:rPr>
                <w:rFonts w:ascii="Arial" w:cs="Arial" w:eastAsia="Arial" w:hAnsi="Arial"/>
                <w:sz w:val="18"/>
                <w:szCs w:val="18"/>
                <w:color w:val="auto"/>
              </w:rPr>
              <w:t>January 15 and July 15</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First Payment Date:</w:t>
            </w:r>
          </w:p>
        </w:tc>
        <w:tc>
          <w:tcPr>
            <w:tcW w:w="7280" w:type="dxa"/>
            <w:vAlign w:val="bottom"/>
          </w:tcPr>
          <w:p>
            <w:pPr>
              <w:ind w:left="320"/>
              <w:spacing w:after="0"/>
              <w:rPr>
                <w:sz w:val="20"/>
                <w:szCs w:val="20"/>
                <w:color w:val="auto"/>
              </w:rPr>
            </w:pPr>
            <w:r>
              <w:rPr>
                <w:rFonts w:ascii="Arial" w:cs="Arial" w:eastAsia="Arial" w:hAnsi="Arial"/>
                <w:sz w:val="18"/>
                <w:szCs w:val="18"/>
                <w:color w:val="auto"/>
              </w:rPr>
              <w:t>January 15, 2007</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Maturity Date:</w:t>
            </w:r>
          </w:p>
        </w:tc>
        <w:tc>
          <w:tcPr>
            <w:tcW w:w="7280" w:type="dxa"/>
            <w:vAlign w:val="bottom"/>
          </w:tcPr>
          <w:p>
            <w:pPr>
              <w:ind w:left="320"/>
              <w:spacing w:after="0"/>
              <w:rPr>
                <w:sz w:val="20"/>
                <w:szCs w:val="20"/>
                <w:color w:val="auto"/>
              </w:rPr>
            </w:pPr>
            <w:r>
              <w:rPr>
                <w:rFonts w:ascii="Arial" w:cs="Arial" w:eastAsia="Arial" w:hAnsi="Arial"/>
                <w:sz w:val="18"/>
                <w:szCs w:val="18"/>
                <w:color w:val="auto"/>
              </w:rPr>
              <w:t>January 15, 2017</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Price to Public:</w:t>
            </w:r>
          </w:p>
        </w:tc>
        <w:tc>
          <w:tcPr>
            <w:tcW w:w="7280" w:type="dxa"/>
            <w:vAlign w:val="bottom"/>
          </w:tcPr>
          <w:p>
            <w:pPr>
              <w:ind w:left="320"/>
              <w:spacing w:after="0"/>
              <w:rPr>
                <w:sz w:val="20"/>
                <w:szCs w:val="20"/>
                <w:color w:val="auto"/>
              </w:rPr>
            </w:pPr>
            <w:r>
              <w:rPr>
                <w:rFonts w:ascii="Arial" w:cs="Arial" w:eastAsia="Arial" w:hAnsi="Arial"/>
                <w:sz w:val="18"/>
                <w:szCs w:val="18"/>
                <w:color w:val="auto"/>
              </w:rPr>
              <w:t>99.696% of principal amount</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Settlement Date:</w:t>
            </w:r>
          </w:p>
        </w:tc>
        <w:tc>
          <w:tcPr>
            <w:tcW w:w="7280" w:type="dxa"/>
            <w:vAlign w:val="bottom"/>
          </w:tcPr>
          <w:p>
            <w:pPr>
              <w:ind w:left="320"/>
              <w:spacing w:after="0"/>
              <w:rPr>
                <w:sz w:val="20"/>
                <w:szCs w:val="20"/>
                <w:color w:val="auto"/>
              </w:rPr>
            </w:pPr>
            <w:r>
              <w:rPr>
                <w:rFonts w:ascii="Arial" w:cs="Arial" w:eastAsia="Arial" w:hAnsi="Arial"/>
                <w:sz w:val="18"/>
                <w:szCs w:val="18"/>
                <w:color w:val="auto"/>
              </w:rPr>
              <w:t>T+3; July 17, 2006</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Record Dates:</w:t>
            </w:r>
          </w:p>
        </w:tc>
        <w:tc>
          <w:tcPr>
            <w:tcW w:w="7280" w:type="dxa"/>
            <w:vAlign w:val="bottom"/>
          </w:tcPr>
          <w:p>
            <w:pPr>
              <w:ind w:left="320"/>
              <w:spacing w:after="0"/>
              <w:rPr>
                <w:sz w:val="20"/>
                <w:szCs w:val="20"/>
                <w:color w:val="auto"/>
              </w:rPr>
            </w:pPr>
            <w:r>
              <w:rPr>
                <w:rFonts w:ascii="Arial" w:cs="Arial" w:eastAsia="Arial" w:hAnsi="Arial"/>
                <w:sz w:val="18"/>
                <w:szCs w:val="18"/>
                <w:color w:val="auto"/>
              </w:rPr>
              <w:t>December 31 and June 30</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Aggregate Price to Public:</w:t>
            </w:r>
          </w:p>
        </w:tc>
        <w:tc>
          <w:tcPr>
            <w:tcW w:w="7280" w:type="dxa"/>
            <w:vAlign w:val="bottom"/>
          </w:tcPr>
          <w:p>
            <w:pPr>
              <w:ind w:left="320"/>
              <w:spacing w:after="0"/>
              <w:rPr>
                <w:sz w:val="20"/>
                <w:szCs w:val="20"/>
                <w:color w:val="auto"/>
              </w:rPr>
            </w:pPr>
            <w:r>
              <w:rPr>
                <w:rFonts w:ascii="Arial" w:cs="Arial" w:eastAsia="Arial" w:hAnsi="Arial"/>
                <w:sz w:val="18"/>
                <w:szCs w:val="18"/>
                <w:color w:val="auto"/>
              </w:rPr>
              <w:t>$129,604,800</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Underwriting Discount</w:t>
            </w:r>
          </w:p>
        </w:tc>
        <w:tc>
          <w:tcPr>
            <w:tcW w:w="7280" w:type="dxa"/>
            <w:vAlign w:val="bottom"/>
          </w:tcPr>
          <w:p>
            <w:pPr>
              <w:ind w:left="320"/>
              <w:spacing w:after="0"/>
              <w:rPr>
                <w:sz w:val="20"/>
                <w:szCs w:val="20"/>
                <w:color w:val="auto"/>
              </w:rPr>
            </w:pPr>
            <w:r>
              <w:rPr>
                <w:rFonts w:ascii="Arial" w:cs="Arial" w:eastAsia="Arial" w:hAnsi="Arial"/>
                <w:sz w:val="18"/>
                <w:szCs w:val="18"/>
                <w:color w:val="auto"/>
              </w:rPr>
              <w:t>0.650%</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8"/>
        </w:trPr>
        <w:tc>
          <w:tcPr>
            <w:tcW w:w="2980" w:type="dxa"/>
            <w:vAlign w:val="bottom"/>
          </w:tcPr>
          <w:p>
            <w:pPr>
              <w:spacing w:after="0"/>
              <w:rPr>
                <w:sz w:val="20"/>
                <w:szCs w:val="20"/>
                <w:color w:val="auto"/>
              </w:rPr>
            </w:pPr>
            <w:r>
              <w:rPr>
                <w:rFonts w:ascii="Arial" w:cs="Arial" w:eastAsia="Arial" w:hAnsi="Arial"/>
                <w:sz w:val="18"/>
                <w:szCs w:val="18"/>
                <w:color w:val="auto"/>
                <w:w w:val="99"/>
              </w:rPr>
              <w:t>Net Proceeds to the Company before</w:t>
            </w:r>
          </w:p>
        </w:tc>
        <w:tc>
          <w:tcPr>
            <w:tcW w:w="7280" w:type="dxa"/>
            <w:vAlign w:val="bottom"/>
          </w:tcPr>
          <w:p>
            <w:pPr>
              <w:ind w:left="320"/>
              <w:spacing w:after="0"/>
              <w:rPr>
                <w:sz w:val="20"/>
                <w:szCs w:val="20"/>
                <w:color w:val="auto"/>
              </w:rPr>
            </w:pPr>
            <w:r>
              <w:rPr>
                <w:rFonts w:ascii="Arial" w:cs="Arial" w:eastAsia="Arial" w:hAnsi="Arial"/>
                <w:sz w:val="18"/>
                <w:szCs w:val="18"/>
                <w:color w:val="auto"/>
              </w:rPr>
              <w:t>$128,759,800</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Expenses:</w:t>
            </w:r>
          </w:p>
        </w:tc>
        <w:tc>
          <w:tcPr>
            <w:tcW w:w="7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18"/>
        </w:trPr>
        <w:tc>
          <w:tcPr>
            <w:tcW w:w="2980" w:type="dxa"/>
            <w:vAlign w:val="bottom"/>
          </w:tcPr>
          <w:p>
            <w:pPr>
              <w:spacing w:after="0"/>
              <w:rPr>
                <w:sz w:val="20"/>
                <w:szCs w:val="20"/>
                <w:color w:val="auto"/>
              </w:rPr>
            </w:pPr>
            <w:r>
              <w:rPr>
                <w:rFonts w:ascii="Arial" w:cs="Arial" w:eastAsia="Arial" w:hAnsi="Arial"/>
                <w:sz w:val="18"/>
                <w:szCs w:val="18"/>
                <w:color w:val="auto"/>
              </w:rPr>
              <w:t>Redemption Provision:</w:t>
            </w:r>
          </w:p>
        </w:tc>
        <w:tc>
          <w:tcPr>
            <w:tcW w:w="7280" w:type="dxa"/>
            <w:vAlign w:val="bottom"/>
          </w:tcPr>
          <w:p>
            <w:pPr>
              <w:ind w:left="320"/>
              <w:spacing w:after="0"/>
              <w:rPr>
                <w:sz w:val="20"/>
                <w:szCs w:val="20"/>
                <w:color w:val="auto"/>
              </w:rPr>
            </w:pPr>
            <w:r>
              <w:rPr>
                <w:rFonts w:ascii="Arial" w:cs="Arial" w:eastAsia="Arial" w:hAnsi="Arial"/>
                <w:sz w:val="18"/>
                <w:szCs w:val="18"/>
                <w:color w:val="auto"/>
                <w:w w:val="91"/>
              </w:rPr>
              <w:t>Make-whole call at any time based on U.S. Treasury plus 0.20% (twenty one-hundredths of one</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2"/>
        </w:trPr>
        <w:tc>
          <w:tcPr>
            <w:tcW w:w="2980" w:type="dxa"/>
            <w:vAlign w:val="bottom"/>
          </w:tcPr>
          <w:p>
            <w:pPr>
              <w:spacing w:after="0"/>
              <w:rPr>
                <w:sz w:val="19"/>
                <w:szCs w:val="19"/>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percent)</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Dealer Concession:</w:t>
            </w:r>
          </w:p>
        </w:tc>
        <w:tc>
          <w:tcPr>
            <w:tcW w:w="7280" w:type="dxa"/>
            <w:vAlign w:val="bottom"/>
          </w:tcPr>
          <w:p>
            <w:pPr>
              <w:ind w:left="320"/>
              <w:spacing w:after="0"/>
              <w:rPr>
                <w:sz w:val="20"/>
                <w:szCs w:val="20"/>
                <w:color w:val="auto"/>
              </w:rPr>
            </w:pPr>
            <w:r>
              <w:rPr>
                <w:rFonts w:ascii="Arial" w:cs="Arial" w:eastAsia="Arial" w:hAnsi="Arial"/>
                <w:sz w:val="18"/>
                <w:szCs w:val="18"/>
                <w:color w:val="auto"/>
              </w:rPr>
              <w:t>0.400%</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Reallowance:</w:t>
            </w:r>
          </w:p>
        </w:tc>
        <w:tc>
          <w:tcPr>
            <w:tcW w:w="7280" w:type="dxa"/>
            <w:vAlign w:val="bottom"/>
          </w:tcPr>
          <w:p>
            <w:pPr>
              <w:ind w:left="320"/>
              <w:spacing w:after="0"/>
              <w:rPr>
                <w:sz w:val="20"/>
                <w:szCs w:val="20"/>
                <w:color w:val="auto"/>
              </w:rPr>
            </w:pPr>
            <w:r>
              <w:rPr>
                <w:rFonts w:ascii="Arial" w:cs="Arial" w:eastAsia="Arial" w:hAnsi="Arial"/>
                <w:sz w:val="18"/>
                <w:szCs w:val="18"/>
                <w:color w:val="auto"/>
              </w:rPr>
              <w:t>0.250%</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CUSIP:</w:t>
            </w:r>
          </w:p>
        </w:tc>
        <w:tc>
          <w:tcPr>
            <w:tcW w:w="5280" w:type="dxa"/>
            <w:vAlign w:val="bottom"/>
          </w:tcPr>
          <w:p>
            <w:pPr>
              <w:ind w:left="360"/>
              <w:spacing w:after="0"/>
              <w:rPr>
                <w:sz w:val="20"/>
                <w:szCs w:val="20"/>
                <w:color w:val="auto"/>
              </w:rPr>
            </w:pPr>
            <w:r>
              <w:rPr>
                <w:rFonts w:ascii="Arial" w:cs="Arial" w:eastAsia="Arial" w:hAnsi="Arial"/>
                <w:sz w:val="18"/>
                <w:szCs w:val="18"/>
                <w:color w:val="auto"/>
              </w:rPr>
              <w:t>313747AN7</w:t>
            </w:r>
          </w:p>
        </w:tc>
        <w:tc>
          <w:tcPr>
            <w:tcW w:w="2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5280" w:type="dxa"/>
            <w:vAlign w:val="bottom"/>
          </w:tcPr>
          <w:p>
            <w:pPr>
              <w:ind w:left="360"/>
              <w:spacing w:after="0"/>
              <w:rPr>
                <w:sz w:val="20"/>
                <w:szCs w:val="20"/>
                <w:color w:val="auto"/>
              </w:rPr>
            </w:pPr>
            <w:r>
              <w:rPr>
                <w:rFonts w:ascii="Arial" w:cs="Arial" w:eastAsia="Arial" w:hAnsi="Arial"/>
                <w:sz w:val="18"/>
                <w:szCs w:val="18"/>
                <w:color w:val="auto"/>
              </w:rPr>
              <w:t>Wachovia Capital Markets, LLC</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52,000,000</w:t>
            </w:r>
          </w:p>
        </w:tc>
      </w:tr>
      <w:tr>
        <w:trPr>
          <w:trHeight w:val="222"/>
        </w:trPr>
        <w:tc>
          <w:tcPr>
            <w:tcW w:w="2940" w:type="dxa"/>
            <w:vAlign w:val="bottom"/>
          </w:tcPr>
          <w:p>
            <w:pPr>
              <w:spacing w:after="0"/>
              <w:rPr>
                <w:sz w:val="19"/>
                <w:szCs w:val="19"/>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Citigroup Global Markets, Inc.</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39,000,000</w:t>
            </w: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Co-Managers:</w:t>
            </w:r>
          </w:p>
        </w:tc>
        <w:tc>
          <w:tcPr>
            <w:tcW w:w="5280" w:type="dxa"/>
            <w:vAlign w:val="bottom"/>
          </w:tcPr>
          <w:p>
            <w:pPr>
              <w:ind w:left="360"/>
              <w:spacing w:after="0"/>
              <w:rPr>
                <w:sz w:val="20"/>
                <w:szCs w:val="20"/>
                <w:color w:val="auto"/>
              </w:rPr>
            </w:pPr>
            <w:r>
              <w:rPr>
                <w:rFonts w:ascii="Arial" w:cs="Arial" w:eastAsia="Arial" w:hAnsi="Arial"/>
                <w:sz w:val="18"/>
                <w:szCs w:val="18"/>
                <w:color w:val="auto"/>
              </w:rPr>
              <w:t>Bear, Stearns &amp; Co. Inc.</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7,800,000</w:t>
            </w:r>
          </w:p>
        </w:tc>
      </w:tr>
      <w:tr>
        <w:trPr>
          <w:trHeight w:val="216"/>
        </w:trPr>
        <w:tc>
          <w:tcPr>
            <w:tcW w:w="294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Commerzbank Capital Markets Corp.</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7,800,000</w:t>
            </w:r>
          </w:p>
        </w:tc>
      </w:tr>
      <w:tr>
        <w:trPr>
          <w:trHeight w:val="216"/>
        </w:trPr>
        <w:tc>
          <w:tcPr>
            <w:tcW w:w="294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Piper Jaffray &amp; Co.</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7,800,000</w:t>
            </w:r>
          </w:p>
        </w:tc>
      </w:tr>
      <w:tr>
        <w:trPr>
          <w:trHeight w:val="216"/>
        </w:trPr>
        <w:tc>
          <w:tcPr>
            <w:tcW w:w="294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PNC Capital Markets LLC</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7,800,000</w:t>
            </w:r>
          </w:p>
        </w:tc>
      </w:tr>
      <w:tr>
        <w:trPr>
          <w:trHeight w:val="222"/>
        </w:trPr>
        <w:tc>
          <w:tcPr>
            <w:tcW w:w="2940" w:type="dxa"/>
            <w:vAlign w:val="bottom"/>
          </w:tcPr>
          <w:p>
            <w:pPr>
              <w:spacing w:after="0"/>
              <w:rPr>
                <w:sz w:val="19"/>
                <w:szCs w:val="19"/>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SunTrust Capital Markets, Inc.</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7,800,000</w:t>
            </w: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w w:val="98"/>
              </w:rPr>
              <w:t>Estimated Expenses of the Company</w:t>
            </w:r>
          </w:p>
        </w:tc>
        <w:tc>
          <w:tcPr>
            <w:tcW w:w="5280" w:type="dxa"/>
            <w:vAlign w:val="bottom"/>
          </w:tcPr>
          <w:p>
            <w:pPr>
              <w:ind w:left="360"/>
              <w:spacing w:after="0"/>
              <w:rPr>
                <w:sz w:val="20"/>
                <w:szCs w:val="20"/>
                <w:color w:val="auto"/>
              </w:rPr>
            </w:pPr>
            <w:r>
              <w:rPr>
                <w:rFonts w:ascii="Arial" w:cs="Arial" w:eastAsia="Arial" w:hAnsi="Arial"/>
                <w:sz w:val="18"/>
                <w:szCs w:val="18"/>
                <w:color w:val="auto"/>
              </w:rPr>
              <w:t>$300,000</w:t>
            </w:r>
          </w:p>
        </w:tc>
        <w:tc>
          <w:tcPr>
            <w:tcW w:w="2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Excluding Underwriting Discount:</w:t>
            </w:r>
          </w:p>
        </w:tc>
        <w:tc>
          <w:tcPr>
            <w:tcW w:w="5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00"/>
        <w:spacing w:after="0" w:line="296" w:lineRule="auto"/>
        <w:rPr>
          <w:sz w:val="20"/>
          <w:szCs w:val="20"/>
          <w:color w:val="auto"/>
        </w:rPr>
      </w:pPr>
      <w:r>
        <w:rPr>
          <w:rFonts w:ascii="Arial" w:cs="Arial" w:eastAsia="Arial" w:hAnsi="Arial"/>
          <w:sz w:val="16"/>
          <w:szCs w:val="16"/>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Wachovia Capital Markets, LLC toll-free at 1-800-326-5897 or Citigroup Global Markets, Inc. toll-free at 1-800-858-5407.</w:t>
      </w:r>
    </w:p>
    <w:p>
      <w:pPr>
        <w:spacing w:after="0" w:line="108"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2019-12-13T00:53:58Z</dcterms:created>
  <dcterms:modified xsi:type="dcterms:W3CDTF">2019-12-13T00:53:58Z</dcterms:modified>
</cp:coreProperties>
</file>