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280" w:hanging="452"/>
        <w:spacing w:after="0" w:line="256"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THE SECTION 13 OR 15(D) OF THE SECURITIES EXCHANGE ACT OF 1934</w:t>
      </w:r>
    </w:p>
    <w:p>
      <w:pPr>
        <w:spacing w:after="0" w:line="1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quarterly period ended September 30, 2009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spacing w:after="0"/>
        <w:tabs>
          <w:tab w:leader="none" w:pos="2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1-07533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Declaration of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6420" w:type="dxa"/>
            <w:vAlign w:val="bottom"/>
          </w:tcPr>
          <w:p>
            <w:pPr>
              <w:jc w:val="center"/>
              <w:ind w:right="2782"/>
              <w:spacing w:after="0"/>
              <w:rPr>
                <w:sz w:val="20"/>
                <w:szCs w:val="20"/>
                <w:color w:val="auto"/>
              </w:rPr>
            </w:pPr>
            <w:r>
              <w:rPr>
                <w:rFonts w:ascii="Arial" w:cs="Arial" w:eastAsia="Arial" w:hAnsi="Arial"/>
                <w:sz w:val="18"/>
                <w:szCs w:val="18"/>
                <w:b w:val="1"/>
                <w:bCs w:val="1"/>
                <w:color w:val="auto"/>
                <w:w w:val="96"/>
              </w:rPr>
              <w:t>Maryland</w:t>
            </w:r>
          </w:p>
        </w:tc>
        <w:tc>
          <w:tcPr>
            <w:tcW w:w="2160" w:type="dxa"/>
            <w:vAlign w:val="bottom"/>
          </w:tcPr>
          <w:p>
            <w:pPr>
              <w:jc w:val="right"/>
              <w:ind w:right="482"/>
              <w:spacing w:after="0"/>
              <w:rPr>
                <w:sz w:val="20"/>
                <w:szCs w:val="20"/>
                <w:color w:val="auto"/>
              </w:rPr>
            </w:pPr>
            <w:r>
              <w:rPr>
                <w:rFonts w:ascii="Arial" w:cs="Arial" w:eastAsia="Arial" w:hAnsi="Arial"/>
                <w:sz w:val="18"/>
                <w:szCs w:val="18"/>
                <w:b w:val="1"/>
                <w:bCs w:val="1"/>
                <w:color w:val="auto"/>
              </w:rPr>
              <w:t>52-0782497</w:t>
            </w:r>
          </w:p>
        </w:tc>
      </w:tr>
      <w:tr>
        <w:trPr>
          <w:trHeight w:val="174"/>
        </w:trPr>
        <w:tc>
          <w:tcPr>
            <w:tcW w:w="6420" w:type="dxa"/>
            <w:vAlign w:val="bottom"/>
          </w:tcPr>
          <w:p>
            <w:pPr>
              <w:jc w:val="center"/>
              <w:ind w:right="2782"/>
              <w:spacing w:after="0"/>
              <w:rPr>
                <w:sz w:val="20"/>
                <w:szCs w:val="20"/>
                <w:color w:val="auto"/>
              </w:rPr>
            </w:pPr>
            <w:r>
              <w:rPr>
                <w:rFonts w:ascii="Arial" w:cs="Arial" w:eastAsia="Arial" w:hAnsi="Arial"/>
                <w:sz w:val="14"/>
                <w:szCs w:val="14"/>
                <w:b w:val="1"/>
                <w:bCs w:val="1"/>
                <w:color w:val="auto"/>
                <w:w w:val="87"/>
              </w:rPr>
              <w:t>(State of Organization)</w:t>
            </w:r>
          </w:p>
        </w:tc>
        <w:tc>
          <w:tcPr>
            <w:tcW w:w="2160" w:type="dxa"/>
            <w:vAlign w:val="bottom"/>
          </w:tcPr>
          <w:p>
            <w:pPr>
              <w:jc w:val="center"/>
              <w:ind w:left="12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93"/>
        </w:trPr>
        <w:tc>
          <w:tcPr>
            <w:tcW w:w="6420" w:type="dxa"/>
            <w:vAlign w:val="bottom"/>
          </w:tcPr>
          <w:p>
            <w:pPr>
              <w:jc w:val="center"/>
              <w:ind w:right="2762"/>
              <w:spacing w:after="0"/>
              <w:rPr>
                <w:sz w:val="20"/>
                <w:szCs w:val="20"/>
                <w:color w:val="auto"/>
              </w:rPr>
            </w:pPr>
            <w:r>
              <w:rPr>
                <w:rFonts w:ascii="Arial" w:cs="Arial" w:eastAsia="Arial" w:hAnsi="Arial"/>
                <w:sz w:val="18"/>
                <w:szCs w:val="18"/>
                <w:b w:val="1"/>
                <w:bCs w:val="1"/>
                <w:color w:val="auto"/>
                <w:w w:val="88"/>
              </w:rPr>
              <w:t>1626 East Jefferson Street, Rockville, Maryland</w:t>
            </w:r>
          </w:p>
        </w:tc>
        <w:tc>
          <w:tcPr>
            <w:tcW w:w="2160" w:type="dxa"/>
            <w:vAlign w:val="bottom"/>
          </w:tcPr>
          <w:p>
            <w:pPr>
              <w:jc w:val="right"/>
              <w:ind w:right="682"/>
              <w:spacing w:after="0"/>
              <w:rPr>
                <w:sz w:val="20"/>
                <w:szCs w:val="20"/>
                <w:color w:val="auto"/>
              </w:rPr>
            </w:pPr>
            <w:r>
              <w:rPr>
                <w:rFonts w:ascii="Arial" w:cs="Arial" w:eastAsia="Arial" w:hAnsi="Arial"/>
                <w:sz w:val="18"/>
                <w:szCs w:val="18"/>
                <w:b w:val="1"/>
                <w:bCs w:val="1"/>
                <w:color w:val="auto"/>
              </w:rPr>
              <w:t>20852</w:t>
            </w:r>
          </w:p>
        </w:tc>
      </w:tr>
      <w:tr>
        <w:trPr>
          <w:trHeight w:val="174"/>
        </w:trPr>
        <w:tc>
          <w:tcPr>
            <w:tcW w:w="6420" w:type="dxa"/>
            <w:vAlign w:val="bottom"/>
          </w:tcPr>
          <w:p>
            <w:pPr>
              <w:jc w:val="center"/>
              <w:ind w:right="276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160" w:type="dxa"/>
            <w:vAlign w:val="bottom"/>
          </w:tcPr>
          <w:p>
            <w:pPr>
              <w:jc w:val="center"/>
              <w:ind w:left="142"/>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420" w:type="dxa"/>
            <w:vAlign w:val="bottom"/>
          </w:tcPr>
          <w:p>
            <w:pPr>
              <w:jc w:val="right"/>
              <w:ind w:right="1162"/>
              <w:spacing w:after="0"/>
              <w:rPr>
                <w:sz w:val="20"/>
                <w:szCs w:val="20"/>
                <w:color w:val="auto"/>
              </w:rPr>
            </w:pPr>
            <w:r>
              <w:rPr>
                <w:rFonts w:ascii="Arial" w:cs="Arial" w:eastAsia="Arial" w:hAnsi="Arial"/>
                <w:sz w:val="18"/>
                <w:szCs w:val="18"/>
                <w:b w:val="1"/>
                <w:bCs w:val="1"/>
                <w:color w:val="auto"/>
              </w:rPr>
              <w:t>(301) 998-8100</w:t>
            </w:r>
          </w:p>
        </w:tc>
        <w:tc>
          <w:tcPr>
            <w:tcW w:w="2160" w:type="dxa"/>
            <w:vAlign w:val="bottom"/>
          </w:tcPr>
          <w:p>
            <w:pPr>
              <w:spacing w:after="0"/>
              <w:rPr>
                <w:sz w:val="24"/>
                <w:szCs w:val="24"/>
                <w:color w:val="auto"/>
              </w:rPr>
            </w:pPr>
          </w:p>
        </w:tc>
      </w:tr>
      <w:tr>
        <w:trPr>
          <w:trHeight w:val="174"/>
        </w:trPr>
        <w:tc>
          <w:tcPr>
            <w:tcW w:w="6420" w:type="dxa"/>
            <w:vAlign w:val="bottom"/>
          </w:tcPr>
          <w:p>
            <w:pPr>
              <w:jc w:val="center"/>
              <w:ind w:left="2762"/>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21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jc w:val="both"/>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6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4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3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880" w:type="dxa"/>
            <w:vAlign w:val="bottom"/>
          </w:tcPr>
          <w:p>
            <w:pPr>
              <w:ind w:left="7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630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880" w:type="dxa"/>
            <w:vAlign w:val="bottom"/>
          </w:tcPr>
          <w:p>
            <w:pPr>
              <w:ind w:left="7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140" w:type="dxa"/>
            <w:vAlign w:val="bottom"/>
            <w:gridSpan w:val="2"/>
          </w:tcPr>
          <w:p>
            <w:pPr>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880" w:type="dxa"/>
            <w:vAlign w:val="bottom"/>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400" w:type="dxa"/>
            <w:vAlign w:val="bottom"/>
          </w:tcPr>
          <w:p>
            <w:pPr>
              <w:spacing w:after="0"/>
              <w:rPr>
                <w:sz w:val="24"/>
                <w:szCs w:val="24"/>
                <w:color w:val="auto"/>
              </w:rPr>
            </w:pPr>
          </w:p>
        </w:tc>
      </w:tr>
      <w:tr>
        <w:trPr>
          <w:trHeight w:val="358"/>
        </w:trPr>
        <w:tc>
          <w:tcPr>
            <w:tcW w:w="8140" w:type="dxa"/>
            <w:vAlign w:val="bottom"/>
            <w:gridSpan w:val="2"/>
          </w:tcPr>
          <w:p>
            <w:pPr>
              <w:spacing w:after="0"/>
              <w:rPr>
                <w:sz w:val="20"/>
                <w:szCs w:val="20"/>
                <w:color w:val="auto"/>
              </w:rPr>
            </w:pPr>
            <w:r>
              <w:rPr>
                <w:rFonts w:ascii="Arial" w:cs="Arial" w:eastAsia="Arial" w:hAnsi="Arial"/>
                <w:sz w:val="18"/>
                <w:szCs w:val="18"/>
                <w:color w:val="auto"/>
              </w:rPr>
              <w:t>The number of Registrant’s common shares outstanding on October 30, 2009 was 61,186,594.</w:t>
            </w:r>
          </w:p>
        </w:tc>
        <w:tc>
          <w:tcPr>
            <w:tcW w:w="28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840" w:type="dxa"/>
            <w:vAlign w:val="bottom"/>
            <w:tcBorders>
              <w:bottom w:val="single" w:sz="8" w:color="auto"/>
            </w:tcBorders>
          </w:tcPr>
          <w:p>
            <w:pPr>
              <w:spacing w:after="0"/>
              <w:rPr>
                <w:sz w:val="10"/>
                <w:szCs w:val="10"/>
                <w:color w:val="auto"/>
              </w:rPr>
            </w:pPr>
          </w:p>
        </w:tc>
        <w:tc>
          <w:tcPr>
            <w:tcW w:w="630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630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QUARTERLY REPORT ON 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SEPTEMBER 30, 2009</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080" w:type="dxa"/>
            <w:vAlign w:val="bottom"/>
            <w:gridSpan w:val="11"/>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7540" w:type="dxa"/>
            <w:vAlign w:val="bottom"/>
            <w:gridSpan w:val="14"/>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880" w:type="dxa"/>
            <w:vAlign w:val="bottom"/>
          </w:tcPr>
          <w:p>
            <w:pPr>
              <w:spacing w:after="0"/>
              <w:rPr>
                <w:sz w:val="17"/>
                <w:szCs w:val="17"/>
                <w:color w:val="auto"/>
              </w:rPr>
            </w:pP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Consolidated Balance Sheets as of September 30, 2009 (unaudited) and December 31, 2008</w:t>
              </w:r>
            </w:hyperlink>
          </w:p>
        </w:tc>
        <w:tc>
          <w:tcPr>
            <w:tcW w:w="2560" w:type="dxa"/>
            <w:vAlign w:val="bottom"/>
            <w:gridSpan w:val="4"/>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80" w:type="dxa"/>
            <w:vAlign w:val="bottom"/>
          </w:tcPr>
          <w:p>
            <w:pPr>
              <w:spacing w:after="0"/>
              <w:rPr>
                <w:sz w:val="17"/>
                <w:szCs w:val="17"/>
                <w:color w:val="auto"/>
              </w:rPr>
            </w:pPr>
          </w:p>
        </w:tc>
        <w:tc>
          <w:tcPr>
            <w:tcW w:w="768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Operations (unaudited) for the three months ended September 30, 2009 and 2008</w:t>
              </w:r>
            </w:hyperlink>
          </w:p>
        </w:tc>
        <w:tc>
          <w:tcPr>
            <w:tcW w:w="134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880" w:type="dxa"/>
            <w:vAlign w:val="bottom"/>
          </w:tcPr>
          <w:p>
            <w:pPr>
              <w:spacing w:after="0"/>
              <w:rPr>
                <w:sz w:val="17"/>
                <w:szCs w:val="17"/>
                <w:color w:val="auto"/>
              </w:rPr>
            </w:pPr>
          </w:p>
        </w:tc>
        <w:tc>
          <w:tcPr>
            <w:tcW w:w="902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Operations (unaudited) for the nine months ended September 30, 2009 and 2008</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80" w:type="dxa"/>
            <w:vAlign w:val="bottom"/>
          </w:tcPr>
          <w:p>
            <w:pPr>
              <w:spacing w:after="0"/>
              <w:rPr>
                <w:sz w:val="17"/>
                <w:szCs w:val="17"/>
                <w:color w:val="auto"/>
              </w:rPr>
            </w:pPr>
          </w:p>
        </w:tc>
        <w:tc>
          <w:tcPr>
            <w:tcW w:w="7620" w:type="dxa"/>
            <w:vAlign w:val="bottom"/>
            <w:tcBorders>
              <w:top w:val="single" w:sz="8" w:color="0000EE"/>
            </w:tcBorders>
            <w:gridSpan w:val="18"/>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Consolidated Statement of Shareholders’ Equity (unaudited) for the nine months ended September 30, 2009</w:t>
              </w:r>
            </w:hyperlink>
          </w:p>
        </w:tc>
        <w:tc>
          <w:tcPr>
            <w:tcW w:w="1400" w:type="dxa"/>
            <w:vAlign w:val="bottom"/>
            <w:gridSpan w:val="2"/>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9020" w:type="dxa"/>
            <w:vAlign w:val="bottom"/>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(unaudited) for the nine months ended September 30, 2009 and 2008</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880" w:type="dxa"/>
            <w:vAlign w:val="bottom"/>
          </w:tcPr>
          <w:p>
            <w:pPr>
              <w:spacing w:after="0"/>
              <w:rPr>
                <w:sz w:val="17"/>
                <w:szCs w:val="17"/>
                <w:color w:val="auto"/>
              </w:rPr>
            </w:pPr>
          </w:p>
        </w:tc>
        <w:tc>
          <w:tcPr>
            <w:tcW w:w="39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Notes to Consolidated Financial Statements (unaudited)</w:t>
              </w:r>
            </w:hyperlink>
          </w:p>
        </w:tc>
        <w:tc>
          <w:tcPr>
            <w:tcW w:w="3740" w:type="dxa"/>
            <w:vAlign w:val="bottom"/>
            <w:tcBorders>
              <w:top w:val="single" w:sz="8" w:color="0000EE"/>
            </w:tcBorders>
            <w:gridSpan w:val="7"/>
          </w:tcPr>
          <w:p>
            <w:pPr>
              <w:spacing w:after="0"/>
              <w:rPr>
                <w:sz w:val="17"/>
                <w:szCs w:val="17"/>
                <w:color w:val="auto"/>
              </w:rPr>
            </w:pPr>
          </w:p>
        </w:tc>
        <w:tc>
          <w:tcPr>
            <w:tcW w:w="1340" w:type="dxa"/>
            <w:vAlign w:val="bottom"/>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020" w:type="dxa"/>
            <w:vAlign w:val="bottom"/>
            <w:gridSpan w:val="2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Quantitative and Qualitative Disclosures about Market Risk</w:t>
              </w:r>
            </w:hyperlink>
          </w:p>
        </w:tc>
        <w:tc>
          <w:tcPr>
            <w:tcW w:w="2720" w:type="dxa"/>
            <w:vAlign w:val="bottom"/>
            <w:gridSpan w:val="5"/>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6"/>
              </w:rPr>
            </w:pPr>
            <w:hyperlink w:anchor="page31">
              <w:r>
                <w:rPr>
                  <w:rFonts w:ascii="Arial" w:cs="Arial" w:eastAsia="Arial" w:hAnsi="Arial"/>
                  <w:sz w:val="18"/>
                  <w:szCs w:val="18"/>
                  <w:color w:val="0000EE"/>
                  <w:w w:val="86"/>
                </w:rPr>
                <w:t>Controls and Procedures</w:t>
              </w:r>
            </w:hyperlink>
          </w:p>
        </w:tc>
        <w:tc>
          <w:tcPr>
            <w:tcW w:w="2460" w:type="dxa"/>
            <w:vAlign w:val="bottom"/>
            <w:tcBorders>
              <w:top w:val="single" w:sz="8" w:color="0000EE"/>
            </w:tcBorders>
            <w:gridSpan w:val="5"/>
          </w:tcPr>
          <w:p>
            <w:pPr>
              <w:spacing w:after="0"/>
              <w:rPr>
                <w:sz w:val="17"/>
                <w:szCs w:val="17"/>
                <w:color w:val="auto"/>
              </w:rPr>
            </w:pPr>
          </w:p>
        </w:tc>
        <w:tc>
          <w:tcPr>
            <w:tcW w:w="4820" w:type="dxa"/>
            <w:vAlign w:val="bottom"/>
            <w:gridSpan w:val="7"/>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412"/>
        </w:trPr>
        <w:tc>
          <w:tcPr>
            <w:tcW w:w="252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32">
              <w:r>
                <w:rPr>
                  <w:rFonts w:ascii="Arial" w:cs="Arial" w:eastAsia="Arial" w:hAnsi="Arial"/>
                  <w:sz w:val="18"/>
                  <w:szCs w:val="18"/>
                  <w:color w:val="0000EE"/>
                  <w:w w:val="93"/>
                </w:rPr>
                <w:t>PART II. OTHER INFORMATION</w:t>
              </w:r>
            </w:hyperlink>
          </w:p>
        </w:tc>
        <w:tc>
          <w:tcPr>
            <w:tcW w:w="7380" w:type="dxa"/>
            <w:vAlign w:val="bottom"/>
            <w:gridSpan w:val="13"/>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020" w:type="dxa"/>
            <w:vAlign w:val="bottom"/>
            <w:gridSpan w:val="2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7720" w:type="dxa"/>
            <w:vAlign w:val="bottom"/>
            <w:gridSpan w:val="15"/>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8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780" w:type="dxa"/>
            <w:vAlign w:val="bottom"/>
            <w:gridSpan w:val="6"/>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020" w:type="dxa"/>
            <w:vAlign w:val="bottom"/>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Unregistered Sales of Equity Securities and Use of Proceeds</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4"/>
          </w:tcPr>
          <w:p>
            <w:pPr>
              <w:spacing w:after="0"/>
              <w:rPr>
                <w:sz w:val="17"/>
                <w:szCs w:val="17"/>
                <w:color w:val="auto"/>
              </w:rPr>
            </w:pPr>
          </w:p>
        </w:tc>
        <w:tc>
          <w:tcPr>
            <w:tcW w:w="4780" w:type="dxa"/>
            <w:vAlign w:val="bottom"/>
            <w:gridSpan w:val="6"/>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Submission of Matters to a Vote of Security Holders</w:t>
              </w:r>
            </w:hyperlink>
          </w:p>
        </w:tc>
        <w:tc>
          <w:tcPr>
            <w:tcW w:w="5340" w:type="dxa"/>
            <w:vAlign w:val="bottom"/>
            <w:gridSpan w:val="9"/>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9020" w:type="dxa"/>
            <w:vAlign w:val="bottom"/>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Exhibits</w:t>
              </w:r>
            </w:hyperlink>
          </w:p>
        </w:tc>
        <w:tc>
          <w:tcPr>
            <w:tcW w:w="680" w:type="dxa"/>
            <w:vAlign w:val="bottom"/>
            <w:tcBorders>
              <w:top w:val="single" w:sz="8" w:color="0000EE"/>
            </w:tcBorders>
            <w:gridSpan w:val="2"/>
          </w:tcPr>
          <w:p>
            <w:pPr>
              <w:spacing w:after="0"/>
              <w:rPr>
                <w:sz w:val="17"/>
                <w:szCs w:val="17"/>
                <w:color w:val="auto"/>
              </w:rPr>
            </w:pPr>
          </w:p>
        </w:tc>
        <w:tc>
          <w:tcPr>
            <w:tcW w:w="7740" w:type="dxa"/>
            <w:vAlign w:val="bottom"/>
            <w:gridSpan w:val="16"/>
          </w:tcPr>
          <w:p>
            <w:pPr>
              <w:spacing w:after="0"/>
              <w:rPr>
                <w:sz w:val="17"/>
                <w:szCs w:val="17"/>
                <w:color w:val="auto"/>
              </w:rPr>
            </w:pP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304"/>
        </w:trPr>
        <w:tc>
          <w:tcPr>
            <w:tcW w:w="9900" w:type="dxa"/>
            <w:vAlign w:val="bottom"/>
            <w:gridSpan w:val="2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SIGNATURES</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83"/>
        </w:trPr>
        <w:tc>
          <w:tcPr>
            <w:tcW w:w="8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100" w:type="dxa"/>
            <w:vAlign w:val="bottom"/>
            <w:gridSpan w:val="14"/>
          </w:tcPr>
          <w:p>
            <w:pPr>
              <w:jc w:val="right"/>
              <w:ind w:right="14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I—FINANCIAL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following balance sheet as of December 31, 2008, which has been derived from audited financial statements, and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the company believes that the disclosures made are adequate to make the information not misleading. It is suggested that these financial statements be read in conjunction with the financial statements and notes thereto included in the company’s latest Annual Report on Form 10-K (as amended). In the opinion of management, all adjustments (consisting of normal, recurring adjustments) necessary for a fair presentation for the periods presented have been included. The results of operations for the three and nine months ended September 30, 2009 are not necessarily indicative of the results that may be expected for the full year.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9"/>
              </w:rPr>
              <w:t>(In thousands,</w:t>
            </w: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4"/>
              </w:rPr>
              <w:t>except</w:t>
            </w:r>
          </w:p>
        </w:tc>
        <w:tc>
          <w:tcPr>
            <w:tcW w:w="900" w:type="dxa"/>
            <w:vAlign w:val="bottom"/>
            <w:gridSpan w:val="2"/>
          </w:tcPr>
          <w:p>
            <w:pPr>
              <w:jc w:val="right"/>
              <w:ind w:right="73"/>
              <w:spacing w:after="0" w:line="129" w:lineRule="exact"/>
              <w:rPr>
                <w:sz w:val="20"/>
                <w:szCs w:val="20"/>
                <w:color w:val="auto"/>
              </w:rPr>
            </w:pPr>
            <w:r>
              <w:rPr>
                <w:rFonts w:ascii="Arial" w:cs="Arial" w:eastAsia="Arial" w:hAnsi="Arial"/>
                <w:sz w:val="14"/>
                <w:szCs w:val="14"/>
                <w:b w:val="1"/>
                <w:bCs w:val="1"/>
                <w:color w:val="auto"/>
                <w:w w:val="96"/>
              </w:rPr>
              <w:t>share data)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452"/>
              <w:spacing w:after="0"/>
              <w:rPr>
                <w:sz w:val="20"/>
                <w:szCs w:val="20"/>
                <w:color w:val="auto"/>
              </w:rPr>
            </w:pPr>
            <w:r>
              <w:rPr>
                <w:rFonts w:ascii="Arial" w:cs="Arial" w:eastAsia="Arial" w:hAnsi="Arial"/>
                <w:sz w:val="14"/>
                <w:szCs w:val="14"/>
                <w:b w:val="1"/>
                <w:bCs w:val="1"/>
                <w:color w:val="auto"/>
                <w:w w:val="87"/>
              </w:rPr>
              <w:t>(Unaudited)</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Real estate, at cost</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3,643,592</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3,567,035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Construction-in-progress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84,172</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3,727,764</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3,673,685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Less accumulated depreciation and amortization</w:t>
            </w:r>
          </w:p>
        </w:tc>
        <w:tc>
          <w:tcPr>
            <w:tcW w:w="80" w:type="dxa"/>
            <w:vAlign w:val="bottom"/>
          </w:tcPr>
          <w:p>
            <w:pPr>
              <w:spacing w:after="0"/>
              <w:rPr>
                <w:sz w:val="19"/>
                <w:szCs w:val="19"/>
                <w:color w:val="auto"/>
              </w:rPr>
            </w:pPr>
          </w:p>
        </w:tc>
        <w:tc>
          <w:tcPr>
            <w:tcW w:w="1220" w:type="dxa"/>
            <w:vAlign w:val="bottom"/>
            <w:gridSpan w:val="2"/>
          </w:tcPr>
          <w:p>
            <w:pPr>
              <w:jc w:val="right"/>
              <w:ind w:right="312"/>
              <w:spacing w:after="0"/>
              <w:rPr>
                <w:sz w:val="20"/>
                <w:szCs w:val="20"/>
                <w:color w:val="auto"/>
              </w:rPr>
            </w:pPr>
            <w:r>
              <w:rPr>
                <w:rFonts w:ascii="Arial" w:cs="Arial" w:eastAsia="Arial" w:hAnsi="Arial"/>
                <w:sz w:val="18"/>
                <w:szCs w:val="18"/>
                <w:color w:val="auto"/>
              </w:rPr>
              <w:t>(913,939)</w:t>
            </w:r>
          </w:p>
        </w:tc>
        <w:tc>
          <w:tcPr>
            <w:tcW w:w="1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(846,258)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 estate</w:t>
            </w: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2,813,825</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2,827,427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408,428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notes receivable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Mortgage notes receivable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48,401</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45,780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real estate partnership</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95,532</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95,344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issuance costs, net of accumulated amortization of $8,208 and $6,484, respectively</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13,085</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3,480,285</w:t>
            </w:r>
          </w:p>
        </w:tc>
        <w:tc>
          <w:tcPr>
            <w:tcW w:w="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3,092,776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Mortgages payable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542,026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Capital lease obligations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62,587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Notes payable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383,788</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Senior notes and debentures</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1,053,816</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956,584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110,397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Dividends payable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40,757</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38,719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Security deposits payable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Other liabilities and deferred credits</w:t>
            </w: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61,266</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2,266,020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1,945,822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Commitments and contingencies (Note F)</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w w:val="94"/>
              </w:rPr>
              <w:t>Preferred shares, authorized 15,000,000 shares, $.01 par: 5.417% Series 1 Cumulative Convertible Preferred</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106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9,997</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Common shares of beneficial interest, $.01 par, 100,000,000 shares authorized, 61,176,306 and 58,985,678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shares issued and outstanding, respectively</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1,649,679</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1,530,589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Accumulated dividends in excess of net income</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(477,868)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(426,574)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Total shareholders’ equity of the Trust</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1,182,420</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1,114,602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Noncontrolling interests</w:t>
            </w: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31,845</w:t>
            </w: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Total shareholders’ equity</w:t>
            </w: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1,214,265</w:t>
            </w: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1,146,954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3,480,285</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3,092,776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374"/>
              <w:spacing w:after="0"/>
              <w:rPr>
                <w:sz w:val="20"/>
                <w:szCs w:val="20"/>
                <w:color w:val="auto"/>
              </w:rPr>
            </w:pPr>
            <w:r>
              <w:rPr>
                <w:rFonts w:ascii="Arial" w:cs="Arial" w:eastAsia="Arial" w:hAnsi="Arial"/>
                <w:sz w:val="14"/>
                <w:szCs w:val="14"/>
                <w:b w:val="1"/>
                <w:bCs w:val="1"/>
                <w:color w:val="auto"/>
                <w:w w:val="85"/>
              </w:rPr>
              <w:t>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76"/>
              </w:rPr>
              <w:t>except</w:t>
            </w: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126,169</w:t>
            </w:r>
          </w:p>
        </w:tc>
        <w:tc>
          <w:tcPr>
            <w:tcW w:w="200" w:type="dxa"/>
            <w:vAlign w:val="bottom"/>
          </w:tcPr>
          <w:p>
            <w:pPr>
              <w:spacing w:after="0"/>
              <w:rPr>
                <w:sz w:val="18"/>
                <w:szCs w:val="18"/>
                <w:color w:val="auto"/>
              </w:rPr>
            </w:pPr>
          </w:p>
        </w:tc>
        <w:tc>
          <w:tcPr>
            <w:tcW w:w="46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126,594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131,707</w:t>
            </w:r>
          </w:p>
        </w:tc>
        <w:tc>
          <w:tcPr>
            <w:tcW w:w="0" w:type="dxa"/>
            <w:vAlign w:val="bottom"/>
          </w:tcPr>
          <w:p>
            <w:pPr>
              <w:spacing w:after="0"/>
              <w:rPr>
                <w:sz w:val="1"/>
                <w:szCs w:val="1"/>
                <w:color w:val="auto"/>
              </w:rPr>
            </w:pPr>
          </w:p>
        </w:tc>
      </w:tr>
      <w:tr>
        <w:trPr>
          <w:trHeight w:val="330"/>
        </w:trPr>
        <w:tc>
          <w:tcPr>
            <w:tcW w:w="90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 expenses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Litigation provision</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73,341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76,261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0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Other interest income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(30,209)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Income from real estate partnership</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Gain on sale of real estate from discontinued operations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Results from discontinued operations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28,839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38,417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(1,406)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22"/>
        </w:trPr>
        <w:tc>
          <w:tcPr>
            <w:tcW w:w="9020" w:type="dxa"/>
            <w:vAlign w:val="bottom"/>
            <w:gridSpan w:val="2"/>
          </w:tcPr>
          <w:p>
            <w:pPr>
              <w:spacing w:after="0"/>
              <w:rPr>
                <w:sz w:val="20"/>
                <w:szCs w:val="20"/>
                <w:color w:val="auto"/>
              </w:rPr>
            </w:pPr>
            <w:r>
              <w:rPr>
                <w:rFonts w:ascii="Arial" w:cs="Arial" w:eastAsia="Arial" w:hAnsi="Arial"/>
                <w:sz w:val="18"/>
                <w:szCs w:val="18"/>
                <w:color w:val="auto"/>
              </w:rPr>
              <w:t>NET INCOME ATTRIBUTABLE TO THE TRUST</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on preferred stock</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2"/>
        </w:trPr>
        <w:tc>
          <w:tcPr>
            <w:tcW w:w="9020" w:type="dxa"/>
            <w:vAlign w:val="bottom"/>
            <w:gridSpan w:val="2"/>
          </w:tcPr>
          <w:p>
            <w:pPr>
              <w:spacing w:after="0"/>
              <w:rPr>
                <w:sz w:val="20"/>
                <w:szCs w:val="20"/>
                <w:color w:val="auto"/>
              </w:rPr>
            </w:pPr>
            <w:r>
              <w:rPr>
                <w:rFonts w:ascii="Arial" w:cs="Arial" w:eastAsia="Arial" w:hAnsi="Arial"/>
                <w:sz w:val="18"/>
                <w:szCs w:val="18"/>
                <w:color w:val="auto"/>
              </w:rPr>
              <w:t>NET INCOME AVAILABLE FOR COMMON SHAREHOLDERS</w:t>
            </w: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27,297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BASIC</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0.45</w:t>
            </w:r>
          </w:p>
        </w:tc>
        <w:tc>
          <w:tcPr>
            <w:tcW w:w="200" w:type="dxa"/>
            <w:vAlign w:val="bottom"/>
          </w:tcPr>
          <w:p>
            <w:pPr>
              <w:spacing w:after="0"/>
              <w:rPr>
                <w:sz w:val="18"/>
                <w:szCs w:val="18"/>
                <w:color w:val="auto"/>
              </w:rPr>
            </w:pPr>
          </w:p>
        </w:tc>
        <w:tc>
          <w:tcPr>
            <w:tcW w:w="46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0.45</w:t>
            </w:r>
          </w:p>
        </w:tc>
        <w:tc>
          <w:tcPr>
            <w:tcW w:w="200" w:type="dxa"/>
            <w:vAlign w:val="bottom"/>
          </w:tcPr>
          <w:p>
            <w:pPr>
              <w:spacing w:after="0"/>
              <w:rPr>
                <w:sz w:val="19"/>
                <w:szCs w:val="19"/>
                <w:color w:val="auto"/>
              </w:rPr>
            </w:pPr>
          </w:p>
        </w:tc>
        <w:tc>
          <w:tcPr>
            <w:tcW w:w="46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0.45</w:t>
            </w:r>
          </w:p>
        </w:tc>
        <w:tc>
          <w:tcPr>
            <w:tcW w:w="200" w:type="dxa"/>
            <w:vAlign w:val="bottom"/>
          </w:tcPr>
          <w:p>
            <w:pPr>
              <w:spacing w:after="0"/>
              <w:rPr>
                <w:sz w:val="18"/>
                <w:szCs w:val="18"/>
                <w:color w:val="auto"/>
              </w:rPr>
            </w:pPr>
          </w:p>
        </w:tc>
        <w:tc>
          <w:tcPr>
            <w:tcW w:w="46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0.45</w:t>
            </w:r>
          </w:p>
        </w:tc>
        <w:tc>
          <w:tcPr>
            <w:tcW w:w="200" w:type="dxa"/>
            <w:vAlign w:val="bottom"/>
          </w:tcPr>
          <w:p>
            <w:pPr>
              <w:spacing w:after="0"/>
              <w:rPr>
                <w:sz w:val="19"/>
                <w:szCs w:val="19"/>
                <w:color w:val="auto"/>
              </w:rPr>
            </w:pPr>
          </w:p>
        </w:tc>
        <w:tc>
          <w:tcPr>
            <w:tcW w:w="46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374"/>
              <w:spacing w:after="0"/>
              <w:rPr>
                <w:sz w:val="20"/>
                <w:szCs w:val="20"/>
                <w:color w:val="auto"/>
              </w:rPr>
            </w:pPr>
            <w:r>
              <w:rPr>
                <w:rFonts w:ascii="Arial" w:cs="Arial" w:eastAsia="Arial" w:hAnsi="Arial"/>
                <w:sz w:val="14"/>
                <w:szCs w:val="14"/>
                <w:b w:val="1"/>
                <w:bCs w:val="1"/>
                <w:color w:val="auto"/>
                <w:w w:val="85"/>
              </w:rPr>
              <w:t>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76"/>
              </w:rPr>
              <w:t>except</w:t>
            </w: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379,465</w:t>
            </w:r>
          </w:p>
        </w:tc>
        <w:tc>
          <w:tcPr>
            <w:tcW w:w="200" w:type="dxa"/>
            <w:vAlign w:val="bottom"/>
          </w:tcPr>
          <w:p>
            <w:pPr>
              <w:spacing w:after="0"/>
              <w:rPr>
                <w:sz w:val="18"/>
                <w:szCs w:val="18"/>
                <w:color w:val="auto"/>
              </w:rPr>
            </w:pPr>
          </w:p>
        </w:tc>
        <w:tc>
          <w:tcPr>
            <w:tcW w:w="46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371,304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386,661</w:t>
            </w:r>
          </w:p>
        </w:tc>
        <w:tc>
          <w:tcPr>
            <w:tcW w:w="0" w:type="dxa"/>
            <w:vAlign w:val="bottom"/>
          </w:tcPr>
          <w:p>
            <w:pPr>
              <w:spacing w:after="0"/>
              <w:rPr>
                <w:sz w:val="1"/>
                <w:szCs w:val="1"/>
                <w:color w:val="auto"/>
              </w:rPr>
            </w:pPr>
          </w:p>
        </w:tc>
      </w:tr>
      <w:tr>
        <w:trPr>
          <w:trHeight w:val="330"/>
        </w:trPr>
        <w:tc>
          <w:tcPr>
            <w:tcW w:w="90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 expenses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43,138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Litigation provision</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245,174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Other interest income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(79,622)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Early extinguishment of senior notes</w:t>
            </w:r>
          </w:p>
        </w:tc>
        <w:tc>
          <w:tcPr>
            <w:tcW w:w="220" w:type="dxa"/>
            <w:vAlign w:val="bottom"/>
          </w:tcPr>
          <w:p>
            <w:pPr>
              <w:spacing w:after="0"/>
              <w:rPr>
                <w:sz w:val="18"/>
                <w:szCs w:val="18"/>
                <w:color w:val="auto"/>
              </w:rPr>
            </w:pPr>
          </w:p>
        </w:tc>
        <w:tc>
          <w:tcPr>
            <w:tcW w:w="940" w:type="dxa"/>
            <w:vAlign w:val="bottom"/>
            <w:gridSpan w:val="2"/>
          </w:tcPr>
          <w:p>
            <w:pPr>
              <w:jc w:val="right"/>
              <w:ind w:right="72"/>
              <w:spacing w:after="0"/>
              <w:rPr>
                <w:sz w:val="20"/>
                <w:szCs w:val="20"/>
                <w:color w:val="auto"/>
              </w:rPr>
            </w:pPr>
            <w:r>
              <w:rPr>
                <w:rFonts w:ascii="Arial" w:cs="Arial" w:eastAsia="Arial" w:hAnsi="Arial"/>
                <w:sz w:val="18"/>
                <w:szCs w:val="18"/>
                <w:color w:val="auto"/>
              </w:rPr>
              <w:t>(968)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real estate partnership</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68,990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90,956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 from discontinued operations</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860"/>
              <w:spacing w:after="0"/>
              <w:rPr>
                <w:sz w:val="20"/>
                <w:szCs w:val="20"/>
                <w:color w:val="auto"/>
              </w:rPr>
            </w:pPr>
            <w:r>
              <w:rPr>
                <w:rFonts w:ascii="Arial" w:cs="Arial" w:eastAsia="Arial" w:hAnsi="Arial"/>
                <w:sz w:val="18"/>
                <w:szCs w:val="18"/>
                <w:color w:val="auto"/>
              </w:rPr>
              <w:t>Results from discontinued operations</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19"/>
                <w:szCs w:val="19"/>
                <w:color w:val="auto"/>
              </w:rPr>
            </w:pPr>
          </w:p>
        </w:tc>
        <w:tc>
          <w:tcPr>
            <w:tcW w:w="940" w:type="dxa"/>
            <w:vAlign w:val="bottom"/>
            <w:gridSpan w:val="2"/>
          </w:tcPr>
          <w:p>
            <w:pPr>
              <w:jc w:val="right"/>
              <w:ind w:right="72"/>
              <w:spacing w:after="0"/>
              <w:rPr>
                <w:sz w:val="20"/>
                <w:szCs w:val="20"/>
                <w:color w:val="auto"/>
              </w:rPr>
            </w:pPr>
            <w:r>
              <w:rPr>
                <w:rFonts w:ascii="Arial" w:cs="Arial" w:eastAsia="Arial" w:hAnsi="Arial"/>
                <w:sz w:val="18"/>
                <w:szCs w:val="18"/>
                <w:color w:val="auto"/>
              </w:rPr>
              <w:t>(4,172)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TRUST</w:t>
            </w: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Dividends on preferred stock</w:t>
            </w:r>
          </w:p>
        </w:tc>
        <w:tc>
          <w:tcPr>
            <w:tcW w:w="220" w:type="dxa"/>
            <w:vAlign w:val="bottom"/>
          </w:tcPr>
          <w:p>
            <w:pPr>
              <w:spacing w:after="0"/>
              <w:rPr>
                <w:sz w:val="19"/>
                <w:szCs w:val="19"/>
                <w:color w:val="auto"/>
              </w:rPr>
            </w:pPr>
          </w:p>
        </w:tc>
        <w:tc>
          <w:tcPr>
            <w:tcW w:w="940" w:type="dxa"/>
            <w:vAlign w:val="bottom"/>
            <w:gridSpan w:val="2"/>
          </w:tcPr>
          <w:p>
            <w:pPr>
              <w:jc w:val="right"/>
              <w:ind w:right="72"/>
              <w:spacing w:after="0"/>
              <w:rPr>
                <w:sz w:val="20"/>
                <w:szCs w:val="20"/>
                <w:color w:val="auto"/>
              </w:rPr>
            </w:pPr>
            <w:r>
              <w:rPr>
                <w:rFonts w:ascii="Arial" w:cs="Arial" w:eastAsia="Arial" w:hAnsi="Arial"/>
                <w:sz w:val="18"/>
                <w:szCs w:val="18"/>
                <w:color w:val="auto"/>
              </w:rPr>
              <w:t>(406)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1.11</w:t>
            </w:r>
          </w:p>
        </w:tc>
        <w:tc>
          <w:tcPr>
            <w:tcW w:w="4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0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7"/>
          </w:tcPr>
          <w:p>
            <w:pPr>
              <w:jc w:val="right"/>
              <w:ind w:right="612"/>
              <w:spacing w:after="0"/>
              <w:rPr>
                <w:sz w:val="20"/>
                <w:szCs w:val="20"/>
                <w:color w:val="auto"/>
              </w:rPr>
            </w:pPr>
            <w:r>
              <w:rPr>
                <w:rFonts w:ascii="Arial" w:cs="Arial" w:eastAsia="Arial" w:hAnsi="Arial"/>
                <w:sz w:val="14"/>
                <w:szCs w:val="14"/>
                <w:b w:val="1"/>
                <w:bCs w:val="1"/>
                <w:color w:val="auto"/>
                <w:w w:val="88"/>
              </w:rPr>
              <w:t>Shareholders’ Equity of the Trust</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40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Preferred Stock</w:t>
            </w:r>
          </w:p>
        </w:tc>
        <w:tc>
          <w:tcPr>
            <w:tcW w:w="1440" w:type="dxa"/>
            <w:vAlign w:val="bottom"/>
            <w:gridSpan w:val="4"/>
            <w:vMerge w:val="restart"/>
          </w:tcPr>
          <w:p>
            <w:pPr>
              <w:jc w:val="right"/>
              <w:ind w:right="154"/>
              <w:spacing w:after="0"/>
              <w:rPr>
                <w:sz w:val="20"/>
                <w:szCs w:val="20"/>
                <w:color w:val="auto"/>
              </w:rPr>
            </w:pPr>
            <w:r>
              <w:rPr>
                <w:rFonts w:ascii="Arial" w:cs="Arial" w:eastAsia="Arial" w:hAnsi="Arial"/>
                <w:sz w:val="14"/>
                <w:szCs w:val="14"/>
                <w:b w:val="1"/>
                <w:bCs w:val="1"/>
                <w:color w:val="auto"/>
              </w:rPr>
              <w:t>Common Shares</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72"/>
              <w:spacing w:after="0" w:line="148" w:lineRule="exact"/>
              <w:rPr>
                <w:sz w:val="20"/>
                <w:szCs w:val="20"/>
                <w:color w:val="auto"/>
              </w:rPr>
            </w:pPr>
            <w:r>
              <w:rPr>
                <w:rFonts w:ascii="Arial" w:cs="Arial" w:eastAsia="Arial" w:hAnsi="Arial"/>
                <w:sz w:val="14"/>
                <w:szCs w:val="14"/>
                <w:b w:val="1"/>
                <w:bCs w:val="1"/>
                <w:color w:val="auto"/>
              </w:rPr>
              <w:t>Additional</w:t>
            </w:r>
          </w:p>
        </w:tc>
        <w:tc>
          <w:tcPr>
            <w:tcW w:w="10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6"/>
              </w:rPr>
              <w:t>Dividends in</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right"/>
              <w:ind w:right="372"/>
              <w:spacing w:after="0" w:line="129" w:lineRule="exact"/>
              <w:rPr>
                <w:sz w:val="20"/>
                <w:szCs w:val="20"/>
                <w:color w:val="auto"/>
              </w:rPr>
            </w:pPr>
            <w:r>
              <w:rPr>
                <w:rFonts w:ascii="Arial" w:cs="Arial" w:eastAsia="Arial" w:hAnsi="Arial"/>
                <w:sz w:val="14"/>
                <w:szCs w:val="14"/>
                <w:b w:val="1"/>
                <w:bCs w:val="1"/>
                <w:color w:val="auto"/>
              </w:rPr>
              <w:t>Paid-in</w:t>
            </w:r>
          </w:p>
        </w:tc>
        <w:tc>
          <w:tcPr>
            <w:tcW w:w="10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2"/>
              </w:rPr>
              <w:t>Excess of</w:t>
            </w:r>
          </w:p>
        </w:tc>
        <w:tc>
          <w:tcPr>
            <w:tcW w:w="10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7"/>
              </w:rPr>
              <w:t>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w w:val="98"/>
              </w:rPr>
              <w:t>Shares</w:t>
            </w:r>
          </w:p>
        </w:tc>
        <w:tc>
          <w:tcPr>
            <w:tcW w:w="16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Net Income</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w w:val="84"/>
              </w:rPr>
              <w:t>(In thousands, except</w:t>
            </w:r>
          </w:p>
        </w:tc>
        <w:tc>
          <w:tcPr>
            <w:tcW w:w="1280" w:type="dxa"/>
            <w:vAlign w:val="bottom"/>
            <w:gridSpan w:val="3"/>
          </w:tcPr>
          <w:p>
            <w:pPr>
              <w:jc w:val="right"/>
              <w:ind w:right="620"/>
              <w:spacing w:after="0" w:line="142" w:lineRule="exact"/>
              <w:rPr>
                <w:sz w:val="20"/>
                <w:szCs w:val="20"/>
                <w:color w:val="auto"/>
              </w:rPr>
            </w:pPr>
            <w:r>
              <w:rPr>
                <w:rFonts w:ascii="Arial" w:cs="Arial" w:eastAsia="Arial" w:hAnsi="Arial"/>
                <w:sz w:val="14"/>
                <w:szCs w:val="14"/>
                <w:b w:val="1"/>
                <w:bCs w:val="1"/>
                <w:color w:val="auto"/>
                <w:w w:val="85"/>
              </w:rPr>
              <w:t>share data)</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86"/>
              </w:rPr>
              <w:t>399,896</w:t>
            </w:r>
          </w:p>
        </w:tc>
        <w:tc>
          <w:tcPr>
            <w:tcW w:w="8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$9,997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58,985,678</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590</w:t>
            </w:r>
          </w:p>
        </w:tc>
        <w:tc>
          <w:tcPr>
            <w:tcW w:w="122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$1,530,589</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 (426,574)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32,352</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$ 1,146,954</w:t>
            </w:r>
          </w:p>
        </w:tc>
        <w:tc>
          <w:tcPr>
            <w:tcW w:w="0" w:type="dxa"/>
            <w:vAlign w:val="bottom"/>
          </w:tcPr>
          <w:p>
            <w:pPr>
              <w:spacing w:after="0"/>
              <w:rPr>
                <w:sz w:val="1"/>
                <w:szCs w:val="1"/>
                <w:color w:val="auto"/>
              </w:rPr>
            </w:pPr>
          </w:p>
        </w:tc>
      </w:tr>
      <w:tr>
        <w:trPr>
          <w:trHeight w:val="322"/>
        </w:trPr>
        <w:tc>
          <w:tcPr>
            <w:tcW w:w="4280" w:type="dxa"/>
            <w:vAlign w:val="bottom"/>
            <w:gridSpan w:val="2"/>
          </w:tcPr>
          <w:p>
            <w:pPr>
              <w:spacing w:after="0"/>
              <w:rPr>
                <w:sz w:val="20"/>
                <w:szCs w:val="20"/>
                <w:color w:val="auto"/>
              </w:rPr>
            </w:pPr>
            <w:r>
              <w:rPr>
                <w:rFonts w:ascii="Arial" w:cs="Arial" w:eastAsia="Arial" w:hAnsi="Arial"/>
                <w:sz w:val="18"/>
                <w:szCs w:val="18"/>
                <w:color w:val="auto"/>
              </w:rPr>
              <w:t>Net income/Comprehensive income</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6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66,334</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4,172</w:t>
            </w:r>
          </w:p>
        </w:tc>
        <w:tc>
          <w:tcPr>
            <w:tcW w:w="160" w:type="dxa"/>
            <w:vAlign w:val="bottom"/>
          </w:tcPr>
          <w:p>
            <w:pPr>
              <w:spacing w:after="0"/>
              <w:rPr>
                <w:sz w:val="24"/>
                <w:szCs w:val="24"/>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70,506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to common shareholders</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(117,222)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(117,222)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Dividends declared to preferred shareholders</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(406)</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to noncontrolling interests</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(4,624)</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Common shares issued</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1,995,504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1220" w:type="dxa"/>
            <w:vAlign w:val="bottom"/>
            <w:gridSpan w:val="3"/>
          </w:tcPr>
          <w:p>
            <w:pPr>
              <w:jc w:val="right"/>
              <w:ind w:right="192"/>
              <w:spacing w:after="0"/>
              <w:rPr>
                <w:sz w:val="20"/>
                <w:szCs w:val="20"/>
                <w:color w:val="auto"/>
              </w:rPr>
            </w:pPr>
            <w:r>
              <w:rPr>
                <w:rFonts w:ascii="Arial" w:cs="Arial" w:eastAsia="Arial" w:hAnsi="Arial"/>
                <w:sz w:val="18"/>
                <w:szCs w:val="18"/>
                <w:color w:val="auto"/>
              </w:rPr>
              <w:t>109,993</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110,013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2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1,642</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Shares issued under dividend reinvestment plan</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39,605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92"/>
              <w:spacing w:after="0"/>
              <w:rPr>
                <w:sz w:val="20"/>
                <w:szCs w:val="20"/>
                <w:color w:val="auto"/>
              </w:rPr>
            </w:pPr>
            <w:r>
              <w:rPr>
                <w:rFonts w:ascii="Arial" w:cs="Arial" w:eastAsia="Arial" w:hAnsi="Arial"/>
                <w:sz w:val="18"/>
                <w:szCs w:val="18"/>
                <w:color w:val="auto"/>
              </w:rPr>
              <w:t>2,038</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 net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2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5,448</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Conversion and redemption of OP units</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32"/>
              <w:spacing w:after="0"/>
              <w:rPr>
                <w:sz w:val="20"/>
                <w:szCs w:val="20"/>
                <w:color w:val="auto"/>
              </w:rPr>
            </w:pPr>
            <w:r>
              <w:rPr>
                <w:rFonts w:ascii="Arial" w:cs="Arial" w:eastAsia="Arial" w:hAnsi="Arial"/>
                <w:sz w:val="18"/>
                <w:szCs w:val="18"/>
                <w:color w:val="auto"/>
              </w:rPr>
              <w:t>(31)</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2009</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86"/>
              </w:rPr>
              <w:t>399,896</w:t>
            </w:r>
          </w:p>
        </w:tc>
        <w:tc>
          <w:tcPr>
            <w:tcW w:w="820" w:type="dxa"/>
            <w:vAlign w:val="bottom"/>
            <w:gridSpan w:val="3"/>
            <w:shd w:val="clear" w:color="auto" w:fill="CCEEFF"/>
          </w:tcPr>
          <w:p>
            <w:pPr>
              <w:ind w:lef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9,997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61,176,306</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612</w:t>
            </w:r>
          </w:p>
        </w:tc>
        <w:tc>
          <w:tcPr>
            <w:tcW w:w="122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1,649,679</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 (477,868)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31,845</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 xml:space="preserve"> 1,214,265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95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060" w:type="dxa"/>
            <w:vAlign w:val="bottom"/>
            <w:gridSpan w:val="4"/>
          </w:tcPr>
          <w:p>
            <w:pPr>
              <w:jc w:val="right"/>
              <w:ind w:right="393"/>
              <w:spacing w:after="0" w:line="142" w:lineRule="exact"/>
              <w:rPr>
                <w:sz w:val="20"/>
                <w:szCs w:val="20"/>
                <w:color w:val="auto"/>
              </w:rPr>
            </w:pPr>
            <w:r>
              <w:rPr>
                <w:rFonts w:ascii="Arial" w:cs="Arial" w:eastAsia="Arial" w:hAnsi="Arial"/>
                <w:sz w:val="14"/>
                <w:szCs w:val="14"/>
                <w:b w:val="1"/>
                <w:bCs w:val="1"/>
                <w:color w:val="auto"/>
                <w:w w:val="74"/>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70,506</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100,118</w:t>
            </w:r>
          </w:p>
        </w:tc>
        <w:tc>
          <w:tcPr>
            <w:tcW w:w="0" w:type="dxa"/>
            <w:vAlign w:val="bottom"/>
          </w:tcPr>
          <w:p>
            <w:pPr>
              <w:spacing w:after="0"/>
              <w:rPr>
                <w:sz w:val="1"/>
                <w:szCs w:val="1"/>
                <w:color w:val="auto"/>
              </w:rPr>
            </w:pPr>
          </w:p>
        </w:tc>
      </w:tr>
      <w:tr>
        <w:trPr>
          <w:trHeight w:val="216"/>
        </w:trPr>
        <w:tc>
          <w:tcPr>
            <w:tcW w:w="9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tcPr>
          <w:p>
            <w:pPr>
              <w:ind w:left="880"/>
              <w:spacing w:after="0"/>
              <w:rPr>
                <w:sz w:val="20"/>
                <w:szCs w:val="20"/>
                <w:color w:val="auto"/>
              </w:rPr>
            </w:pPr>
            <w:r>
              <w:rPr>
                <w:rFonts w:ascii="Arial" w:cs="Arial" w:eastAsia="Arial" w:hAnsi="Arial"/>
                <w:sz w:val="18"/>
                <w:szCs w:val="18"/>
                <w:color w:val="auto"/>
              </w:rPr>
              <w:t>Depreciation and amortization, including discontinued operations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86,635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81,838</w:t>
            </w:r>
          </w:p>
        </w:tc>
        <w:tc>
          <w:tcPr>
            <w:tcW w:w="0" w:type="dxa"/>
            <w:vAlign w:val="bottom"/>
          </w:tcPr>
          <w:p>
            <w:pPr>
              <w:spacing w:after="0"/>
              <w:rPr>
                <w:sz w:val="1"/>
                <w:szCs w:val="1"/>
                <w:color w:val="auto"/>
              </w:rPr>
            </w:pPr>
          </w:p>
        </w:tc>
      </w:tr>
      <w:tr>
        <w:trPr>
          <w:trHeight w:val="216"/>
        </w:trPr>
        <w:tc>
          <w:tcPr>
            <w:tcW w:w="9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Litigation provision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520" w:type="dxa"/>
            <w:vAlign w:val="bottom"/>
          </w:tcPr>
          <w:p>
            <w:pPr>
              <w:ind w:left="880"/>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8"/>
                <w:szCs w:val="18"/>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rPr>
              <w:t>(1,298)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(7,438)</w:t>
            </w:r>
          </w:p>
        </w:tc>
        <w:tc>
          <w:tcPr>
            <w:tcW w:w="0" w:type="dxa"/>
            <w:vAlign w:val="bottom"/>
          </w:tcPr>
          <w:p>
            <w:pPr>
              <w:spacing w:after="0"/>
              <w:rPr>
                <w:sz w:val="1"/>
                <w:szCs w:val="1"/>
                <w:color w:val="auto"/>
              </w:rPr>
            </w:pPr>
          </w:p>
        </w:tc>
      </w:tr>
      <w:tr>
        <w:trPr>
          <w:trHeight w:val="216"/>
        </w:trPr>
        <w:tc>
          <w:tcPr>
            <w:tcW w:w="9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Early extinguishment of senior notes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520" w:type="dxa"/>
            <w:vAlign w:val="bottom"/>
          </w:tcPr>
          <w:p>
            <w:pPr>
              <w:ind w:left="880"/>
              <w:spacing w:after="0"/>
              <w:rPr>
                <w:sz w:val="20"/>
                <w:szCs w:val="20"/>
                <w:color w:val="auto"/>
              </w:rPr>
            </w:pPr>
            <w:r>
              <w:rPr>
                <w:rFonts w:ascii="Arial" w:cs="Arial" w:eastAsia="Arial" w:hAnsi="Arial"/>
                <w:sz w:val="18"/>
                <w:szCs w:val="18"/>
                <w:color w:val="auto"/>
              </w:rPr>
              <w:t>Income from real estate partnership</w:t>
            </w:r>
          </w:p>
        </w:tc>
        <w:tc>
          <w:tcPr>
            <w:tcW w:w="100" w:type="dxa"/>
            <w:vAlign w:val="bottom"/>
          </w:tcPr>
          <w:p>
            <w:pPr>
              <w:spacing w:after="0"/>
              <w:rPr>
                <w:sz w:val="18"/>
                <w:szCs w:val="18"/>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rPr>
              <w:t>(1,074)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9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9520" w:type="dxa"/>
            <w:vAlign w:val="bottom"/>
          </w:tcPr>
          <w:p>
            <w:pPr>
              <w:ind w:left="44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accounts receivable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16"/>
        </w:trPr>
        <w:tc>
          <w:tcPr>
            <w:tcW w:w="9520" w:type="dxa"/>
            <w:vAlign w:val="bottom"/>
          </w:tcPr>
          <w:p>
            <w:pPr>
              <w:ind w:left="880"/>
              <w:spacing w:after="0"/>
              <w:rPr>
                <w:sz w:val="20"/>
                <w:szCs w:val="20"/>
                <w:color w:val="auto"/>
              </w:rPr>
            </w:pPr>
            <w:r>
              <w:rPr>
                <w:rFonts w:ascii="Arial" w:cs="Arial" w:eastAsia="Arial" w:hAnsi="Arial"/>
                <w:sz w:val="18"/>
                <w:szCs w:val="18"/>
                <w:color w:val="auto"/>
              </w:rPr>
              <w:t>Increase in prepaid expenses and other assets</w:t>
            </w:r>
          </w:p>
        </w:tc>
        <w:tc>
          <w:tcPr>
            <w:tcW w:w="100" w:type="dxa"/>
            <w:vAlign w:val="bottom"/>
          </w:tcPr>
          <w:p>
            <w:pPr>
              <w:spacing w:after="0"/>
              <w:rPr>
                <w:sz w:val="18"/>
                <w:szCs w:val="18"/>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rPr>
              <w:t>(2,460)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16"/>
        </w:trPr>
        <w:tc>
          <w:tcPr>
            <w:tcW w:w="9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(decrease) in accounts payable and accrued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3"/>
        </w:trPr>
        <w:tc>
          <w:tcPr>
            <w:tcW w:w="9520" w:type="dxa"/>
            <w:vAlign w:val="bottom"/>
          </w:tcPr>
          <w:p>
            <w:pPr>
              <w:ind w:left="880"/>
              <w:spacing w:after="0"/>
              <w:rPr>
                <w:sz w:val="20"/>
                <w:szCs w:val="20"/>
                <w:color w:val="auto"/>
              </w:rPr>
            </w:pPr>
            <w:r>
              <w:rPr>
                <w:rFonts w:ascii="Arial" w:cs="Arial" w:eastAsia="Arial" w:hAnsi="Arial"/>
                <w:sz w:val="18"/>
                <w:szCs w:val="18"/>
                <w:color w:val="auto"/>
              </w:rPr>
              <w:t>Increase in security deposits and other liabilities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194,204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174,504</w:t>
            </w: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 of real estate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(99,580)</w:t>
            </w:r>
          </w:p>
        </w:tc>
        <w:tc>
          <w:tcPr>
            <w:tcW w:w="0" w:type="dxa"/>
            <w:vAlign w:val="bottom"/>
          </w:tcPr>
          <w:p>
            <w:pPr>
              <w:spacing w:after="0"/>
              <w:rPr>
                <w:sz w:val="1"/>
                <w:szCs w:val="1"/>
                <w:color w:val="auto"/>
              </w:rPr>
            </w:pPr>
          </w:p>
        </w:tc>
      </w:tr>
      <w:tr>
        <w:trPr>
          <w:trHeight w:val="216"/>
        </w:trPr>
        <w:tc>
          <w:tcPr>
            <w:tcW w:w="9520" w:type="dxa"/>
            <w:vAlign w:val="bottom"/>
          </w:tcPr>
          <w:p>
            <w:pPr>
              <w:ind w:left="440"/>
              <w:spacing w:after="0"/>
              <w:rPr>
                <w:sz w:val="20"/>
                <w:szCs w:val="20"/>
                <w:color w:val="auto"/>
              </w:rPr>
            </w:pPr>
            <w:r>
              <w:rPr>
                <w:rFonts w:ascii="Arial" w:cs="Arial" w:eastAsia="Arial" w:hAnsi="Arial"/>
                <w:sz w:val="18"/>
                <w:szCs w:val="18"/>
                <w:color w:val="auto"/>
              </w:rPr>
              <w:t>Capital expenditures—development and redevelopment</w:t>
            </w:r>
          </w:p>
        </w:tc>
        <w:tc>
          <w:tcPr>
            <w:tcW w:w="100" w:type="dxa"/>
            <w:vAlign w:val="bottom"/>
          </w:tcPr>
          <w:p>
            <w:pPr>
              <w:spacing w:after="0"/>
              <w:rPr>
                <w:sz w:val="18"/>
                <w:szCs w:val="18"/>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rPr>
              <w:t>(57,739)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(75,624)</w:t>
            </w:r>
          </w:p>
        </w:tc>
        <w:tc>
          <w:tcPr>
            <w:tcW w:w="0" w:type="dxa"/>
            <w:vAlign w:val="bottom"/>
          </w:tcPr>
          <w:p>
            <w:pPr>
              <w:spacing w:after="0"/>
              <w:rPr>
                <w:sz w:val="1"/>
                <w:szCs w:val="1"/>
                <w:color w:val="auto"/>
              </w:rPr>
            </w:pPr>
          </w:p>
        </w:tc>
      </w:tr>
      <w:tr>
        <w:trPr>
          <w:trHeight w:val="216"/>
        </w:trPr>
        <w:tc>
          <w:tcPr>
            <w:tcW w:w="9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expenditures—other</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(16,627)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(22,606)</w:t>
            </w:r>
          </w:p>
        </w:tc>
        <w:tc>
          <w:tcPr>
            <w:tcW w:w="0" w:type="dxa"/>
            <w:vAlign w:val="bottom"/>
          </w:tcPr>
          <w:p>
            <w:pPr>
              <w:spacing w:after="0"/>
              <w:rPr>
                <w:sz w:val="1"/>
                <w:szCs w:val="1"/>
                <w:color w:val="auto"/>
              </w:rPr>
            </w:pPr>
          </w:p>
        </w:tc>
      </w:tr>
      <w:tr>
        <w:trPr>
          <w:trHeight w:val="216"/>
        </w:trPr>
        <w:tc>
          <w:tcPr>
            <w:tcW w:w="9520" w:type="dxa"/>
            <w:vAlign w:val="bottom"/>
          </w:tcPr>
          <w:p>
            <w:pPr>
              <w:ind w:left="440"/>
              <w:spacing w:after="0"/>
              <w:rPr>
                <w:sz w:val="20"/>
                <w:szCs w:val="20"/>
                <w:color w:val="auto"/>
              </w:rPr>
            </w:pPr>
            <w:r>
              <w:rPr>
                <w:rFonts w:ascii="Arial" w:cs="Arial" w:eastAsia="Arial" w:hAnsi="Arial"/>
                <w:sz w:val="18"/>
                <w:szCs w:val="18"/>
                <w:color w:val="auto"/>
              </w:rPr>
              <w:t>Proceeds from sale of real estate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38,062</w:t>
            </w:r>
          </w:p>
        </w:tc>
        <w:tc>
          <w:tcPr>
            <w:tcW w:w="0" w:type="dxa"/>
            <w:vAlign w:val="bottom"/>
          </w:tcPr>
          <w:p>
            <w:pPr>
              <w:spacing w:after="0"/>
              <w:rPr>
                <w:sz w:val="1"/>
                <w:szCs w:val="1"/>
                <w:color w:val="auto"/>
              </w:rPr>
            </w:pPr>
          </w:p>
        </w:tc>
      </w:tr>
      <w:tr>
        <w:trPr>
          <w:trHeight w:val="216"/>
        </w:trPr>
        <w:tc>
          <w:tcPr>
            <w:tcW w:w="9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Distribution from real estate partnership in excess of earnings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9520" w:type="dxa"/>
            <w:vAlign w:val="bottom"/>
          </w:tcPr>
          <w:p>
            <w:pPr>
              <w:ind w:left="440"/>
              <w:spacing w:after="0"/>
              <w:rPr>
                <w:sz w:val="20"/>
                <w:szCs w:val="20"/>
                <w:color w:val="auto"/>
              </w:rPr>
            </w:pPr>
            <w:r>
              <w:rPr>
                <w:rFonts w:ascii="Arial" w:cs="Arial" w:eastAsia="Arial" w:hAnsi="Arial"/>
                <w:sz w:val="18"/>
                <w:szCs w:val="18"/>
                <w:color w:val="auto"/>
              </w:rPr>
              <w:t>Leasing costs</w:t>
            </w:r>
          </w:p>
        </w:tc>
        <w:tc>
          <w:tcPr>
            <w:tcW w:w="100" w:type="dxa"/>
            <w:vAlign w:val="bottom"/>
          </w:tcPr>
          <w:p>
            <w:pPr>
              <w:spacing w:after="0"/>
              <w:rPr>
                <w:sz w:val="18"/>
                <w:szCs w:val="18"/>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rPr>
              <w:t>(6,747)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r>
        <w:trPr>
          <w:trHeight w:val="216"/>
        </w:trPr>
        <w:tc>
          <w:tcPr>
            <w:tcW w:w="9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mortgage and other notes receivable,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(1,733)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9520" w:type="dxa"/>
            <w:vAlign w:val="bottom"/>
            <w:vMerge w:val="restart"/>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rPr>
              <w:t>(80,342)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(167,207)</w:t>
            </w:r>
          </w:p>
        </w:tc>
        <w:tc>
          <w:tcPr>
            <w:tcW w:w="0" w:type="dxa"/>
            <w:vAlign w:val="bottom"/>
          </w:tcPr>
          <w:p>
            <w:pPr>
              <w:spacing w:after="0"/>
              <w:rPr>
                <w:sz w:val="1"/>
                <w:szCs w:val="1"/>
                <w:color w:val="auto"/>
              </w:rPr>
            </w:pPr>
          </w:p>
        </w:tc>
      </w:tr>
      <w:tr>
        <w:trPr>
          <w:trHeight w:val="218"/>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20" w:type="dxa"/>
            <w:vAlign w:val="bottom"/>
          </w:tcPr>
          <w:p>
            <w:pPr>
              <w:ind w:left="440"/>
              <w:spacing w:after="0"/>
              <w:rPr>
                <w:sz w:val="20"/>
                <w:szCs w:val="20"/>
                <w:color w:val="auto"/>
              </w:rPr>
            </w:pPr>
            <w:r>
              <w:rPr>
                <w:rFonts w:ascii="Arial" w:cs="Arial" w:eastAsia="Arial" w:hAnsi="Arial"/>
                <w:sz w:val="18"/>
                <w:szCs w:val="18"/>
                <w:color w:val="auto"/>
              </w:rPr>
              <w:t>Net (repayment) borrowings under revolving credit facility, net of costs</w:t>
            </w:r>
          </w:p>
        </w:tc>
        <w:tc>
          <w:tcPr>
            <w:tcW w:w="100" w:type="dxa"/>
            <w:vAlign w:val="bottom"/>
          </w:tcPr>
          <w:p>
            <w:pPr>
              <w:spacing w:after="0"/>
              <w:rPr>
                <w:sz w:val="18"/>
                <w:szCs w:val="18"/>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w w:val="88"/>
              </w:rPr>
              <w:t>(123,500)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129,000</w:t>
            </w:r>
          </w:p>
        </w:tc>
        <w:tc>
          <w:tcPr>
            <w:tcW w:w="0" w:type="dxa"/>
            <w:vAlign w:val="bottom"/>
          </w:tcPr>
          <w:p>
            <w:pPr>
              <w:spacing w:after="0"/>
              <w:rPr>
                <w:sz w:val="1"/>
                <w:szCs w:val="1"/>
                <w:color w:val="auto"/>
              </w:rPr>
            </w:pPr>
          </w:p>
        </w:tc>
      </w:tr>
      <w:tr>
        <w:trPr>
          <w:trHeight w:val="216"/>
        </w:trPr>
        <w:tc>
          <w:tcPr>
            <w:tcW w:w="9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senior notes, net of costs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147,534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520" w:type="dxa"/>
            <w:vAlign w:val="bottom"/>
          </w:tcPr>
          <w:p>
            <w:pPr>
              <w:ind w:left="440"/>
              <w:spacing w:after="0"/>
              <w:rPr>
                <w:sz w:val="20"/>
                <w:szCs w:val="20"/>
                <w:color w:val="auto"/>
              </w:rPr>
            </w:pPr>
            <w:r>
              <w:rPr>
                <w:rFonts w:ascii="Arial" w:cs="Arial" w:eastAsia="Arial" w:hAnsi="Arial"/>
                <w:sz w:val="18"/>
                <w:szCs w:val="18"/>
                <w:color w:val="auto"/>
              </w:rPr>
              <w:t>Purchase and retirement of senior notes/debentures</w:t>
            </w:r>
          </w:p>
        </w:tc>
        <w:tc>
          <w:tcPr>
            <w:tcW w:w="100" w:type="dxa"/>
            <w:vAlign w:val="bottom"/>
          </w:tcPr>
          <w:p>
            <w:pPr>
              <w:spacing w:after="0"/>
              <w:rPr>
                <w:sz w:val="18"/>
                <w:szCs w:val="18"/>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rPr>
              <w:t>(52,278)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(20,800)</w:t>
            </w:r>
          </w:p>
        </w:tc>
        <w:tc>
          <w:tcPr>
            <w:tcW w:w="0" w:type="dxa"/>
            <w:vAlign w:val="bottom"/>
          </w:tcPr>
          <w:p>
            <w:pPr>
              <w:spacing w:after="0"/>
              <w:rPr>
                <w:sz w:val="1"/>
                <w:szCs w:val="1"/>
                <w:color w:val="auto"/>
              </w:rPr>
            </w:pPr>
          </w:p>
        </w:tc>
      </w:tr>
      <w:tr>
        <w:trPr>
          <w:trHeight w:val="216"/>
        </w:trPr>
        <w:tc>
          <w:tcPr>
            <w:tcW w:w="9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mortgages, capital leases and notes payable, net of costs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526,617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520" w:type="dxa"/>
            <w:vAlign w:val="bottom"/>
          </w:tcPr>
          <w:p>
            <w:pPr>
              <w:ind w:left="440"/>
              <w:spacing w:after="0"/>
              <w:rPr>
                <w:sz w:val="20"/>
                <w:szCs w:val="20"/>
                <w:color w:val="auto"/>
              </w:rPr>
            </w:pPr>
            <w:r>
              <w:rPr>
                <w:rFonts w:ascii="Arial" w:cs="Arial" w:eastAsia="Arial" w:hAnsi="Arial"/>
                <w:sz w:val="18"/>
                <w:szCs w:val="18"/>
                <w:color w:val="auto"/>
              </w:rPr>
              <w:t>Repayment of mortgages, capital leases and notes payable</w:t>
            </w:r>
          </w:p>
        </w:tc>
        <w:tc>
          <w:tcPr>
            <w:tcW w:w="100" w:type="dxa"/>
            <w:vAlign w:val="bottom"/>
          </w:tcPr>
          <w:p>
            <w:pPr>
              <w:spacing w:after="0"/>
              <w:rPr>
                <w:sz w:val="18"/>
                <w:szCs w:val="18"/>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w w:val="88"/>
              </w:rPr>
              <w:t>(212,424)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(15,294)</w:t>
            </w:r>
          </w:p>
        </w:tc>
        <w:tc>
          <w:tcPr>
            <w:tcW w:w="0" w:type="dxa"/>
            <w:vAlign w:val="bottom"/>
          </w:tcPr>
          <w:p>
            <w:pPr>
              <w:spacing w:after="0"/>
              <w:rPr>
                <w:sz w:val="1"/>
                <w:szCs w:val="1"/>
                <w:color w:val="auto"/>
              </w:rPr>
            </w:pPr>
          </w:p>
        </w:tc>
      </w:tr>
      <w:tr>
        <w:trPr>
          <w:trHeight w:val="216"/>
        </w:trPr>
        <w:tc>
          <w:tcPr>
            <w:tcW w:w="9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Extension fee on term loan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9520" w:type="dxa"/>
            <w:vAlign w:val="bottom"/>
          </w:tcPr>
          <w:p>
            <w:pPr>
              <w:ind w:left="440"/>
              <w:spacing w:after="0"/>
              <w:rPr>
                <w:sz w:val="20"/>
                <w:szCs w:val="20"/>
                <w:color w:val="auto"/>
              </w:rPr>
            </w:pPr>
            <w:r>
              <w:rPr>
                <w:rFonts w:ascii="Arial" w:cs="Arial" w:eastAsia="Arial" w:hAnsi="Arial"/>
                <w:sz w:val="18"/>
                <w:szCs w:val="18"/>
                <w:color w:val="auto"/>
              </w:rPr>
              <w:t>Issuance of common shares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113,694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10,421</w:t>
            </w:r>
          </w:p>
        </w:tc>
        <w:tc>
          <w:tcPr>
            <w:tcW w:w="0" w:type="dxa"/>
            <w:vAlign w:val="bottom"/>
          </w:tcPr>
          <w:p>
            <w:pPr>
              <w:spacing w:after="0"/>
              <w:rPr>
                <w:sz w:val="1"/>
                <w:szCs w:val="1"/>
                <w:color w:val="auto"/>
              </w:rPr>
            </w:pPr>
          </w:p>
        </w:tc>
      </w:tr>
      <w:tr>
        <w:trPr>
          <w:trHeight w:val="216"/>
        </w:trPr>
        <w:tc>
          <w:tcPr>
            <w:tcW w:w="9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Dividends paid to common and preferred shareholders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8"/>
              </w:rPr>
              <w:t>(115,593)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(107,963)</w:t>
            </w:r>
          </w:p>
        </w:tc>
        <w:tc>
          <w:tcPr>
            <w:tcW w:w="0" w:type="dxa"/>
            <w:vAlign w:val="bottom"/>
          </w:tcPr>
          <w:p>
            <w:pPr>
              <w:spacing w:after="0"/>
              <w:rPr>
                <w:sz w:val="1"/>
                <w:szCs w:val="1"/>
                <w:color w:val="auto"/>
              </w:rPr>
            </w:pPr>
          </w:p>
        </w:tc>
      </w:tr>
      <w:tr>
        <w:trPr>
          <w:trHeight w:val="216"/>
        </w:trPr>
        <w:tc>
          <w:tcPr>
            <w:tcW w:w="9520" w:type="dxa"/>
            <w:vAlign w:val="bottom"/>
          </w:tcPr>
          <w:p>
            <w:pPr>
              <w:ind w:left="440"/>
              <w:spacing w:after="0"/>
              <w:rPr>
                <w:sz w:val="20"/>
                <w:szCs w:val="20"/>
                <w:color w:val="auto"/>
              </w:rPr>
            </w:pPr>
            <w:r>
              <w:rPr>
                <w:rFonts w:ascii="Arial" w:cs="Arial" w:eastAsia="Arial" w:hAnsi="Arial"/>
                <w:sz w:val="18"/>
                <w:szCs w:val="18"/>
                <w:color w:val="auto"/>
              </w:rPr>
              <w:t>Distributions to noncontrolling interests</w:t>
            </w:r>
          </w:p>
        </w:tc>
        <w:tc>
          <w:tcPr>
            <w:tcW w:w="100" w:type="dxa"/>
            <w:vAlign w:val="bottom"/>
          </w:tcPr>
          <w:p>
            <w:pPr>
              <w:spacing w:after="0"/>
              <w:rPr>
                <w:sz w:val="18"/>
                <w:szCs w:val="18"/>
                <w:color w:val="auto"/>
              </w:rPr>
            </w:pP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rPr>
              <w:t>(4,707)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7"/>
        </w:trPr>
        <w:tc>
          <w:tcPr>
            <w:tcW w:w="9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279,343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(8,997)</w:t>
            </w:r>
          </w:p>
        </w:tc>
        <w:tc>
          <w:tcPr>
            <w:tcW w:w="0" w:type="dxa"/>
            <w:vAlign w:val="bottom"/>
          </w:tcPr>
          <w:p>
            <w:pPr>
              <w:spacing w:after="0"/>
              <w:rPr>
                <w:sz w:val="1"/>
                <w:szCs w:val="1"/>
                <w:color w:val="auto"/>
              </w:rPr>
            </w:pPr>
          </w:p>
        </w:tc>
      </w:tr>
      <w:tr>
        <w:trPr>
          <w:trHeight w:val="20"/>
        </w:trPr>
        <w:tc>
          <w:tcPr>
            <w:tcW w:w="9520" w:type="dxa"/>
            <w:vAlign w:val="bottom"/>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393,205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8"/>
        </w:trPr>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408,428</w:t>
            </w:r>
          </w:p>
        </w:tc>
        <w:tc>
          <w:tcPr>
            <w:tcW w:w="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48,991</w:t>
            </w:r>
          </w:p>
        </w:tc>
        <w:tc>
          <w:tcPr>
            <w:tcW w:w="0" w:type="dxa"/>
            <w:vAlign w:val="bottom"/>
          </w:tcPr>
          <w:p>
            <w:pPr>
              <w:spacing w:after="0"/>
              <w:rPr>
                <w:sz w:val="1"/>
                <w:szCs w:val="1"/>
                <w:color w:val="auto"/>
              </w:rPr>
            </w:pPr>
          </w:p>
        </w:tc>
      </w:tr>
      <w:tr>
        <w:trPr>
          <w:trHeight w:val="20"/>
        </w:trPr>
        <w:tc>
          <w:tcPr>
            <w:tcW w:w="9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2009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Organization</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Federal Realty Investment Trust (the “Trust”) is an equity real estate investment trust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as well as in California. As of September 30, 2009, we owned or had a majority interest in community and neighborhood shopping centers and mixed-use projects which are operated as 84 predominantly retail real estate properties.</w:t>
      </w:r>
    </w:p>
    <w:p>
      <w:pPr>
        <w:spacing w:after="0" w:line="11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operate in a manner intended to enable us to qualify as a real estate investment trust (or REIT) for federal income tax purposes. A REIT that distributes at least 90% of its REIT taxable income to its shareholders each year and meets certain other conditions is not taxed on that portion of its taxable income which is distributed to its shareholders. Therefore, federal income taxes on our REIT taxable income have been and are generally expected to be immaterial. We are obligated to pay state taxes, generally consisting of franchise or gross receipts taxes in certain states. Such state taxes also have not been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All significant intercompany transactions and balances are eliminated in consolidation. We account for our interests in joint ventures, which we do not control or manage, using the equity method of accounting. Subsequent events have been evaluated through November 4, 2009, which is the date the financial statements were issued. Certain 2008 amounts have been reclassified to conform to current period presentation.</w:t>
      </w:r>
    </w:p>
    <w:p>
      <w:pPr>
        <w:spacing w:after="0" w:line="1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Our primary business is the ownership, management, and redevelopment of retail and mixed use properties. We review operating and financial information for each property on an individual basis and therefore, each property represents an individual operating segment. We evaluate financial performance using property operating income, which consists of rental income, other property income and mortgage interest income, less rental expenses and real estate taxes. No individual property constitutes more than 10% of our revenues or property operating income and we have no operations outside of the United States of America. Therefore, we have aggregated our properties into one reportable segment as the properties share similar long-term economic characteristics and have other similarities including the fact that they are operated using consistent business strategies, are typically located in major metropolitan areas, and have similar tenant mixes.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6"/>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Total interest costs incurred</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83,815</w:t>
            </w:r>
          </w:p>
        </w:tc>
        <w:tc>
          <w:tcPr>
            <w:tcW w:w="480" w:type="dxa"/>
            <w:vAlign w:val="bottom"/>
          </w:tcPr>
          <w:p>
            <w:pPr>
              <w:spacing w:after="0"/>
              <w:rPr>
                <w:sz w:val="18"/>
                <w:szCs w:val="18"/>
                <w:color w:val="auto"/>
              </w:rPr>
            </w:pP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78,274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capitalized</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(4,193)</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ind w:left="860"/>
              <w:spacing w:after="0"/>
              <w:rPr>
                <w:sz w:val="20"/>
                <w:szCs w:val="20"/>
                <w:color w:val="auto"/>
              </w:rPr>
            </w:pPr>
            <w:r>
              <w:rPr>
                <w:rFonts w:ascii="Arial" w:cs="Arial" w:eastAsia="Arial" w:hAnsi="Arial"/>
                <w:sz w:val="18"/>
                <w:szCs w:val="18"/>
                <w:color w:val="auto"/>
              </w:rPr>
              <w:t>Interest expense</w:t>
            </w:r>
          </w:p>
        </w:tc>
        <w:tc>
          <w:tcPr>
            <w:tcW w:w="2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79,622</w:t>
            </w:r>
          </w:p>
        </w:tc>
        <w:tc>
          <w:tcPr>
            <w:tcW w:w="4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2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74,880</w:t>
            </w:r>
          </w:p>
        </w:tc>
        <w:tc>
          <w:tcPr>
            <w:tcW w:w="4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vMerge w:val="restart"/>
          </w:tcPr>
          <w:p>
            <w:pPr>
              <w:ind w:left="420"/>
              <w:spacing w:after="0"/>
              <w:rPr>
                <w:sz w:val="20"/>
                <w:szCs w:val="20"/>
                <w:color w:val="auto"/>
              </w:rPr>
            </w:pPr>
            <w:r>
              <w:rPr>
                <w:rFonts w:ascii="Arial" w:cs="Arial" w:eastAsia="Arial" w:hAnsi="Arial"/>
                <w:sz w:val="18"/>
                <w:szCs w:val="18"/>
                <w:color w:val="auto"/>
              </w:rPr>
              <w:t>Cash (received) paid for income taxes</w:t>
            </w:r>
          </w:p>
        </w:tc>
        <w:tc>
          <w:tcPr>
            <w:tcW w:w="2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80" w:type="dxa"/>
            <w:vAlign w:val="bottom"/>
            <w:vMerge w:val="continue"/>
          </w:tcPr>
          <w:p>
            <w:pPr>
              <w:spacing w:after="0"/>
              <w:rPr>
                <w:sz w:val="18"/>
                <w:szCs w:val="18"/>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52"/>
              <w:spacing w:after="0"/>
              <w:rPr>
                <w:sz w:val="20"/>
                <w:szCs w:val="20"/>
                <w:color w:val="auto"/>
              </w:rPr>
            </w:pPr>
            <w:r>
              <w:rPr>
                <w:rFonts w:ascii="Arial" w:cs="Arial" w:eastAsia="Arial" w:hAnsi="Arial"/>
                <w:sz w:val="18"/>
                <w:szCs w:val="18"/>
                <w:color w:val="auto"/>
              </w:rPr>
              <w:t>(759)</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8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AND INVESTING TRANSACTIONS: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Mortgage loans assumed with acquisition</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Extinguishment of capital lease obligation</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rPr>
              <w:t>Note payable issued with acquisition</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valuation of interest rate swap</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9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Capitalized lease costs are direct costs incurred which were essential to originate a lease and would not have been incurred had the leasing transaction not taken place. These costs include third party commissions and salaries and personnel costs related to obtaining a lease. Capitalized lease costs are amortized over the initial term of the related lease which generally ranges from three to ten years. We view these lease costs as part of the up-front initial investment we made in order to generate a long-term cash inflow and therefore, we classify cash outflows related to leasing costs as an investing activity in our Consolidated Statements of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FASB Accounting Standards Codification</w:t>
      </w:r>
    </w:p>
    <w:p>
      <w:pPr>
        <w:spacing w:after="0" w:line="9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June 2009, the Financial Accounting Standards Board (“FASB”) issued new accounting requirements, which make the FASB Accounting Standards Codification (“Codification”) the single source of authoritative literature for U.S. accounting and reporting standards. The Codification is not meant to change existing GAAP but rather provide a single source for all literature. We adopted the standard during the quarter ended September 30, 2009, which required us to change certain disclosures in our financial statements to reflect Codification references or “plain English” references rather than references to FASB Statements, Staff Positions or Emerging Issues Task Force Abstracts. The adoption of this requirement did not have a material impact on our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Effective January 1, 2009, we adopted a new accounting standard that broadens and clarifies the definition of a business, which will result in significantly more of our acquisitions being treated as business combinations rather than asset acquisitions. The new requirement is effective for business combinations for which the acquisition date is on or after January 1, 2009, and therefore, will only impact prospective acquisitions with no change to the accounting for acquisitions completed prior to or on December 31, 2008. The new standard requires us to expense all acquisition related transaction costs as incurred which could include broker fees, transfer taxes, legal, accounting, valuation, and other professional and consulting fees. For acquisitions prior to January 1, 2009, these costs were capitalized as part of the acquisition cost. While the adoption did not have a material impact on our financial statements for the three and nine months ended September 30, 2009, the impact to our future consolidated financial statements will vary significantly depending on the timing and number of acquisitions or potential acquisitions, size of the acquisitions, and location of the acquisitions. Based on acquisitions in the last three years, transaction costs for single asset acquisitions typically ranged from $0.1 million to $1.0 million with significantly higher transaction costs for an acquisition of a larger portfolio. The new standard includes several other changes to the accounting for business combinations including requiring contingent consideration to be measured at fair value at acquisition and subsequently remeasured through the income statement if accounted for as a liability as the fair value changes, any adjustments during the purchase price allocation period to be “pushed back” to the acquisition date with prior periods being adjusted for any changes, and the business combination to be accounted for on the acquisition date or the date control is obtained. During 2008, we expensed all acquisition related costs for acquisitions which did not close prior to December 31, 2008.</w:t>
      </w:r>
    </w:p>
    <w:p>
      <w:pPr>
        <w:spacing w:after="0" w:line="12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Effective January 1, 2009, we adopted a new accounting standard that significantly changes the accounting and reporting of minority interests in the consolidated financial statements and requires a noncontrolling interest, which was previously referred to as a minority interest, to be recognized as a component of equity rather than included in the mezzanine section of the balance sheet where it was previously presented. On January 1, 2009, we reclassified $32.4 million from the mezzanine section of the balance sheet to shareholders’ equity. The terminology “minority interest” has been changed to “noncontrolling interest”. The “minority interest” caption on the statement of operations is now reflected as “net income attributable to noncontrolling interests” and shown after</w:t>
      </w:r>
    </w:p>
    <w:p>
      <w:pPr>
        <w:sectPr>
          <w:pgSz w:w="11900" w:h="16838" w:orient="portrait"/>
          <w:cols w:equalWidth="0" w:num="1">
            <w:col w:w="11420"/>
          </w:cols>
          <w:pgMar w:left="240" w:top="459" w:right="239" w:bottom="1440" w:gutter="0" w:footer="0" w:header="0"/>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2009</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consolidated net income. This is a presentation only change for minority interest on both the balance sheet and statement of operations and has no impact to net income, total liabilities and shareholders’ equity, or earnings per share. The statement also requires the recognition of 100% of the fair value of assets acquired and liabilities assumed in acquisitions of less than 100% controlling interest with subsequent acquisitions of the noncontrolling interest recorded as equity transactions. The new accounting standard was adopted effective January 1, 2009 and has been applied prospectively except for the presentation changes to the balance sheet and statement of operations which have been applied retrospectively in the 2008 consolidated financial statements. While there was no additional impact on the consolidated financial statements during the three and nine months ended September 30, 2009, the impact on our future consolidated financial statements will vary depending on the level of transactions with entities involving noncontrolling interests.</w:t>
      </w:r>
    </w:p>
    <w:p>
      <w:pPr>
        <w:spacing w:after="0" w:line="118" w:lineRule="exact"/>
        <w:rPr>
          <w:sz w:val="20"/>
          <w:szCs w:val="20"/>
          <w:color w:val="auto"/>
        </w:rPr>
      </w:pPr>
    </w:p>
    <w:p>
      <w:pPr>
        <w:ind w:right="560"/>
        <w:spacing w:after="0" w:line="370" w:lineRule="auto"/>
        <w:rPr>
          <w:sz w:val="20"/>
          <w:szCs w:val="20"/>
          <w:color w:val="auto"/>
        </w:rPr>
      </w:pPr>
      <w:r>
        <w:rPr>
          <w:rFonts w:ascii="Arial" w:cs="Arial" w:eastAsia="Arial" w:hAnsi="Arial"/>
          <w:sz w:val="15"/>
          <w:szCs w:val="15"/>
          <w:color w:val="auto"/>
        </w:rPr>
        <w:t>Effective January 1, 2009, we adopted a new accounting standard that requires enhanced disclosures about an entity’s derivative instruments and hedging activities. The adoption did not have an impact on our consolidated financial statements as we currently have no derivative instruments outstanding.</w:t>
      </w:r>
    </w:p>
    <w:p>
      <w:pPr>
        <w:spacing w:after="0" w:line="6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Effective January 1, 2009, we adopted a new accounting standard which impacts the treatment of unvested share-based payment awards in the earnings per share calculation. The impact of the adoption on our consolidated financial statements is further discussed in Note J to these consolidated financial statements.</w:t>
      </w:r>
    </w:p>
    <w:p>
      <w:pPr>
        <w:spacing w:after="0" w:line="8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Effective January 1, 2009, we adopted a new accounting standard which clarifies the accounting for certain transactions and impairment considerations involving equity method investments. The new accounting standard clarifies that equity method investments should initially be measured at cost, the issuance of shares by the investee would result in a gain or loss on issuance of shares reflected in the income statement of the equity investor, and that a loss in value of an equity investment which is other than a temporary decline should be recognized. The standard was effective on a prospective basis beginning on January 1, 2009, and did not have a material impact on our financial position, results of operations, or cash flows.</w:t>
      </w:r>
    </w:p>
    <w:p>
      <w:pPr>
        <w:spacing w:after="0" w:line="1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During the quarter ended June 30, 2009, we adopted a new accounting standard which requires disclosure regarding the fair value of financial instruments for interim reporting periods as well as in annual financial statements. We have included the additional disclosures in Note E to these consolidated financial statements.</w:t>
      </w:r>
    </w:p>
    <w:p>
      <w:pPr>
        <w:spacing w:after="0" w:line="14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the quarter ended June 30, 2009, we adopted a new accounting standard which establishes general standards of accounting and disclosure of events that occur after the balance sheet date but before the financial statements are issued or available to be issued and requires disclosure of the date through which subsequent events have been evaluated. We have added disclosure in Note A under “Basis of Presentation” regarding the date through which we have evaluated subsequent events.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June 2009, the FASB issued Statement No. 167, “Amendments to FASB Interpretation No. 46(R)” (“SFAS No. 167”), which provides certain changes to the evaluation of a VIE including requiring a qualitative rather than quantitative analysis to determine the primary beneficiary of a VIE, continuous assessments of whether an enterprise is the primary beneficiary of a VIE, and enhanced disclosures about an enterprise’s involvement with a VIE. The statement is effective January 1, 2010, and is applicable to all entities in which an enterprise has a variable interest. We are currently evaluating the impact SFAS No. 167 will have on our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B—REAL ESTATE</w:t>
      </w:r>
    </w:p>
    <w:p>
      <w:pPr>
        <w:spacing w:after="0" w:line="96" w:lineRule="exact"/>
        <w:rPr>
          <w:sz w:val="20"/>
          <w:szCs w:val="20"/>
          <w:color w:val="auto"/>
        </w:rPr>
      </w:pPr>
    </w:p>
    <w:p>
      <w:pPr>
        <w:ind w:right="380"/>
        <w:spacing w:after="0" w:line="370" w:lineRule="auto"/>
        <w:rPr>
          <w:sz w:val="20"/>
          <w:szCs w:val="20"/>
          <w:color w:val="auto"/>
        </w:rPr>
      </w:pPr>
      <w:r>
        <w:rPr>
          <w:rFonts w:ascii="Arial" w:cs="Arial" w:eastAsia="Arial" w:hAnsi="Arial"/>
          <w:sz w:val="15"/>
          <w:szCs w:val="15"/>
          <w:color w:val="auto"/>
        </w:rPr>
        <w:t>On June 26, 2009, one of our tenants acquired from us our fee interest in a land parcel in White Marsh, Maryland, that was subject to a long-term ground lease. The ground lease involved an option for the tenant to purchase the fee interest. The sales price was $2.1 million and resulted in a gain of $0.4 million.</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revenue from properties included in discontinued operations was $0 and $0.8 million for the three months ended September 30, 2009 and 2008, respectively, and $0.2 million and $2.8 million for the nine months ended September 30, 2009 and 2008, respectively.</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C—REAL ESTATE PARTNERSHIP</w:t>
      </w:r>
    </w:p>
    <w:p>
      <w:pPr>
        <w:spacing w:after="0" w:line="9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has substantive participating rights and we cannot make significant decisions without Clarion’s approval. Accordingly, we account for our interest in the Partnership using the equity method. As of September 30, 2009, the Partnership owned seven retail real estate properties. We are the manager of the Partnership and its properties, earning fees for acquisitions, dispositions, management, leasing, and financing. We also have the opportunity to receive performance-based earnings through our Partnership interest.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operating results and the financial position of the Partnership:</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6"/>
          </w:tcPr>
          <w:p>
            <w:pPr>
              <w:jc w:val="right"/>
              <w:ind w:right="72"/>
              <w:spacing w:after="0"/>
              <w:rPr>
                <w:sz w:val="20"/>
                <w:szCs w:val="20"/>
                <w:color w:val="auto"/>
              </w:rPr>
            </w:pPr>
            <w:r>
              <w:rPr>
                <w:rFonts w:ascii="Arial" w:cs="Arial" w:eastAsia="Arial" w:hAnsi="Arial"/>
                <w:sz w:val="14"/>
                <w:szCs w:val="14"/>
                <w:b w:val="1"/>
                <w:bCs w:val="1"/>
                <w:color w:val="auto"/>
                <w:w w:val="88"/>
              </w:rPr>
              <w:t>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6"/>
          </w:tcPr>
          <w:p>
            <w:pPr>
              <w:jc w:val="right"/>
              <w:ind w:right="272"/>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2008</w:t>
            </w:r>
          </w:p>
        </w:tc>
        <w:tc>
          <w:tcPr>
            <w:tcW w:w="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2009</w:t>
            </w: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4"/>
          </w:tcPr>
          <w:p>
            <w:pPr>
              <w:jc w:val="right"/>
              <w:ind w:right="252"/>
              <w:spacing w:after="0" w:line="142" w:lineRule="exact"/>
              <w:rPr>
                <w:sz w:val="20"/>
                <w:szCs w:val="20"/>
                <w:color w:val="auto"/>
              </w:rPr>
            </w:pPr>
            <w:r>
              <w:rPr>
                <w:rFonts w:ascii="Arial" w:cs="Arial" w:eastAsia="Arial" w:hAnsi="Arial"/>
                <w:sz w:val="14"/>
                <w:szCs w:val="14"/>
                <w:b w:val="1"/>
                <w:bCs w:val="1"/>
                <w:color w:val="auto"/>
                <w:w w:val="76"/>
              </w:rPr>
              <w:t>thousands)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OPERATING RESULTS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5,027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4,787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14,523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Other operating expenses</w:t>
            </w: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1,323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1,242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4,307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1,278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1,193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1,131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1,134</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3,569</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11,467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10,721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1,295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1,218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3,056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Our share of net income from real estate partnership</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5"/>
          </w:tcPr>
          <w:p>
            <w:pPr>
              <w:jc w:val="right"/>
              <w:ind w:right="252"/>
              <w:spacing w:after="0"/>
              <w:rPr>
                <w:sz w:val="20"/>
                <w:szCs w:val="20"/>
                <w:color w:val="auto"/>
              </w:rPr>
            </w:pPr>
            <w:r>
              <w:rPr>
                <w:rFonts w:ascii="Arial" w:cs="Arial" w:eastAsia="Arial" w:hAnsi="Arial"/>
                <w:sz w:val="14"/>
                <w:szCs w:val="14"/>
                <w:b w:val="1"/>
                <w:bCs w:val="1"/>
                <w:color w:val="auto"/>
                <w:w w:val="83"/>
              </w:rPr>
              <w:t>September 30,</w:t>
            </w:r>
          </w:p>
        </w:tc>
        <w:tc>
          <w:tcPr>
            <w:tcW w:w="120" w:type="dxa"/>
            <w:vAlign w:val="bottom"/>
          </w:tcPr>
          <w:p>
            <w:pPr>
              <w:spacing w:after="0"/>
              <w:rPr>
                <w:sz w:val="24"/>
                <w:szCs w:val="24"/>
                <w:color w:val="auto"/>
              </w:rPr>
            </w:pPr>
          </w:p>
        </w:tc>
        <w:tc>
          <w:tcPr>
            <w:tcW w:w="82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2"/>
              </w:rPr>
              <w:t>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BALANCE SHEETS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Real estate, net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184,590</w:t>
            </w:r>
          </w:p>
        </w:tc>
        <w:tc>
          <w:tcPr>
            <w:tcW w:w="320" w:type="dxa"/>
            <w:vAlign w:val="bottom"/>
          </w:tcPr>
          <w:p>
            <w:pPr>
              <w:spacing w:after="0"/>
              <w:rPr>
                <w:sz w:val="18"/>
                <w:szCs w:val="18"/>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187,910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7,020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194,572</w:t>
            </w: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197,580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Mortgages payable</w:t>
            </w: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81,227</w:t>
            </w:r>
          </w:p>
        </w:tc>
        <w:tc>
          <w:tcPr>
            <w:tcW w:w="320" w:type="dxa"/>
            <w:vAlign w:val="bottom"/>
          </w:tcPr>
          <w:p>
            <w:pPr>
              <w:spacing w:after="0"/>
              <w:rPr>
                <w:sz w:val="18"/>
                <w:szCs w:val="18"/>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81,365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Partners’ capital</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107,337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108,852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partners’ capital</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194,572</w:t>
            </w: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197,580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Our share of unconsolidated debt</w:t>
            </w: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24,368</w:t>
            </w:r>
          </w:p>
        </w:tc>
        <w:tc>
          <w:tcPr>
            <w:tcW w:w="320" w:type="dxa"/>
            <w:vAlign w:val="bottom"/>
          </w:tcPr>
          <w:p>
            <w:pPr>
              <w:spacing w:after="0"/>
              <w:rPr>
                <w:sz w:val="18"/>
                <w:szCs w:val="18"/>
                <w:color w:val="auto"/>
              </w:rPr>
            </w:pPr>
          </w:p>
        </w:tc>
        <w:tc>
          <w:tcPr>
            <w:tcW w:w="3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24,410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Our investment in real estate partnership</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28,826</w:t>
            </w: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D—DEBT</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On January 5, 2009, we repaid the $4.4 million mortgage loan on a small portion of Mercer Mall which had an original maturity date of April 1, 2009. This loan was repaid with funds borrowed on our $300 million revolving credit facility.</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On various dates from January 12, 2009 to April 1, 2009, we purchased and retired $11.1 million of our 8.75% senior notes. These notes were repaid with funds borrowed on our $300 million revolving credit facility.</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April 14, 2009, we closed on a $24.1 million, ten year loan secured by Rollingwood Apartments in Silver Spring, Maryland. The loan bears interest at 5.54% and matures on May 1, 2019.</w:t>
      </w:r>
    </w:p>
    <w:p>
      <w:pPr>
        <w:spacing w:after="0" w:line="132"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On May 4, 2009, we refinanced our then existing $200 million term loan with a new $372 million term loan which bears interest at LIBOR, subject to a 1.50% floor, plus 300 basis points and matures on July 27, 2011. The $200 million term loan and the $135 million outstanding balance on our revolving credit facility were repaid with the proceeds from the new $372 million term loan.</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45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June 4, 2009, we closed on a $139.0 million, five year loan secured by Idylwood Plaza, Loehmann’s Plaza, Leesburg Plaza and Pentagon Row. The loan bears interest at 7.50% and matures on June 5, 2014.</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Also on June 4, 2009, we completed a cash tender offer for our 8.75% senior notes due December 1, 2009. Approximately $40.3 million of notes were purchased and retired at a 2% premium to par value resulting in a net loss on early extinguishment of approximately $1.0 million including costs of the transaction; this amount is included in “early extinguishment of senior notes” in the consolidated statement of operations. The notes were repaid with funds from our $372 million term loan.</w:t>
      </w:r>
    </w:p>
    <w:p>
      <w:pPr>
        <w:spacing w:after="0" w:line="14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On August 13, 2009, we issued $150.0 million of fixed rate senior notes that mature on August 15, 2014 and bear interest at 5.95%. The net proceeds from this note offering after issuance discounts, underwriting fees and other costs were $147.5 million.</w:t>
      </w:r>
    </w:p>
    <w:p>
      <w:pPr>
        <w:spacing w:after="0" w:line="13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and for the three months ended September 30, 2009, the balance outstanding on our revolving credit facility was $0. During the nine months ended September 30, 2009, the maximum amount of borrowings outstanding under our $300 million revolving credit facility was $172.5 million and the weighted average amount of borrowings outstanding was $63.7 million. Our revolving credit facility had a weighted average interest rate, before amortization of debt fees, of 1.37% for the nine months ended September 30, 2009.</w:t>
      </w:r>
    </w:p>
    <w:p>
      <w:pPr>
        <w:spacing w:after="0" w:line="143" w:lineRule="exact"/>
        <w:rPr>
          <w:sz w:val="20"/>
          <w:szCs w:val="20"/>
          <w:color w:val="auto"/>
        </w:rPr>
      </w:pPr>
    </w:p>
    <w:p>
      <w:pPr>
        <w:jc w:val="both"/>
        <w:ind w:right="700"/>
        <w:spacing w:after="0" w:line="259" w:lineRule="auto"/>
        <w:rPr>
          <w:sz w:val="20"/>
          <w:szCs w:val="20"/>
          <w:color w:val="auto"/>
        </w:rPr>
      </w:pPr>
      <w:r>
        <w:rPr>
          <w:rFonts w:ascii="Arial" w:cs="Arial" w:eastAsia="Arial" w:hAnsi="Arial"/>
          <w:sz w:val="18"/>
          <w:szCs w:val="18"/>
          <w:color w:val="auto"/>
        </w:rPr>
        <w:t>Our revolving credit facility, term loan, and certain notes require us to comply with various financial covenants, including the maintenance of minimum shareholders’ equity and debt coverage ratios and a maximum ratio of debt to net worth. As of September 30, 2009, we were in compliance with all loan covenants.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E—FAIR VALUE OF FINANCIAL INSTRUMENTS</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b w:val="1"/>
                <w:bCs w:val="1"/>
                <w:color w:val="auto"/>
              </w:rPr>
              <w:t>September 30, 2009</w:t>
            </w:r>
          </w:p>
        </w:tc>
      </w:tr>
      <w:tr>
        <w:trPr>
          <w:trHeight w:val="129"/>
        </w:trPr>
        <w:tc>
          <w:tcPr>
            <w:tcW w:w="54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66"/>
              <w:spacing w:after="0" w:line="129" w:lineRule="exact"/>
              <w:rPr>
                <w:sz w:val="20"/>
                <w:szCs w:val="20"/>
                <w:color w:val="auto"/>
              </w:rPr>
            </w:pPr>
            <w:r>
              <w:rPr>
                <w:rFonts w:ascii="Arial" w:cs="Arial" w:eastAsia="Arial" w:hAnsi="Arial"/>
                <w:sz w:val="14"/>
                <w:szCs w:val="14"/>
                <w:b w:val="1"/>
                <w:bCs w:val="1"/>
                <w:color w:val="auto"/>
              </w:rPr>
              <w:t>Carrying</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1"/>
        </w:trPr>
        <w:tc>
          <w:tcPr>
            <w:tcW w:w="54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6"/>
              <w:spacing w:after="0"/>
              <w:rPr>
                <w:sz w:val="20"/>
                <w:szCs w:val="20"/>
                <w:color w:val="auto"/>
              </w:rPr>
            </w:pPr>
            <w:r>
              <w:rPr>
                <w:rFonts w:ascii="Arial" w:cs="Arial" w:eastAsia="Arial" w:hAnsi="Arial"/>
                <w:sz w:val="14"/>
                <w:szCs w:val="14"/>
                <w:b w:val="1"/>
                <w:bCs w:val="1"/>
                <w:color w:val="auto"/>
              </w:rPr>
              <w:t>Value</w:t>
            </w:r>
          </w:p>
        </w:tc>
        <w:tc>
          <w:tcPr>
            <w:tcW w:w="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89"/>
              </w:rPr>
              <w:t>Fair Value</w:t>
            </w:r>
          </w:p>
        </w:tc>
      </w:tr>
      <w:tr>
        <w:trPr>
          <w:trHeight w:val="142"/>
        </w:trPr>
        <w:tc>
          <w:tcPr>
            <w:tcW w:w="5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thousands)</w:t>
            </w:r>
          </w:p>
        </w:tc>
        <w:tc>
          <w:tcPr>
            <w:tcW w:w="840" w:type="dxa"/>
            <w:vAlign w:val="bottom"/>
          </w:tcPr>
          <w:p>
            <w:pPr>
              <w:spacing w:after="0"/>
              <w:rPr>
                <w:sz w:val="12"/>
                <w:szCs w:val="12"/>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Mortgages and notes payable</w:t>
            </w:r>
          </w:p>
        </w:tc>
        <w:tc>
          <w:tcPr>
            <w:tcW w:w="3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925,814</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933,607</w:t>
            </w:r>
          </w:p>
        </w:tc>
      </w:tr>
      <w:tr>
        <w:trPr>
          <w:trHeight w:val="222"/>
        </w:trPr>
        <w:tc>
          <w:tcPr>
            <w:tcW w:w="5480" w:type="dxa"/>
            <w:vAlign w:val="bottom"/>
          </w:tcPr>
          <w:p>
            <w:pPr>
              <w:spacing w:after="0"/>
              <w:rPr>
                <w:sz w:val="20"/>
                <w:szCs w:val="20"/>
                <w:color w:val="auto"/>
              </w:rPr>
            </w:pPr>
            <w:r>
              <w:rPr>
                <w:rFonts w:ascii="Arial" w:cs="Arial" w:eastAsia="Arial" w:hAnsi="Arial"/>
                <w:sz w:val="18"/>
                <w:szCs w:val="18"/>
                <w:color w:val="auto"/>
              </w:rPr>
              <w:t>Senior notes and debentures</w:t>
            </w:r>
          </w:p>
        </w:tc>
        <w:tc>
          <w:tcPr>
            <w:tcW w:w="3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1,053,816</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1,041,143</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F—COMMITMENTS AND CONTINGENCIES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are currently a party to various legal proceedings.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16"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In May 2003, a breach of contract action was filed against us which alleged that a one page document entitled “Final Proposal” constituted a ground lease of a parcel of property located adjacent to our Santana Row property and gave the plaintiff the option to require that we acquire the property at a price determined in accordance with a formula included in the “Final Proposal.” The “Final Proposal” explicitly stated that it was subject to approval of the terms and conditions of a formal agreement. A trial as to liability only was held in June 2006 and a jury rendered a verdict against us. A trial on the issue of damages was held in April 2008 and the court issued a tentative ruling in April 2009 awarding damages to the plaintiff of approximately $14.4 million plus interest. Based on this tentative ruling, we estimated interest could range from $2.1 million to $8.4 million. Accordingly, considering all the information available to us on May 6, 2009, when we filed our Form 10-Q for the three months ended March 31, 2009, our best estimate of damages, interest, and other costs was $21.4 million. Accordingly, we increased our accrual for the matter from $0.8 million at December 31, 2008, to $21.4 million at March 31, 2009. The increase in our accrual of $20.6 million is presented as a separate line</w:t>
      </w:r>
    </w:p>
    <w:p>
      <w:pPr>
        <w:spacing w:after="0" w:line="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item in our consolidated statement of operations, and the $21.4 million accrual is included in the “accounts payable and accrued expenses” line item in our consolidated balance sheet as of September 30, 2009.</w:t>
      </w:r>
    </w:p>
    <w:p>
      <w:pPr>
        <w:spacing w:after="0" w:line="13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June 2009, the court issued a final judgment awarding damages of $15.9 million (including interest) plus costs of suit. In July 2009, we and the plaintiff both filed a notice of appeal. The plaintiff also filed reimbursement motions for $2.1 million of legal fees, expert fees, and court costs of which $1.9 million was subsequently denied.</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expect the appeal process will take in excess of a year to complete; all judgments will be stayed until completion of the appeals. Given the uncertainty surrounding the final outcome of the lawsuit, no further adjustment was made to the $21.4 million litigation provision accrual. During the three and nine months ended September 30, 2009, we incurred additional legal and other costs related to the lawsuit and appeal process which are also included in the “litigation provision” line item in the consolidated statement of operations. Furthermore, we continue to believe that the “Final Proposal” which included express language that it was subject to formal documentation was not a binding contract and that we should have no liability whatsoever, and will vigorously defend our position as part of the appeal process.</w:t>
      </w:r>
    </w:p>
    <w:p>
      <w:pPr>
        <w:spacing w:after="0" w:line="14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March 2009, we entered into a settlement agreement with our insurance provider related to repairs we performed on certain condominium units at Santana Row as the result of defective work done by third party contractors. We recovered approximately $0.9 million, net of taxes and fees, which is included in “gain on sale of real estate from discontinued operations” as this is where the related expenses to repair the units were originally recognized.</w:t>
      </w:r>
    </w:p>
    <w:p>
      <w:pPr>
        <w:spacing w:after="0" w:line="10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371,260 operating units are outstanding which have a total fair value of $22.8 million, based on our closing stock price on September 30, 2009.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G—SHAREHOLDERS’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On August 14, 2009, we issued 2.0 million common shares at $57.50 per share, for cash proceeds of approximately $110.0 million net of expenses of the offering.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207" w:lineRule="exact"/>
        <w:rPr>
          <w:sz w:val="20"/>
          <w:szCs w:val="20"/>
          <w:color w:val="auto"/>
        </w:rPr>
      </w:pPr>
    </w:p>
    <w:p>
      <w:pPr>
        <w:jc w:val="center"/>
        <w:ind w:left="872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0</wp:posOffset>
            </wp:positionV>
            <wp:extent cx="17151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ind w:left="9200"/>
        <w:spacing w:after="0"/>
        <w:tabs>
          <w:tab w:leader="none" w:pos="10640" w:val="left"/>
        </w:tabs>
        <w:rPr>
          <w:sz w:val="20"/>
          <w:szCs w:val="20"/>
          <w:color w:val="auto"/>
        </w:rPr>
      </w:pPr>
      <w:r>
        <w:rPr>
          <w:rFonts w:ascii="Arial" w:cs="Arial" w:eastAsia="Arial" w:hAnsi="Arial"/>
          <w:sz w:val="14"/>
          <w:szCs w:val="14"/>
          <w:b w:val="1"/>
          <w:bCs w:val="1"/>
          <w:color w:val="auto"/>
        </w:rPr>
        <w:t>2009</w:t>
      </w:r>
      <w:r>
        <w:rPr>
          <w:sz w:val="20"/>
          <w:szCs w:val="20"/>
          <w:color w:val="auto"/>
        </w:rPr>
        <w:tab/>
      </w:r>
      <w:r>
        <w:rPr>
          <w:rFonts w:ascii="Arial" w:cs="Arial" w:eastAsia="Arial" w:hAnsi="Arial"/>
          <w:sz w:val="14"/>
          <w:szCs w:val="14"/>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-6985</wp:posOffset>
            </wp:positionV>
            <wp:extent cx="17151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ind w:left="8720"/>
        <w:spacing w:after="0"/>
        <w:tabs>
          <w:tab w:leader="none" w:pos="9560" w:val="left"/>
          <w:tab w:leader="none" w:pos="10160" w:val="left"/>
          <w:tab w:leader="none" w:pos="11020" w:val="left"/>
        </w:tabs>
        <w:rPr>
          <w:sz w:val="20"/>
          <w:szCs w:val="20"/>
          <w:color w:val="auto"/>
        </w:rPr>
      </w:pPr>
      <w:r>
        <w:rPr>
          <w:rFonts w:ascii="Arial" w:cs="Arial" w:eastAsia="Arial" w:hAnsi="Arial"/>
          <w:sz w:val="14"/>
          <w:szCs w:val="14"/>
          <w:b w:val="1"/>
          <w:bCs w:val="1"/>
          <w:color w:val="auto"/>
        </w:rPr>
        <w:t>Declared</w:t>
      </w:r>
      <w:r>
        <w:rPr>
          <w:sz w:val="20"/>
          <w:szCs w:val="20"/>
          <w:color w:val="auto"/>
        </w:rPr>
        <w:tab/>
      </w:r>
      <w:r>
        <w:rPr>
          <w:rFonts w:ascii="Arial" w:cs="Arial" w:eastAsia="Arial" w:hAnsi="Arial"/>
          <w:sz w:val="14"/>
          <w:szCs w:val="14"/>
          <w:b w:val="1"/>
          <w:bCs w:val="1"/>
          <w:color w:val="auto"/>
        </w:rPr>
        <w:t>Paid</w:t>
      </w:r>
      <w:r>
        <w:rPr>
          <w:sz w:val="20"/>
          <w:szCs w:val="20"/>
          <w:color w:val="auto"/>
        </w:rPr>
        <w:tab/>
      </w:r>
      <w:r>
        <w:rPr>
          <w:rFonts w:ascii="Arial" w:cs="Arial" w:eastAsia="Arial" w:hAnsi="Arial"/>
          <w:sz w:val="14"/>
          <w:szCs w:val="14"/>
          <w:b w:val="1"/>
          <w:bCs w:val="1"/>
          <w:color w:val="auto"/>
        </w:rPr>
        <w:t>Declared</w:t>
      </w:r>
      <w:r>
        <w:rPr>
          <w:sz w:val="20"/>
          <w:szCs w:val="20"/>
          <w:color w:val="auto"/>
        </w:rPr>
        <w:tab/>
      </w:r>
      <w:r>
        <w:rPr>
          <w:rFonts w:ascii="Arial" w:cs="Arial" w:eastAsia="Arial" w:hAnsi="Arial"/>
          <w:sz w:val="12"/>
          <w:szCs w:val="12"/>
          <w:b w:val="1"/>
          <w:bCs w:val="1"/>
          <w:color w:val="auto"/>
        </w:rPr>
        <w:t>Paid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8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Common shares</w:t>
            </w: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$ 1.960</w:t>
            </w:r>
          </w:p>
        </w:tc>
        <w:tc>
          <w:tcPr>
            <w:tcW w:w="120" w:type="dxa"/>
            <w:vAlign w:val="bottom"/>
            <w:shd w:val="clear" w:color="auto" w:fill="CCEEFF"/>
          </w:tcPr>
          <w:p>
            <w:pPr>
              <w:spacing w:after="0"/>
              <w:rPr>
                <w:sz w:val="16"/>
                <w:szCs w:val="16"/>
                <w:color w:val="auto"/>
              </w:rPr>
            </w:pPr>
          </w:p>
        </w:tc>
        <w:tc>
          <w:tcPr>
            <w:tcW w:w="62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$1.950</w:t>
            </w:r>
          </w:p>
        </w:tc>
        <w:tc>
          <w:tcPr>
            <w:tcW w:w="74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$ 1.870</w:t>
            </w:r>
          </w:p>
        </w:tc>
        <w:tc>
          <w:tcPr>
            <w:tcW w:w="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$1.830</w:t>
            </w:r>
          </w:p>
        </w:tc>
        <w:tc>
          <w:tcPr>
            <w:tcW w:w="20" w:type="dxa"/>
            <w:vAlign w:val="bottom"/>
          </w:tcPr>
          <w:p>
            <w:pPr>
              <w:spacing w:after="0"/>
              <w:rPr>
                <w:sz w:val="16"/>
                <w:szCs w:val="16"/>
                <w:color w:val="auto"/>
              </w:rPr>
            </w:pPr>
          </w:p>
        </w:tc>
      </w:tr>
      <w:tr>
        <w:trPr>
          <w:trHeight w:val="222"/>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5.417% Series 1 Cumulative Convertible Preferred</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$ 1.016</w:t>
            </w:r>
          </w:p>
        </w:tc>
        <w:tc>
          <w:tcPr>
            <w:tcW w:w="120" w:type="dxa"/>
            <w:vAlign w:val="bottom"/>
          </w:tcPr>
          <w:p>
            <w:pPr>
              <w:spacing w:after="0"/>
              <w:rPr>
                <w:sz w:val="19"/>
                <w:szCs w:val="19"/>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$1.016</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$ 1.016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$1.016</w:t>
            </w:r>
          </w:p>
        </w:tc>
        <w:tc>
          <w:tcPr>
            <w:tcW w:w="20" w:type="dxa"/>
            <w:vAlign w:val="bottom"/>
          </w:tcPr>
          <w:p>
            <w:pPr>
              <w:spacing w:after="0"/>
              <w:rPr>
                <w:sz w:val="19"/>
                <w:szCs w:val="19"/>
                <w:color w:val="auto"/>
              </w:rPr>
            </w:pPr>
          </w:p>
        </w:tc>
      </w:tr>
      <w:tr>
        <w:trPr>
          <w:trHeight w:val="451"/>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NOTE H—COMPONENTS OF RENTAL INCOME</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5880" w:type="dxa"/>
            <w:vAlign w:val="bottom"/>
            <w:gridSpan w:val="2"/>
          </w:tcPr>
          <w:p>
            <w:pPr>
              <w:spacing w:after="0"/>
              <w:rPr>
                <w:sz w:val="20"/>
                <w:szCs w:val="20"/>
                <w:color w:val="auto"/>
              </w:rPr>
            </w:pPr>
            <w:r>
              <w:rPr>
                <w:rFonts w:ascii="Arial" w:cs="Arial" w:eastAsia="Arial" w:hAnsi="Arial"/>
                <w:sz w:val="18"/>
                <w:szCs w:val="18"/>
                <w:color w:val="auto"/>
              </w:rPr>
              <w:t>The principal components of rental income are as follows:</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86"/>
              </w:rPr>
              <w:t>Nine months Ended</w:t>
            </w: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bottom w:val="single" w:sz="8" w:color="auto"/>
            </w:tcBorders>
          </w:tcPr>
          <w:p>
            <w:pPr>
              <w:spacing w:after="0"/>
              <w:rPr>
                <w:sz w:val="12"/>
                <w:szCs w:val="12"/>
                <w:color w:val="auto"/>
              </w:rPr>
            </w:pPr>
          </w:p>
        </w:tc>
        <w:tc>
          <w:tcPr>
            <w:tcW w:w="340" w:type="dxa"/>
            <w:vAlign w:val="bottom"/>
            <w:gridSpan w:val="2"/>
          </w:tcPr>
          <w:p>
            <w:pPr>
              <w:spacing w:after="0"/>
              <w:rPr>
                <w:sz w:val="12"/>
                <w:szCs w:val="12"/>
                <w:color w:val="auto"/>
              </w:rPr>
            </w:pPr>
          </w:p>
        </w:tc>
        <w:tc>
          <w:tcPr>
            <w:tcW w:w="4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(In</w:t>
            </w:r>
          </w:p>
        </w:tc>
        <w:tc>
          <w:tcPr>
            <w:tcW w:w="620" w:type="dxa"/>
            <w:vAlign w:val="bottom"/>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w w:val="74"/>
              </w:rPr>
              <w:t>thousands)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Minimum rents</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Retail and commercial</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93,312</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  92,306</w:t>
            </w:r>
          </w:p>
        </w:tc>
        <w:tc>
          <w:tcPr>
            <w:tcW w:w="1020" w:type="dxa"/>
            <w:vAlign w:val="bottom"/>
            <w:gridSpan w:val="6"/>
          </w:tcPr>
          <w:p>
            <w:pPr>
              <w:jc w:val="right"/>
              <w:spacing w:after="0"/>
              <w:rPr>
                <w:sz w:val="20"/>
                <w:szCs w:val="20"/>
                <w:color w:val="auto"/>
              </w:rPr>
            </w:pPr>
            <w:r>
              <w:rPr>
                <w:rFonts w:ascii="Arial" w:cs="Arial" w:eastAsia="Arial" w:hAnsi="Arial"/>
                <w:sz w:val="18"/>
                <w:szCs w:val="18"/>
                <w:color w:val="auto"/>
              </w:rPr>
              <w:t>$ 280,084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$ 272,834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4,845</w:t>
            </w:r>
          </w:p>
        </w:tc>
        <w:tc>
          <w:tcPr>
            <w:tcW w:w="10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15,918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12,970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Cost reimbursement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24,304</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26,604</w:t>
            </w:r>
          </w:p>
        </w:tc>
        <w:tc>
          <w:tcPr>
            <w:tcW w:w="1020" w:type="dxa"/>
            <w:vAlign w:val="bottom"/>
            <w:gridSpan w:val="6"/>
          </w:tcPr>
          <w:p>
            <w:pPr>
              <w:jc w:val="right"/>
              <w:spacing w:after="0"/>
              <w:rPr>
                <w:sz w:val="20"/>
                <w:szCs w:val="20"/>
                <w:color w:val="auto"/>
              </w:rPr>
            </w:pPr>
            <w:r>
              <w:rPr>
                <w:rFonts w:ascii="Arial" w:cs="Arial" w:eastAsia="Arial" w:hAnsi="Arial"/>
                <w:sz w:val="18"/>
                <w:szCs w:val="18"/>
                <w:color w:val="auto"/>
              </w:rPr>
              <w:t>74,277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75,885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Percentage rent</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3,811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w:t>
            </w:r>
          </w:p>
        </w:tc>
        <w:tc>
          <w:tcPr>
            <w:tcW w:w="340" w:type="dxa"/>
            <w:vAlign w:val="bottom"/>
          </w:tcPr>
          <w:p>
            <w:pPr>
              <w:spacing w:after="0"/>
              <w:rPr>
                <w:sz w:val="19"/>
                <w:szCs w:val="19"/>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5,375</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4,187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126,169</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$ 126,594</w:t>
            </w:r>
          </w:p>
        </w:tc>
        <w:tc>
          <w:tcPr>
            <w:tcW w:w="10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$ 379,465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$ 371,304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Minimum rents include $1.3 million and $1.4 million for the three months ended September 30, 2009 and 2008, respectively, and $3.9 million and $4.2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2009 and 2008, respectively, to recognize minimum rents on a straight-line basis. In addition, minimum rents include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$0.4 million and $0.6 million for the three months ended September 30, 2009 and 2008, respectively, and $1.1 million and $1.9 million for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2009 and 2008, respectively, to recognize income from the amortization of in-place leases. Residential minimum rents consist of the rental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amounts for residential units at Rollingwood Apartments, the Crest at Congressional Plaza Apartments, Santana Row, and Arlington East (Bethesda Row).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first rental units at Arlington East were delivered and became rent paying in late May 2008.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I—SHARE-BASED COMPENSATION PLANS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5"/>
          </w:tcPr>
          <w:p>
            <w:pPr>
              <w:jc w:val="right"/>
              <w:ind w:right="512"/>
              <w:spacing w:after="0"/>
              <w:rPr>
                <w:sz w:val="20"/>
                <w:szCs w:val="20"/>
                <w:color w:val="auto"/>
              </w:rPr>
            </w:pPr>
            <w:r>
              <w:rPr>
                <w:rFonts w:ascii="Arial" w:cs="Arial" w:eastAsia="Arial" w:hAnsi="Arial"/>
                <w:sz w:val="14"/>
                <w:szCs w:val="14"/>
                <w:b w:val="1"/>
                <w:bCs w:val="1"/>
                <w:color w:val="auto"/>
                <w:w w:val="95"/>
              </w:rPr>
              <w:t>Three Months Ended</w:t>
            </w:r>
          </w:p>
        </w:tc>
        <w:tc>
          <w:tcPr>
            <w:tcW w:w="15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5"/>
              </w:rPr>
              <w:t>Nine months Ended</w:t>
            </w:r>
          </w:p>
        </w:tc>
        <w:tc>
          <w:tcPr>
            <w:tcW w:w="0" w:type="dxa"/>
            <w:vAlign w:val="bottom"/>
          </w:tcPr>
          <w:p>
            <w:pPr>
              <w:spacing w:after="0"/>
              <w:rPr>
                <w:sz w:val="1"/>
                <w:szCs w:val="1"/>
                <w:color w:val="auto"/>
              </w:rPr>
            </w:pPr>
          </w:p>
        </w:tc>
      </w:tr>
      <w:tr>
        <w:trPr>
          <w:trHeight w:val="161"/>
        </w:trPr>
        <w:tc>
          <w:tcPr>
            <w:tcW w:w="7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5"/>
          </w:tcPr>
          <w:p>
            <w:pPr>
              <w:jc w:val="right"/>
              <w:ind w:right="712"/>
              <w:spacing w:after="0"/>
              <w:rPr>
                <w:sz w:val="20"/>
                <w:szCs w:val="20"/>
                <w:color w:val="auto"/>
              </w:rPr>
            </w:pPr>
            <w:r>
              <w:rPr>
                <w:rFonts w:ascii="Arial" w:cs="Arial" w:eastAsia="Arial" w:hAnsi="Arial"/>
                <w:sz w:val="14"/>
                <w:szCs w:val="14"/>
                <w:b w:val="1"/>
                <w:bCs w:val="1"/>
                <w:color w:val="auto"/>
              </w:rPr>
              <w:t>September 30,</w:t>
            </w:r>
          </w:p>
        </w:tc>
        <w:tc>
          <w:tcPr>
            <w:tcW w:w="15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76"/>
              </w:rPr>
              <w:t>thousands)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incurred</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440"/>
              <w:spacing w:after="0"/>
              <w:rPr>
                <w:sz w:val="20"/>
                <w:szCs w:val="20"/>
                <w:color w:val="auto"/>
              </w:rPr>
            </w:pPr>
            <w:r>
              <w:rPr>
                <w:rFonts w:ascii="Arial" w:cs="Arial" w:eastAsia="Arial" w:hAnsi="Arial"/>
                <w:sz w:val="18"/>
                <w:szCs w:val="18"/>
                <w:color w:val="auto"/>
              </w:rPr>
              <w:t>Grants of common shares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$ 1,357</w:t>
            </w:r>
          </w:p>
        </w:tc>
        <w:tc>
          <w:tcPr>
            <w:tcW w:w="240" w:type="dxa"/>
            <w:vAlign w:val="bottom"/>
          </w:tcPr>
          <w:p>
            <w:pPr>
              <w:spacing w:after="0"/>
              <w:rPr>
                <w:sz w:val="18"/>
                <w:szCs w:val="18"/>
                <w:color w:val="auto"/>
              </w:rPr>
            </w:pPr>
          </w:p>
        </w:tc>
        <w:tc>
          <w:tcPr>
            <w:tcW w:w="1180" w:type="dxa"/>
            <w:vAlign w:val="bottom"/>
            <w:gridSpan w:val="3"/>
          </w:tcPr>
          <w:p>
            <w:pPr>
              <w:jc w:val="right"/>
              <w:ind w:right="372"/>
              <w:spacing w:after="0"/>
              <w:rPr>
                <w:sz w:val="20"/>
                <w:szCs w:val="20"/>
                <w:color w:val="auto"/>
              </w:rPr>
            </w:pPr>
            <w:r>
              <w:rPr>
                <w:rFonts w:ascii="Arial" w:cs="Arial" w:eastAsia="Arial" w:hAnsi="Arial"/>
                <w:sz w:val="18"/>
                <w:szCs w:val="18"/>
                <w:color w:val="auto"/>
              </w:rPr>
              <w:t>$ 1,544</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$4,342</w:t>
            </w:r>
          </w:p>
        </w:tc>
        <w:tc>
          <w:tcPr>
            <w:tcW w:w="24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$4,995</w:t>
            </w: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Grants of options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313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1,681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372"/>
              <w:spacing w:after="0"/>
              <w:rPr>
                <w:sz w:val="20"/>
                <w:szCs w:val="20"/>
                <w:color w:val="auto"/>
              </w:rPr>
            </w:pPr>
            <w:r>
              <w:rPr>
                <w:rFonts w:ascii="Arial" w:cs="Arial" w:eastAsia="Arial" w:hAnsi="Arial"/>
                <w:sz w:val="18"/>
                <w:szCs w:val="18"/>
                <w:color w:val="auto"/>
              </w:rPr>
              <w:t>1,857</w:t>
            </w:r>
          </w:p>
        </w:tc>
        <w:tc>
          <w:tcPr>
            <w:tcW w:w="500" w:type="dxa"/>
            <w:vAlign w:val="bottom"/>
          </w:tcPr>
          <w:p>
            <w:pPr>
              <w:jc w:val="right"/>
              <w:spacing w:after="0"/>
              <w:rPr>
                <w:sz w:val="20"/>
                <w:szCs w:val="20"/>
                <w:color w:val="auto"/>
              </w:rPr>
            </w:pPr>
            <w:r>
              <w:rPr>
                <w:rFonts w:ascii="Arial" w:cs="Arial" w:eastAsia="Arial" w:hAnsi="Arial"/>
                <w:sz w:val="18"/>
                <w:szCs w:val="18"/>
                <w:color w:val="auto"/>
              </w:rPr>
              <w:t>5,449</w:t>
            </w:r>
          </w:p>
        </w:tc>
        <w:tc>
          <w:tcPr>
            <w:tcW w:w="24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6,034</w:t>
            </w: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Capitalized share-based compensation</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(248)</w:t>
            </w:r>
          </w:p>
        </w:tc>
        <w:tc>
          <w:tcPr>
            <w:tcW w:w="118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(306)</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(704)</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Arial" w:cs="Arial" w:eastAsia="Arial" w:hAnsi="Arial"/>
                <w:sz w:val="18"/>
                <w:szCs w:val="18"/>
                <w:color w:val="auto"/>
              </w:rPr>
              <w:t>Share-based compensation expense</w:t>
            </w: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40" w:type="dxa"/>
            <w:vAlign w:val="bottom"/>
            <w:vMerge w:val="continue"/>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$ 1,433</w:t>
            </w:r>
          </w:p>
        </w:tc>
        <w:tc>
          <w:tcPr>
            <w:tcW w:w="240" w:type="dxa"/>
            <w:vAlign w:val="bottom"/>
          </w:tcPr>
          <w:p>
            <w:pPr>
              <w:spacing w:after="0"/>
              <w:rPr>
                <w:sz w:val="19"/>
                <w:szCs w:val="19"/>
                <w:color w:val="auto"/>
              </w:rPr>
            </w:pPr>
          </w:p>
        </w:tc>
        <w:tc>
          <w:tcPr>
            <w:tcW w:w="1180" w:type="dxa"/>
            <w:vAlign w:val="bottom"/>
            <w:gridSpan w:val="3"/>
          </w:tcPr>
          <w:p>
            <w:pPr>
              <w:jc w:val="right"/>
              <w:ind w:right="372"/>
              <w:spacing w:after="0"/>
              <w:rPr>
                <w:sz w:val="20"/>
                <w:szCs w:val="20"/>
                <w:color w:val="auto"/>
              </w:rPr>
            </w:pPr>
            <w:r>
              <w:rPr>
                <w:rFonts w:ascii="Arial" w:cs="Arial" w:eastAsia="Arial" w:hAnsi="Arial"/>
                <w:sz w:val="18"/>
                <w:szCs w:val="18"/>
                <w:color w:val="auto"/>
              </w:rPr>
              <w:t>$ 1,551</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4,745</w:t>
            </w:r>
          </w:p>
        </w:tc>
        <w:tc>
          <w:tcPr>
            <w:tcW w:w="24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5,125</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J—EARNINGS PER SHARE</w:t>
      </w:r>
    </w:p>
    <w:p>
      <w:pPr>
        <w:spacing w:after="0" w:line="96"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In June 2008, the FASB issued a new accounting standard which requires unvested share-based payment awards that contain non-forfeitable rights to receive dividends (whether paid or unpaid) to be treated as participating securities and should be included in computation of EPS pursuant to the two-class method. As part of our stock based compensation program, we issue restricted shares which typically vest over a three to six year period; these shares have non-forfeitable rights to dividends immediately after issuance. Prior to January 1, 2009, we excluded the unvested shares from the basic EPS calculation and included them in diluted earnings per share using the treasury stock method.</w:t>
      </w:r>
    </w:p>
    <w:p>
      <w:pPr>
        <w:spacing w:after="0" w:line="116" w:lineRule="exact"/>
        <w:rPr>
          <w:sz w:val="20"/>
          <w:szCs w:val="20"/>
          <w:color w:val="auto"/>
        </w:rPr>
      </w:pPr>
    </w:p>
    <w:p>
      <w:pPr>
        <w:jc w:val="both"/>
        <w:ind w:right="140"/>
        <w:spacing w:after="0" w:line="303" w:lineRule="auto"/>
        <w:rPr>
          <w:sz w:val="20"/>
          <w:szCs w:val="20"/>
          <w:color w:val="auto"/>
        </w:rPr>
      </w:pPr>
      <w:r>
        <w:rPr>
          <w:rFonts w:ascii="Arial" w:cs="Arial" w:eastAsia="Arial" w:hAnsi="Arial"/>
          <w:sz w:val="15"/>
          <w:szCs w:val="15"/>
          <w:color w:val="auto"/>
        </w:rPr>
        <w:t>Effective January 1, 2009, we adopted the new accounting standard and have calculated earnings per share under the two-class method. The two-class method is an earnings allocation methodology whereby earnings per share for each class of common stock and participating securities is calculated according to dividends declared and participation rights in undistributed earnings. For each of the three and nine months ended September 30, 2009 and 2008, we had approximately</w:t>
      </w:r>
    </w:p>
    <w:p>
      <w:pPr>
        <w:spacing w:after="0" w:line="1"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0.2 million weighted average unvested shares outstanding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44"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the dilutive EPS calculation, dilutive stock options were calculated using the treasury stock method consistent with prior periods; certain stock options have been excluded as they were anti-dilutive. The conversions of downREIT operating partnership units and Series 1 Preferred Shares are anti-dilutive for all periods presented and accordingly, have been excluded from the weighted average common shares used to compute diluted earnings per share.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EPS for prior periods has been restated to conform to the requirements of the new accounting standard. The implementation did not result in a significant change to basic or diluted earnings per share for the periods presented. The following table provides a reconciliation between basic and diluted earnings per share: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378"/>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15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578"/>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5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2008</w:t>
            </w: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4"/>
              </w:rPr>
              <w:t>thousands,</w:t>
            </w:r>
          </w:p>
        </w:tc>
        <w:tc>
          <w:tcPr>
            <w:tcW w:w="320" w:type="dxa"/>
            <w:vAlign w:val="bottom"/>
          </w:tcPr>
          <w:p>
            <w:pPr>
              <w:jc w:val="right"/>
              <w:spacing w:after="0"/>
              <w:rPr>
                <w:sz w:val="20"/>
                <w:szCs w:val="20"/>
                <w:color w:val="auto"/>
              </w:rPr>
            </w:pPr>
            <w:r>
              <w:rPr>
                <w:rFonts w:ascii="Arial" w:cs="Arial" w:eastAsia="Arial" w:hAnsi="Arial"/>
                <w:sz w:val="12"/>
                <w:szCs w:val="12"/>
                <w:b w:val="1"/>
                <w:bCs w:val="1"/>
                <w:color w:val="auto"/>
                <w:w w:val="78"/>
              </w:rPr>
              <w:t>except</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per share</w:t>
            </w:r>
          </w:p>
        </w:tc>
        <w:tc>
          <w:tcPr>
            <w:tcW w:w="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data)</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w w:val="87"/>
              </w:rPr>
              <w:t>28,839</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30,631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68,990</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90,956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52"/>
              <w:spacing w:after="0"/>
              <w:rPr>
                <w:sz w:val="20"/>
                <w:szCs w:val="20"/>
                <w:color w:val="auto"/>
              </w:rPr>
            </w:pPr>
            <w:r>
              <w:rPr>
                <w:rFonts w:ascii="Arial" w:cs="Arial" w:eastAsia="Arial" w:hAnsi="Arial"/>
                <w:sz w:val="18"/>
                <w:szCs w:val="18"/>
                <w:color w:val="auto"/>
                <w:w w:val="94"/>
              </w:rPr>
              <w:t>(1,406)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98"/>
              <w:spacing w:after="0"/>
              <w:rPr>
                <w:sz w:val="20"/>
                <w:szCs w:val="20"/>
                <w:color w:val="auto"/>
              </w:rPr>
            </w:pPr>
            <w:r>
              <w:rPr>
                <w:rFonts w:ascii="Arial" w:cs="Arial" w:eastAsia="Arial" w:hAnsi="Arial"/>
                <w:sz w:val="18"/>
                <w:szCs w:val="18"/>
                <w:color w:val="auto"/>
                <w:w w:val="91"/>
              </w:rPr>
              <w:t>(1,315)</w:t>
            </w:r>
          </w:p>
        </w:tc>
        <w:tc>
          <w:tcPr>
            <w:tcW w:w="100" w:type="dxa"/>
            <w:vAlign w:val="bottom"/>
          </w:tcPr>
          <w:p>
            <w:pPr>
              <w:spacing w:after="0"/>
              <w:rPr>
                <w:sz w:val="18"/>
                <w:szCs w:val="18"/>
                <w:color w:val="auto"/>
              </w:rPr>
            </w:pPr>
          </w:p>
        </w:tc>
        <w:tc>
          <w:tcPr>
            <w:tcW w:w="820" w:type="dxa"/>
            <w:vAlign w:val="bottom"/>
            <w:gridSpan w:val="2"/>
          </w:tcPr>
          <w:p>
            <w:pPr>
              <w:jc w:val="right"/>
              <w:ind w:right="212"/>
              <w:spacing w:after="0"/>
              <w:rPr>
                <w:sz w:val="20"/>
                <w:szCs w:val="20"/>
                <w:color w:val="auto"/>
              </w:rPr>
            </w:pPr>
            <w:r>
              <w:rPr>
                <w:rFonts w:ascii="Arial" w:cs="Arial" w:eastAsia="Arial" w:hAnsi="Arial"/>
                <w:sz w:val="18"/>
                <w:szCs w:val="18"/>
                <w:color w:val="auto"/>
                <w:w w:val="91"/>
              </w:rPr>
              <w:t>(4,172)</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Less: Earnings allocated to unvested shares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(381)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21"/>
        </w:trPr>
        <w:tc>
          <w:tcPr>
            <w:tcW w:w="6520" w:type="dxa"/>
            <w:vAlign w:val="bottom"/>
            <w:gridSpan w:val="2"/>
          </w:tcPr>
          <w:p>
            <w:pPr>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27,168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29,050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64,031</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86,108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Results from discontinued operations</w:t>
            </w:r>
          </w:p>
        </w:tc>
        <w:tc>
          <w:tcPr>
            <w:tcW w:w="1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7,786</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20" w:type="dxa"/>
            <w:vAlign w:val="bottom"/>
            <w:gridSpan w:val="2"/>
          </w:tcPr>
          <w:p>
            <w:pPr>
              <w:spacing w:after="0"/>
              <w:rPr>
                <w:sz w:val="20"/>
                <w:szCs w:val="20"/>
                <w:color w:val="auto"/>
              </w:rPr>
            </w:pPr>
            <w:r>
              <w:rPr>
                <w:rFonts w:ascii="Arial" w:cs="Arial" w:eastAsia="Arial" w:hAnsi="Arial"/>
                <w:sz w:val="18"/>
                <w:szCs w:val="18"/>
                <w:color w:val="auto"/>
              </w:rPr>
              <w:t>Net income available for common shareholders, basic and diluted</w:t>
            </w:r>
          </w:p>
        </w:tc>
        <w:tc>
          <w:tcPr>
            <w:tcW w:w="1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w w:val="87"/>
              </w:rPr>
              <w:t>27,168</w:t>
            </w:r>
          </w:p>
        </w:tc>
        <w:tc>
          <w:tcPr>
            <w:tcW w:w="240" w:type="dxa"/>
            <w:vAlign w:val="bottom"/>
            <w:gridSpan w:val="2"/>
          </w:tcPr>
          <w:p>
            <w:pPr>
              <w:ind w:left="140"/>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36,836</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65,547</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95,270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Weighted average common shares outstanding—basic</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w w:val="87"/>
              </w:rPr>
              <w:t>60,016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58,720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59,264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58,624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ind w:left="420"/>
              <w:spacing w:after="0"/>
              <w:rPr>
                <w:sz w:val="20"/>
                <w:szCs w:val="20"/>
                <w:color w:val="auto"/>
              </w:rPr>
            </w:pPr>
            <w:r>
              <w:rPr>
                <w:rFonts w:ascii="Arial" w:cs="Arial" w:eastAsia="Arial" w:hAnsi="Arial"/>
                <w:sz w:val="18"/>
                <w:szCs w:val="18"/>
                <w:color w:val="auto"/>
              </w:rPr>
              <w:t>Stock options</w:t>
            </w:r>
          </w:p>
        </w:tc>
        <w:tc>
          <w:tcPr>
            <w:tcW w:w="1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outstanding—diluted</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87"/>
              </w:rPr>
              <w:t>60,140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58,921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59,387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58,873</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2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0.45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0.45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DILUTED</w:t>
            </w: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2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0.45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1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0.45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Income from continuing operations attributable to the Trust</w:t>
            </w: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20" w:type="dxa"/>
            <w:vAlign w:val="bottom"/>
            <w:gridSpan w:val="2"/>
            <w:vMerge w:val="continue"/>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w w:val="87"/>
              </w:rPr>
              <w:t>27,433</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29,316</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64,818</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86,900</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K—SUBSEQUENT EVENTS</w:t>
      </w:r>
    </w:p>
    <w:p>
      <w:pPr>
        <w:spacing w:after="0" w:line="96"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In October 2009, we acquired 16.6 acres of riverfront property at Assembly Square in Sommerville, Massachusetts, for use in future development in exchange for $8 million and the sale of 11.9 acres of adjacent inland land.</w:t>
      </w:r>
    </w:p>
    <w:p>
      <w:pPr>
        <w:spacing w:after="0" w:line="13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October 27, 2009, we repaid $100 million of our existing $372 million term loan. The term loan has an original maturity date of July 27, 2011, however, the loan agreement includes an option to prepay the loan, in whole or in part, at any time without premium or penalty. Due to this repayment, approximately $1.4 million of unamortized debt fees were expensed in October 2009.</w:t>
      </w:r>
    </w:p>
    <w:p>
      <w:pPr>
        <w:spacing w:after="0" w:line="256" w:lineRule="exact"/>
        <w:rPr>
          <w:sz w:val="20"/>
          <w:szCs w:val="20"/>
          <w:color w:val="auto"/>
        </w:rPr>
      </w:pPr>
    </w:p>
    <w:p>
      <w:pPr>
        <w:ind w:right="130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2008 filed with the Securities and Exchange Commission on February 26, 2009 and amended on June 25, 2009.</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(as amended) for the year ended December 31, 2008, before making any investments in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September 30, 2009, we owned or had a majority interest in community and neighborhood shopping centers and mixed-use projects which are operated as 84 predominantly retail real estate properties comprising approximately 18.2 million square feet. In total, the real estate properties were 94.2% leased and 93.1% occupied at September 30, 2009. A joint venture in which we own a 30% interest owned seven retail real estate properties totaling approximately 1.0 million square feet as of September 30, 2009. In total, the joint venture properties in which we own an interest were 85.6% leased and occupied at September 30,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Property Disposition</w:t>
      </w:r>
    </w:p>
    <w:p>
      <w:pPr>
        <w:spacing w:after="0" w:line="96" w:lineRule="exact"/>
        <w:rPr>
          <w:sz w:val="20"/>
          <w:szCs w:val="20"/>
          <w:color w:val="auto"/>
        </w:rPr>
      </w:pPr>
    </w:p>
    <w:p>
      <w:pPr>
        <w:ind w:right="440"/>
        <w:spacing w:after="0" w:line="370" w:lineRule="auto"/>
        <w:rPr>
          <w:sz w:val="20"/>
          <w:szCs w:val="20"/>
          <w:color w:val="auto"/>
        </w:rPr>
      </w:pPr>
      <w:r>
        <w:rPr>
          <w:rFonts w:ascii="Arial" w:cs="Arial" w:eastAsia="Arial" w:hAnsi="Arial"/>
          <w:sz w:val="15"/>
          <w:szCs w:val="15"/>
          <w:color w:val="auto"/>
        </w:rPr>
        <w:t>On June 26, 2009, one of our tenants acquired from us our fee interest in a land parcel in White Marsh, Maryland, that was subject to a long-term ground lease. The ground lease involved an option for the tenant to purchase the fee interest. The sales price was $2.1 million and resulted in a gain of $0.4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Significant Debt, Equity and Other Transactions</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January 5, 2009, we repaid the $4.4 million mortgage loan on a small portion of Mercer Mall which had an original maturity date of April 1, 2009. This loan was repaid with funds borrowed on our $300 million revolving credit facility.</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various dates from January 12, 2009 to April 1, 2009, we purchased and retired $11.1 million of our 8.75% senior notes. These notes were repaid with funds borrowed on our $300 million revolving credit facility.</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On April 14, 2009, we closed on a $24.1 million, ten year loan secured by Rollingwood Apartments in Silver Spring, Maryland. The loan bears interest at 5.54% and matures on May 1, 2019.</w:t>
      </w:r>
    </w:p>
    <w:p>
      <w:pPr>
        <w:spacing w:after="0" w:line="132"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On May 4, 2009, we refinanced our then existing $200 million term loan with a new $372 million term loan which bears interest at LIBOR, subject to a 1.50% floor, plus 300 basis points and matures on July 27, 2011. The $200 million term loan and the $135 million outstanding balance on our revolving credit facility were repaid with the proceeds from the new $372 million term loan.</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On June 4, 2009, we closed on a $139.0 million, five year loan secured by Idylwood Plaza, Loehmann’s Plaza, Leesburg Plaza and Pentagon Row. The loan bears interest at 7.50% and matures on June 5, 2014.</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Also on June 4, 2009, we completed a cash tender offer for our 8.75% senior notes due December 1, 2009. Approximately $40.3 million of notes were purchased and retired at a 2% premium to par value resulting in a net loss on early extinguishment of approximately $1.0 million including costs of the transaction; this amount is included in “early extinguishment of senior notes” in the consolidated statement of operations. The notes were repaid with funds from our $372 million term loan.</w:t>
      </w:r>
    </w:p>
    <w:p>
      <w:pPr>
        <w:spacing w:after="0" w:line="14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On August 13, 2009, we issued $150.0 million of fixed rate senior notes that mature on August 15, 2014 and bear interest at 5.95%. The net proceeds from this note offering after issuance discounts, underwriting fees and other costs were $147.5 million.</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On August 14, 2009, we issued 2.0 million common shares at $57.50 per share, for cash proceeds of approximately $110.0 million net of expenses of the offering.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Provision</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May 2003, a breach of contract action was filed against us which alleged that a one page document entitled “Final Proposal” constituted a ground lease of a parcel of property located adjacent to our Santana Row property and gave the plaintiff the option to require that we acquire the property at a price determined in accordance with a formula included in the “Final Proposal.” The “Final Proposal” explicitly stated that it was subject to approval of the terms and conditions of a formal agreement. A trial as to liability only was held in June 2006 and a jury rendered a verdict against us. A trial on the issue of damages was held in April 2008 and the court issued a tentative ruling in April 2009 awarding damages to the plaintiff of approximately $14.4 million plus interest. Based on this tentative ruling, we estimated interest could range from $2.1 million to $8.4 million. Accordingly, considering all the information available to us on May 6, 2009, when we filed our Form 10-Q for the three months ended March 31, 2009, our best estimate of damages, interest, and other costs was $21.4 million. Accordingly, we increased our accrual for the matter from $0.8 million at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December 31, 2008, to $21.4 million at March 31, 2009. The increase in our accrual of $20.6 million is presented as a separate line item in our consolidated statement of operations, and the $21.4 million accrual is included in the “accounts payable and accrued expenses” line item in our consolidated balance sheet as of September 30, 2009.</w:t>
      </w:r>
    </w:p>
    <w:p>
      <w:pPr>
        <w:spacing w:after="0" w:line="14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June 2009, the court issued a final judgment awarding damages of $15.9 million (including interest) plus costs of suit. In July 2009, we and the plaintiff both filed a notice of appeal. The plaintiff also filed reimbursement motions for $2.1 million of legal fees, expert fees, and court costs of which $1.9 million was subsequently denied. We expect the appeal process will take in excess of a year to complete; all judgments will be stayed until completion of the appeals. Given the uncertainty surrounding the final outcome of the lawsuit, no further adjustment was made to the $21.4 million litigation provision accrual. During the three and nine months ended September 30, 2009, we incurred additional legal and other costs related to the lawsuit and appeal process which are also included in the “litigation provision” line item in the consolidated statement of operations. Furthermore, we continue to believe that the “Final Proposal” which included express language that it was subject to formal documentation was not a binding contract and that we should have no liability whatsoever, and will vigorously defend our position as part of the appeal process.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9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same-center portfolio,</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portfolio from property redevelopments,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same-center growth is primarily driven by increases in rental rates on new leases and lease renewals. Over the long-term, the infill nature and strong demographics of our properties provide a strategic advantage allowing us to maintain relatively high occupancy and increase rental rates. The current economic environment may, however, impact our ability to increase rental rates in the short-term and may require that we decrease some rental rates in the short-term. We seek to maintain a mix of strong national, regional, and local retailers. At September 30, 2009, no single tenant accounted for more than 2.6% of annualized base rent.</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properties are located in densely populated 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and believe that the decrease in occupancy we have experienced beginning in 2008 as a result of the economic recession will provide future redevelopment opportunities that may not otherwise have been available.</w:t>
      </w:r>
    </w:p>
    <w:p>
      <w:pPr>
        <w:spacing w:after="0" w:line="11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continue to review acquisition opportunities in our primary markets that complement our portfolio and provide long term opportunities. Generally, our acquisitions do not initially contribute significantly to earnings growth; however, they provide long 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current downturn in the economy may impact the success of our tenants’ retail operations and therefore the amount of rent and expense reimbursements we receive from our tenants. We have seen some tenants experiencing declining sales, vacating early, or filing for bankruptcy, as well as seeking rent relief from us as landlord. Any reduction in our tenants’ ability to pay base rent, percentage rent or other charges, will adversely affect our financial condition and results of operations. Further, our ability to re-lease vacant spaces may be negatively impacted by the current economic environment. While we believe the locations of our centers and diverse tenant base should decrease the negative impact of the economic environment, we have and are likely to continue to see an increase in vacancy that will have a negative impact to our revenue and bad debt expense. We continue to monitor our tenants’ operating performance as well as trends in the retail industry to evaluate any future impact.</w:t>
      </w:r>
    </w:p>
    <w:p>
      <w:pPr>
        <w:spacing w:after="0" w:line="11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At September 30, 2009, the leasable square feet in our shopping centers was 93.1% occupied and 94.2%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and properties classified as discontinued operations.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OPERATIONS—THREE MONTHS ENDED SEPTEMBER 30, 2009 AND 2008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6"/>
              </w:rPr>
              <w:t>Dollars</w:t>
            </w:r>
          </w:p>
        </w:tc>
        <w:tc>
          <w:tcPr>
            <w:tcW w:w="3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2"/>
              </w:rPr>
              <w:t>(Dollar amounts</w:t>
            </w:r>
          </w:p>
        </w:tc>
        <w:tc>
          <w:tcPr>
            <w:tcW w:w="3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in</w:t>
            </w: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w w:val="80"/>
              </w:rPr>
              <w:t>thousands)</w:t>
            </w: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126,169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126,594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Other property income</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3,714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(291)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vMerge w:val="restart"/>
          </w:tcPr>
          <w:p>
            <w:pPr>
              <w:ind w:left="420"/>
              <w:spacing w:after="0"/>
              <w:rPr>
                <w:sz w:val="20"/>
                <w:szCs w:val="20"/>
                <w:color w:val="auto"/>
              </w:rPr>
            </w:pPr>
            <w:r>
              <w:rPr>
                <w:rFonts w:ascii="Arial" w:cs="Arial" w:eastAsia="Arial" w:hAnsi="Arial"/>
                <w:sz w:val="18"/>
                <w:szCs w:val="18"/>
                <w:color w:val="auto"/>
              </w:rPr>
              <w:t>Total property revenue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130,992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131,707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(715)</w:t>
            </w: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(3,180)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Real estate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(207)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property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(3,387)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vMerge w:val="restart"/>
          </w:tcPr>
          <w:p>
            <w:pPr>
              <w:ind w:left="860"/>
              <w:spacing w:after="0"/>
              <w:rPr>
                <w:sz w:val="20"/>
                <w:szCs w:val="20"/>
                <w:color w:val="auto"/>
              </w:rPr>
            </w:pPr>
            <w:r>
              <w:rPr>
                <w:rFonts w:ascii="Arial" w:cs="Arial" w:eastAsia="Arial" w:hAnsi="Arial"/>
                <w:sz w:val="18"/>
                <w:szCs w:val="18"/>
                <w:color w:val="auto"/>
              </w:rPr>
              <w:t>Property operating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92,140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89,468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2,672</w:t>
            </w: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66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(30,209)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2"/>
              </w:rPr>
              <w:t>(25,337)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(4,872)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(5,749)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(5,391)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(358)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Litigation provision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(28,410)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w w:val="92"/>
              </w:rPr>
              <w:t>(28,631)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221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Total other,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(63,301)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2"/>
              </w:rPr>
              <w:t>(58,837)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(4,464)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vMerge w:val="restart"/>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28,839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(1,792)</w:t>
            </w:r>
          </w:p>
        </w:tc>
        <w:tc>
          <w:tcPr>
            <w:tcW w:w="6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Gain on sale of real estate from discontinued operations</w:t>
            </w: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(7,438)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(9,578)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(1,315)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(91)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the Trust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(9,669)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Total property revenue decreased $0.7 million, or 0.5%, to $131.0 million in the three months ended September 30, 2009 compared to $131.7 million in the three months ended September 30, 2008. The percentage occupied at our shopping centers decreased to 93.1% at September 30, 2009 compared to 94.8% at September 30, 2008. Changes in the components of property revenue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decreased $0.4 million, or 0.3%, to $126.2 million in the three months ended September 30, 2009 compared to $126.6 million in the three months ended September 30, 2008 due primarily to the following:</w:t>
      </w:r>
    </w:p>
    <w:p>
      <w:pPr>
        <w:spacing w:after="0" w:line="59"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decrease of $1.9 million at same-center properties due primarily to $2.6 million of lower cost reimbursements,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decrease of $0.2 million as a result of having demolished an operating property in 2008 for use in future development,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right="2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$ 0.9 million at redevelopment properties due primarily to increased rental revenue from newly created retail and residential spaces,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of $ 0.7 million attributable to properties acquired in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Total property expenses decreased $3.4 million, or 8.0%, to $38.9 million in the three months ended September 30, 2009 compared to $42.2 million in the three months ended September 30, 2008. Changes in the components of property expenses are discussed below.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Rental expenses decreased $3.2 million, or 11.5%, to $24.4 million in the three months ended September 30, 2009 compared to $27.5 million in the three months ended September 30, 2008. This decrease is due primarily to the following:</w:t>
      </w:r>
    </w:p>
    <w:p>
      <w:pPr>
        <w:spacing w:after="0" w:line="5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of $1.1 million in repairs and maintenance at same-center properties,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of $0.6 million in marketing expenses at same-center and redevelopment properties,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of $0.5 million in utilities at same-center properties,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of $0.4 million in ground rent expense at same-center properties due primarily to the acquisition of the fee interest in two land parcels at Bethesda Row in 2008,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of $0.3 million in insurance expense at same-center properties.</w:t>
      </w:r>
    </w:p>
    <w:p>
      <w:pPr>
        <w:spacing w:after="0" w:line="171"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As a result of the changes in rental income, rental expenses and other property income, rental expenses as a percentage of rental income plus other property income decreased to 18.8% in the three months ended September 30, 2009 from 21.1% in the three months ended September 30,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Real estate tax expense decreased $0.2 million, or 1.4%, to $14.5 million in the three months ended September 30, 2009 compared to $14.7 million in the three months ended September 30, 2008. This decrease is due primarily to a decrease of $0.7 million related to same-center properties partially offset by an increase of $0.6 million related primarily to higher tax assessments at redevelopment properties and properties acquired in 2008.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Property operating income increased $2.7 million, or 3.0%, to $92.1 million in the three months ended September 30, 2009 compared to $89.5 million in the three months ended September 30, 2008. This increase is due primarily to growth in earnings at same-center and redevelopment properties and earnings attributable to properties acquired in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Interest Income</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Other interest income increased $0.8 million, or 703.5%, to $0.9 million in the three months ended September 30, 2009 compared to $0.1 million in the three months ended September 30, 2008. This increase is due primarily to investing the funds from our second quarter and August 2009 debt and equity transactions on a short term basis in money market and other highly liquid investments while we evaluate the current environment to determine the best use of the proceeds in addition to repaying the 8.75% senior notes that mature in December 2009.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Interest expense increased $4.9 million, or 19.2%, to $30.2 million in the three months ended September 30, 2009 compared to $25.3 million in the three months ended September 30, 2008. This increase is due primarily to the following:</w:t>
      </w:r>
    </w:p>
    <w:p>
      <w:pPr>
        <w:spacing w:after="0" w:line="51" w:lineRule="exact"/>
        <w:rPr>
          <w:sz w:val="20"/>
          <w:szCs w:val="20"/>
          <w:color w:val="auto"/>
        </w:rPr>
      </w:pPr>
    </w:p>
    <w:p>
      <w:pPr>
        <w:ind w:left="900" w:right="1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$4.0 million due to higher borrowings as a result of the second quarter 2009 debt refinancings completed in advance of debt maturing as well as the issuance of $150.0 million of senior notes in August 2009,</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$1.2 million due to a higher overall weighted average borrowing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$0.4 million in capitalized interest.</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See additional discussion of the debt financings in the second and third quarters of 2009 and the expected uses of the cash proceeds in the Liquidity and Capital Resources section of this Form 10-Q.</w:t>
      </w:r>
    </w:p>
    <w:p>
      <w:pPr>
        <w:spacing w:after="0" w:line="132"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Gross interest costs were $31.4 million and $26.2 million in the three months ended September 30, 2009 and 2008, respectively. Capitalized interest was $1.2 million and $0.8 million in the three months ended September 30, 2009 and 2008,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General and administrative expense increased $0.4 million, or 6.6%, to $5.7 million in the three months ended September 30, 2009 compared to $5.4 million in the three months ended September 30, 2008. The increase is primarily due to expensing previously capitalized predevelopment costs partially offset by lower personnel related costs and overall cost reduction efforts.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Provision</w:t>
      </w:r>
    </w:p>
    <w:p>
      <w:pPr>
        <w:spacing w:after="0" w:line="9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$0.3 million litigation provision in the three months ended September 30, 2009 is due to certain costs related to the litigation and appeal process over a parcel of land located adjacent to Santana Row. See Note F to the consolidated financial statements in this Form 10-Q for further discussion on the litigation.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Depreciation and amortization expense decreased $0.2 million, or 0.8%, to $28.4 million in the three months ended September 30, 2009 from $28.6 million in the three months ended September 30, 2008. This decrease is due primarily to accelerated depreciation in 2008 related to the change in use of a redevelopment building which was later demolished partially offset by increased depreciation on newly completed redevelopment projects and 2008 acquisitions.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OPERATIONS—NINE MONTHS ENDED SEPTEMBER 30, 2009 AND 2008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Dollars</w:t>
            </w:r>
          </w:p>
        </w:tc>
        <w:tc>
          <w:tcPr>
            <w:tcW w:w="540" w:type="dxa"/>
            <w:vAlign w:val="bottom"/>
          </w:tcPr>
          <w:p>
            <w:pPr>
              <w:spacing w:after="0"/>
              <w:rPr>
                <w:sz w:val="12"/>
                <w:szCs w:val="12"/>
                <w:color w:val="auto"/>
              </w:rPr>
            </w:pPr>
          </w:p>
        </w:tc>
        <w:tc>
          <w:tcPr>
            <w:tcW w:w="40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40" w:type="dxa"/>
            <w:vAlign w:val="bottom"/>
            <w:gridSpan w:val="7"/>
          </w:tcPr>
          <w:p>
            <w:pPr>
              <w:spacing w:after="0" w:line="142" w:lineRule="exact"/>
              <w:rPr>
                <w:sz w:val="20"/>
                <w:szCs w:val="20"/>
                <w:color w:val="auto"/>
              </w:rPr>
            </w:pPr>
            <w:r>
              <w:rPr>
                <w:rFonts w:ascii="Arial" w:cs="Arial" w:eastAsia="Arial" w:hAnsi="Arial"/>
                <w:sz w:val="14"/>
                <w:szCs w:val="14"/>
                <w:b w:val="1"/>
                <w:bCs w:val="1"/>
                <w:color w:val="auto"/>
              </w:rPr>
              <w:t>(Dollar amounts in thousands)</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379,465</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371,304</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8,161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Other property income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9,258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12,015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(2,757)</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vMerge w:val="restart"/>
          </w:tcPr>
          <w:p>
            <w:pPr>
              <w:ind w:left="420"/>
              <w:spacing w:after="0"/>
              <w:rPr>
                <w:sz w:val="20"/>
                <w:szCs w:val="20"/>
                <w:color w:val="auto"/>
              </w:rPr>
            </w:pPr>
            <w:r>
              <w:rPr>
                <w:rFonts w:ascii="Arial" w:cs="Arial" w:eastAsia="Arial" w:hAnsi="Arial"/>
                <w:sz w:val="18"/>
                <w:szCs w:val="18"/>
                <w:color w:val="auto"/>
              </w:rPr>
              <w:t>Total property revenue</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392,406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386,661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5,745</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80,993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(2,849)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Real estate taxes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43,138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41,132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2,006</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property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121,282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122,125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(843)</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vMerge w:val="restart"/>
          </w:tcPr>
          <w:p>
            <w:pPr>
              <w:ind w:left="860"/>
              <w:spacing w:after="0"/>
              <w:rPr>
                <w:sz w:val="20"/>
                <w:szCs w:val="20"/>
                <w:color w:val="auto"/>
              </w:rPr>
            </w:pPr>
            <w:r>
              <w:rPr>
                <w:rFonts w:ascii="Arial" w:cs="Arial" w:eastAsia="Arial" w:hAnsi="Arial"/>
                <w:sz w:val="18"/>
                <w:szCs w:val="18"/>
                <w:color w:val="auto"/>
              </w:rPr>
              <w:t>Property operating income</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271,124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264,536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6,588</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1,180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(106)</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(79,622)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(74,166)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(5,456)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Early extinguishment of senior notes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(968)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(19,451)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3,281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Litigation provision</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(21,087)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(21,087)</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(86,635)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(81,805)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(4,830)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Total other, net</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line="20" w:lineRule="exact"/>
              <w:rPr>
                <w:sz w:val="1"/>
                <w:szCs w:val="1"/>
                <w:color w:val="auto"/>
              </w:rPr>
            </w:pPr>
          </w:p>
        </w:tc>
      </w:tr>
      <w:tr>
        <w:trPr>
          <w:trHeight w:val="222"/>
        </w:trPr>
        <w:tc>
          <w:tcPr>
            <w:tcW w:w="7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(202,134)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(173,580)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(28,554)</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90,956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(21,966)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1,724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(1,506)</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 from discontinued operations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(6,140)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1"/>
              </w:rPr>
              <w:t>-29.6%</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70,506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100,118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(29,612)</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(116)</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vMerge w:val="restart"/>
          </w:tcPr>
          <w:p>
            <w:pPr>
              <w:ind w:left="420"/>
              <w:spacing w:after="0"/>
              <w:rPr>
                <w:sz w:val="20"/>
                <w:szCs w:val="20"/>
                <w:color w:val="auto"/>
              </w:rPr>
            </w:pPr>
            <w:r>
              <w:rPr>
                <w:rFonts w:ascii="Arial" w:cs="Arial" w:eastAsia="Arial" w:hAnsi="Arial"/>
                <w:sz w:val="18"/>
                <w:szCs w:val="18"/>
                <w:color w:val="auto"/>
              </w:rPr>
              <w:t>Net income attributable to the Trust</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1"/>
              </w:rPr>
              <w:t>-30.9%</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66,334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96,062</w:t>
            </w:r>
          </w:p>
        </w:tc>
        <w:tc>
          <w:tcPr>
            <w:tcW w:w="2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(29,728)</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Total property revenue increased $5.7 million, or 1.5%, to $392.4 million in the nine months ended September 30, 2009 compared to $386.7 million in the nine months ended September 30, 2008. The percentage occupied at our shopping centers decreased to 93.1% at September 30, 2009 compared to 94.8% at September 30, 2008. Changes in the components of property revenue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$8.2 million, or 2.2%, to $379.5 million in the nine months ended September 30, 2009 compared to $371.3 million in the nine months ended September 30, 2008 due primarily to the following:</w:t>
      </w:r>
    </w:p>
    <w:p>
      <w:pPr>
        <w:spacing w:after="0" w:line="59" w:lineRule="exact"/>
        <w:rPr>
          <w:sz w:val="20"/>
          <w:szCs w:val="20"/>
          <w:color w:val="auto"/>
        </w:rPr>
      </w:pPr>
    </w:p>
    <w:p>
      <w:pPr>
        <w:ind w:left="900" w:right="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$6.2 million at redevelopment properties due primarily to increased rental revenue from newly created retail and residential spaces and increased cost reimbursements,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$4.5 million attributable to properties acquired in 2008,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right="56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decrease of $1.3 million at same-center properties due to $5.1 million lower percentage rent and cost reimbursements offset by $3.3 million increase in minimum rent primarily as a result of increased rental rates on new and renewal leases, and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$1.2 million as a result of having demolished an operating property in 2008 for use in future development.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Other property income decreased $2.8 million, or 22.9%, to $9.3 million in the nine months ended September 30, 2009 compared to $12.0 million in the nine months ended September 30, 2008. Included in other property income are items which, although recurring, tend to fluctuate more than rental income from period to period, such as lease termination fees. This decrease is due primarily to a decrease in lease and other termination fees at same-center properties partially offset by an increase in lease and other termination fees at redevelopment properties.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Total property expenses decreased $0.8 million, or 0.7%, to $121.3 million in the nine months ended September 30, 2009 compared to $122.1 million in the nine months ended September 30, 2008. Changes in the components of property expenses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Rental expenses decreased $2.8 million, or 3.5%, to $78.1 million in the nine months ended September 30, 2009 compared to $81.0 million in the nine months ended September 30, 2008. This decrease is due primarily to the following:</w:t>
      </w:r>
    </w:p>
    <w:p>
      <w:pPr>
        <w:spacing w:after="0" w:line="51" w:lineRule="exact"/>
        <w:rPr>
          <w:sz w:val="20"/>
          <w:szCs w:val="20"/>
          <w:color w:val="auto"/>
        </w:rPr>
      </w:pPr>
    </w:p>
    <w:p>
      <w:pPr>
        <w:ind w:left="900" w:right="1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$1.4 million in ground rent expense at same-center properties due primarily to the acquisition of the fee interest in two land parcels at Bethesda Row in 2008,</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$1.3 million in marketing expense at same-center and redevelopment properties,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$1.1 million in repairs and maintenance expense, due primarily to lower maintenance costs partially offset by increased snow removal costs, at same-center properties,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$0.7 million in insurance expense at same-center properties,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$0.4 million in other operating cost, due primarily to lower legal fees, at same-center and redevelopment properties,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$0.4 million as a result of having demolished an operating property in 2008 for use in future development,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$1.8 million in bad debt expense at same-center and redevelopment properties,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$1.0 million attributable to properties acquired in 2008.</w:t>
      </w:r>
    </w:p>
    <w:p>
      <w:pPr>
        <w:spacing w:after="0" w:line="171" w:lineRule="exact"/>
        <w:rPr>
          <w:sz w:val="20"/>
          <w:szCs w:val="20"/>
          <w:color w:val="auto"/>
        </w:rPr>
      </w:pPr>
    </w:p>
    <w:p>
      <w:pPr>
        <w:jc w:val="both"/>
        <w:ind w:right="320"/>
        <w:spacing w:after="0" w:line="332" w:lineRule="auto"/>
        <w:rPr>
          <w:sz w:val="20"/>
          <w:szCs w:val="20"/>
          <w:color w:val="auto"/>
        </w:rPr>
      </w:pPr>
      <w:r>
        <w:rPr>
          <w:rFonts w:ascii="Arial" w:cs="Arial" w:eastAsia="Arial" w:hAnsi="Arial"/>
          <w:sz w:val="16"/>
          <w:szCs w:val="16"/>
          <w:color w:val="auto"/>
        </w:rPr>
        <w:t>As a result of the changes in rental income, rental expenses and other property income described above, rental expenses as a percentage of rental income plus other property income decreased to 20.1% in the nine months ended September 30, 2009 from 21.1% in the nine months ended September 30,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Real estate tax expense increased $2.0 million, or 4.9%, to $43.1 million in the nine months ended September 30, 2009 compared to $41.1 million in the nine months ended September 30, 2008. This increase is due primarily to an increase of $1.2 million related primarily to higher tax assessments at redevelopment properties and an increase of $0.8 million related to properties acquired in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Property operating income increased $6.6 million, or 2.5%, to $271.1 million in the nine months ended September 30, 2009 compared to $264.5 million in the nine months ended September 30, 2008. This increase is due primarily to growth in earnings at redevelopment properties and earnings attributable to properties acquired in 2008 partially offset by lower earnings in our same-center portfolio as discussed above.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Interest Income</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Other interest income increased $0.6 million, or 92.4%, to $1.3 million in the nine months ended September 30, 2009 compared to $0.7 million in the nine months ended September 30, 2008. This increase is due primarily to investing the funds from our second quarter and August 2009 debt and equity transactions on a short term basis in money market and other highly liquid investments while we evaluate the current environment to determine the best use of the proceeds in addition to repaying the 8.75% senior notes that mature in December 2009.</w:t>
      </w:r>
    </w:p>
    <w:p>
      <w:pPr>
        <w:sectPr>
          <w:pgSz w:w="11900" w:h="16838" w:orient="portrait"/>
          <w:cols w:equalWidth="0" w:num="1">
            <w:col w:w="11380"/>
          </w:cols>
          <w:pgMar w:left="240" w:top="459" w:right="279" w:bottom="1440" w:gutter="0" w:footer="0" w:header="0"/>
        </w:sectPr>
      </w:pP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380"/>
          </w:cols>
          <w:pgMar w:left="240" w:top="459" w:right="27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Interest expense increased $5.5 million, or 7.4%, to $79.6 million in the nine months ended September 30, 2009 compared to $74.2 million in the nine months ended September 30, 2008. This increase is due primarily to the following:</w:t>
      </w:r>
    </w:p>
    <w:p>
      <w:pPr>
        <w:spacing w:after="0" w:line="51" w:lineRule="exact"/>
        <w:rPr>
          <w:sz w:val="20"/>
          <w:szCs w:val="20"/>
          <w:color w:val="auto"/>
        </w:rPr>
      </w:pPr>
    </w:p>
    <w:p>
      <w:pPr>
        <w:ind w:left="900" w:right="1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$8.5 million due to higher borrowings as a result of the second quarter 2009 debt refinancings completed in advance of debt maturing as well as the issuance of $150.0 million of senior notes in August 2009,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of $3.0 million due to a lower overall weighted average borrowing rate,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$0.1 million in capitalized interest.</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See additional discussion of the debt financings in the second and third quarters of 2009 and the expected uses of the cash proceeds in the Liquidity and Capital Resources section of this Form 10-Q.</w:t>
      </w:r>
    </w:p>
    <w:p>
      <w:pPr>
        <w:spacing w:after="0" w:line="132"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Gross interest costs were $83.8 million and $78.3 million in the nine months ended September 30, 2009 and 2008, respectively. Capitalized interest was $4.2 million and $4.1 million in the nine months ended September 30, 2009 and 2008,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Senior Notes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$1.0 million early extinguishment of senior notes for the nine months ended September 30, 2009 is primarily related to a cash tender offer for our 8.75% senior notes due December 1, 2009. On June 4, 2009, approximately $40.3 million of notes were purchased and retired at a 2% premium to par value resulting in a net loss on early extinguishment of approximately $1.0 million including costs of the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General and administrative expense decreased $3.3 million, or 16.9%, to $16.2 million in the nine months ended September 30, 2009 compared to $19.5 million in the nine months ended September 30, 2008. The decrease is primarily due to lower legal fees related to the litigation over a parcel of land adjacent to Santana Row and other legal matters as well as lower personnel related costs and overall cost reduction efforts.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Provision</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$21.1 million litigation provision in the nine months ended September 30, 2009 is due to increasing the accrual for litigation regarding a parcel of land located adjacent to Santana Row as well as other costs related to the litigation and appeal process. See Note F to the consolidated financial statements in this Form 10-Q for further discussion on the litigation.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Depreciation and amortization expense increased $4.8 million, or 5.9%, to $86.6 million in the nine months ended September 30, 2009 from $81.8 million in the nine months ended September 30, 2008. This increase is due primarily to capital improvements at same-center and redevelopment properties and 2008 acquisitions as well as accelerated depreciation for tenant improvements where the tenant vacated prior to the end of their lease term. This increase is partially offset by accelerated depreciation in 2008 related to the change in use of a redevelopment building which was later demolished.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Discontinued Operations</w:t>
      </w:r>
    </w:p>
    <w:p>
      <w:pPr>
        <w:spacing w:after="0" w:line="9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Income from discontinued operations represents the operating income of properties that have been disposed or will be disposed, which is required to be reported separately from results of ongoing operations. The reported operating income of $0.2 million and $1.7 million for the nine months ended September 30, 2009 and 2008, respectively, represents the operating income for the period during which we owned properties sold in 2009 and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 from Discontinued Operations</w:t>
      </w:r>
    </w:p>
    <w:p>
      <w:pPr>
        <w:spacing w:after="0" w:line="9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$1.3 million gain on sale of real estate from discontinued operations for the nine months ended September 30, 2009 consists primarily of $0.9 million in insurance proceeds received related to repairs we performed on certain condominium units at Santana Row as the result of defective work done by third party contractors in prior years and $0.4 million on the sale of our fee interest in a land parcel in White Marsh, Maryland, that was subject to a long-term ground lease. The $7.4 million gain on sale of real estate from discontinued operations for the nine months ended September 30, 2008 consists primarily of a $5.2 million decrease in the warranty reserve for condominium units sold at Santana Row in 2005 and 2006, $1.1 million of accrued state tax refunds applied for in 2008 related to the initial sales of the condominium units, and a $1.0 million gain on the sale of four land parcels in Maryland and Massachusetts.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FASB Accounting Standards Codification</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June 2009, the FASB issued new accounting requirements, which make the FASB Accounting Standards Codification (“Codification”) the single source of authoritative literature for U.S. accounting and reporting standards. The Codification is not meant to change existing GAAP but rather provide a single source for all literature. We adopted the standard during the quarter ended September 30, 2009, which required us to change certain disclosures in our financial statements to reflect Codification references rather than references to FASB Statements, Staff Positions or Emerging Issues Task Force Abstracts. The adoption of this requirement did not have a material impact on our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Effective January 1, 2009, we adopted a new accounting standard that broadens and clarifies the definition of a business, which will result in significantly more of our acquisitions being treated as business combinations rather than asset acquisitions. The new requirement is effective for business combinations for which the acquisition date is on or after January 1, 2009, and therefore, will only impact prospective acquisitions with no change to the accounting for acquisitions completed prior to or on December 31, 2008. The new standard requires us to expense all acquisition related transaction costs as incurred which could include broker fees, transfer taxes, legal, accounting, valuation, and other professional and consulting fees. For acquisitions prior to January 1, 2009, these costs were capitalized as part of the acquisition cost. While the adoption did not have a material impact on our financial statements for the three and nine months ended September 30, 2009, the impact to our future consolidated financial statements will vary significantly depending on the timing and number of acquisitions or potential acquisitions, size of the acquisitions, and location of the acquisitions. Based on acquisitions in the last three years, transaction costs for single asset acquisitions typically ranged from $0.1 million to $1.0 million with significantly higher transaction costs for an acquisition of a larger portfolio. The new standard includes several other changes to the accounting for business combinations including requiring contingent consideration to be measured at fair value at acquisition and subsequently remeasured through the income statement if accounted for as a liability as the fair value changes, any adjustments during the purchase price allocation period to be “pushed back” to the acquisition date with prior periods being adjusted for any changes, and the business combination to be accounted for on the acquisition date or the date control is obtained. During 2008, we expensed all acquisition related costs for acquisitions which did not close prior to December 31, 2008.</w:t>
      </w:r>
    </w:p>
    <w:p>
      <w:pPr>
        <w:spacing w:after="0" w:line="12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Effective January 1, 2009, we adopted a new accounting standard that significantly changes the accounting and reporting of minority interests in the consolidated financial statements and requires a noncontrolling interest, which was previously referred to as a minority interest, to be recognized as a component of equity rather than included in the mezzanine section of the balance sheet where it was previously presented. On January 1, 2009, we reclassified $32.4 million from the mezzanine section of the balance sheet to shareholders’ equity. The terminology “minority interest” has been changed to “noncontrolling interest”. The “minority interest” caption on the statement of operations is now reflected as “net income attributable to noncontrolling interests” and shown after consolidated net income. This is a presentation only change for minority interest on both the balance sheet and statement of operations and has no impact to net income, total liabilities and shareholders’ equity, or earnings per share. The statement also requires the recognition of 100% of the fair value of assets acquired and liabilities assumed in acquisitions of less than 100% controlling interest with subsequent acquisitions of the noncontrolling interest recorded as equity transactions. The new accounting standard was adopted effective January 1, 2009 and has been applied prospectively except for the presentation changes to the balance sheet and statement of operations which have been applied retrospectively in the 2008 consolidated financial statements. While there was no additional impact on the consolidated financial statements during the three and nine months ended September 30, 2009, the impact on our future consolidated financial statements will vary depending on the level of transactions with entities involving noncontrolling interests.</w:t>
      </w:r>
    </w:p>
    <w:p>
      <w:pPr>
        <w:spacing w:after="0" w:line="124" w:lineRule="exact"/>
        <w:rPr>
          <w:sz w:val="20"/>
          <w:szCs w:val="20"/>
          <w:color w:val="auto"/>
        </w:rPr>
      </w:pPr>
    </w:p>
    <w:p>
      <w:pPr>
        <w:ind w:right="640"/>
        <w:spacing w:after="0" w:line="370" w:lineRule="auto"/>
        <w:rPr>
          <w:sz w:val="20"/>
          <w:szCs w:val="20"/>
          <w:color w:val="auto"/>
        </w:rPr>
      </w:pPr>
      <w:r>
        <w:rPr>
          <w:rFonts w:ascii="Arial" w:cs="Arial" w:eastAsia="Arial" w:hAnsi="Arial"/>
          <w:sz w:val="15"/>
          <w:szCs w:val="15"/>
          <w:color w:val="auto"/>
        </w:rPr>
        <w:t>Effective January 1, 2009, we adopted a new accounting standard that requires enhanced disclosures about an entity’s derivative instruments and hedging activities. The adoption did not have an impact on our consolidated financial statements as we currently have no derivative instruments outstanding.</w:t>
      </w:r>
    </w:p>
    <w:p>
      <w:pPr>
        <w:spacing w:after="0" w:line="6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Effective January 1, 2009, we adopted a new accounting standard that defines unvested share-based payment awards that contain non-forfeitable rights to receive dividends (whether paid or unpaid) as participating securities that should be included in the computation of EPS pursuant to the two-class method. As part of our stock based compensation program, we issue restricted shares which typically vest over a three to six year period; these shares have non-forfeitable rights to dividends immediately after issuance. Prior to January 1, 2009, we excluded the unvested shares from the basic EPS calculation and included them using the treasury stock method in diluted earnings per share. Effective January 1, 2009, we adopted the new accounting standard and have calculated earnings per share for all periods presented under the two-class method. The two-class method is an earnings allocation methodology whereby earnings per share for each class of common stock and participating securities is calculated according to dividends declared and participation rights in undistributed earnings. The implementation did not result in a significant change to basic or diluted earnings per share for all periods presented.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Effective January 1, 2009, we adopted a new accounting standard which clarifies the accounting for certain transactions and impairment considerations involving equity method investments. The new accounting standard clarifies that equity method investments should initially be measured at cost, the issuance of shares by the investee would result in a gain or loss on issuance of shares reflected in the income statement of the equity investor, and that a loss in value of an equity investment which is other than a temporary decline should be recognized. The standard was effective on a prospective basis beginning on January 1, 2009, and did not have a material impact on our financial position, results of operations, or cash flows.</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quarter ended June 30, 2009, we adopted a new accounting standard which requires disclosure regarding the fair value of financial instruments for interim reporting periods as well as in annual financial statements. We have included the additional disclosures in Note E to the consolidated financial statements in this Form 10-Q.</w:t>
      </w:r>
    </w:p>
    <w:p>
      <w:pPr>
        <w:spacing w:after="0" w:line="14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During the quarter ended June 30, 2009, we adopted a new accounting standard which establishes general standards of accounting and disclosure of events that occur after the balance sheet date but before the financial statements are issued or available to be issued and requires disclosure of the date through which subsequent events have been evaluated. We have added disclosure in Note A under “Basis of Presentation” regarding the date through which we have evaluated subsequent events.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June 2009, the FASB issued Statement No. 167, “Amendments to FASB Interpretation No. 46(R)” (“SFAS No. 167”), which provides certain changes to the evaluation of a VIE including requiring a qualitative rather than quantitative analysis to determine the primary beneficiary of a VIE, continuous assessments of whether an enterprise is the primary beneficiary of a VIE, and enhanced disclosures about an enterprise’s involvement with a VIE. The statement is effective January 1, 2010, and is applicable to all entities in which an enterprise has a variable interest. We are currently evaluating the impact SFAS No. 167 will have on our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REIT taxable income.</w:t>
      </w:r>
    </w:p>
    <w:p>
      <w:pPr>
        <w:spacing w:after="0" w:line="140"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Our short-term liquidity requirements consist primarily of obligations under our capital and operating leases, normal recurring operating expenses,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1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At September 30, 2009, we had approximately $124 million of debt maturing during the remainder of 2009. In an effort to ensure availability and provide additional flexibility with our short term capital needs, we entered into certain financing arrangements in advance of our debt maturing. During May and June 2009, we refinanced our then existing $200 million term loan with a $372 million term loan and also entered into two separate mortgage financing agreements collateralized by five of our properties for total funds of $163.1 million. We utilized these funds to repay our $200 million term loan, the $135 million outstanding balance on our revolving credit facility, and approximately $40.3 million of our 8.75% senior notes due December 1, 2009. We will utilize the remaining proceeds to repay our debt maturing during the remainder of 2009 and other capital needs. Additionally, in August 2009, we issued $150.0 million in five-year senior notes which bear interest at 5.95% and 2.0 million common shares for combined net cash proceeds of approximately $257.5 million. As the financings completed in the second quarter 2009 provided adequate capital to fund 2009 debt maturities, the proceeds from the debt and equity offerings in August 2009 are expected to be used to fund potential acquisition opportunities, fund our redevelopment pipeline, reduce amounts outstanding on our $372 million term loan, and for general corporate purposes. The funds from both the second quarter 2009 and August 2009 transactions are being invested on a short term basis in money market and other highly liquid investments while we evaluate the current market environment and the best use for the proceeds.</w:t>
      </w:r>
    </w:p>
    <w:p>
      <w:pPr>
        <w:spacing w:after="0" w:line="12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Due to the refinancing of our maturing debt several months in advance of the maturity as well as additional financings in August 2009, we will incur additional interest expense due to higher interest rates on such debt and due to a temporary increase in our debt outstanding until we can use the proceeds to retire maturing debt or invest in other long term projects. We currently believe that cash flows from operations, secured and unsecured debt financings, the August 2009 equity offering, and our revolving credit facility will be sufficient to finance our operations and fund our capital expenditures.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Our overall capital requirements during the remainder of 2009 will depend upon acquisition opportunities, the level of improvements and redevelopments of existing properties and the timing and cost of development of future phases of existing properties. While the amount of future expenditures will depend on numerous factors, we expect to incur similar levels of capital expenditures in 2009 compared to prior periods which will be funded on a short-term basis with cash flow from operations and/or the revolving credit facility, and on a long-term basis, with long term debt or equity.</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to the uncertain conditions in the capital markets which could affect our ability to access those markets, the following factors could affect our ability to meet our liquidity requirements:</w:t>
      </w:r>
    </w:p>
    <w:p>
      <w:pPr>
        <w:spacing w:after="0" w:line="51" w:lineRule="exact"/>
        <w:rPr>
          <w:sz w:val="20"/>
          <w:szCs w:val="20"/>
          <w:color w:val="auto"/>
        </w:rPr>
      </w:pPr>
    </w:p>
    <w:p>
      <w:pPr>
        <w:ind w:left="900" w:right="3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stock may limit us from incurring debt or issuing equity at all, or on acceptable terms under then-prevailing market conditions;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19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Cash and cash equivalents were $408.4 million at September 30, 2009, which is a $393.2 million increase from the balance of cash and cash equivalents at December 31, 2008. The significant increase is due to the cash proceeds from financings and an equity offering discussed above. We also have a $300.0 million unsecured revolving credit facility that matures July 27, 2010, subject to a one-year extension at our option, of which we had no outstanding balance at September 30, 2009. During the nine months ended September 30, 2009, the maximum amount of borrowings outstanding under our revolving credit facility was $172.5 million and the weighted average amount of borrowings outstanding was $63.7 million. We expect to utilize cash and our revolving credit facility to fund short-term operating needs, including capital expenditures and acquisitions.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Debt Obligations – Fixed Rate Debt</w:t>
      </w:r>
    </w:p>
    <w:p>
      <w:pPr>
        <w:spacing w:after="0" w:line="90"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The following table provides a summary of our fixed rate debt obligations, including both principal and interest payments, as of September 30, 2009. The table only incorporates debt obligations as of September 30, 2009, and therefore, the table provides limited predictive value for future principal and interest payments.</w:t>
      </w:r>
    </w:p>
    <w:p>
      <w:pPr>
        <w:spacing w:after="0" w:line="99"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Fixed Rate Debt - Principal and Interest Payments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0</wp:posOffset>
            </wp:positionV>
            <wp:extent cx="29070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jc w:val="center"/>
        <w:ind w:left="6980"/>
        <w:spacing w:after="0"/>
        <w:tabs>
          <w:tab w:leader="none" w:pos="660" w:val="left"/>
          <w:tab w:leader="none" w:pos="460" w:val="left"/>
          <w:tab w:leader="none" w:pos="300" w:val="left"/>
          <w:tab w:leader="none" w:pos="360" w:val="left"/>
        </w:tabs>
        <w:rPr>
          <w:sz w:val="20"/>
          <w:szCs w:val="20"/>
          <w:color w:val="auto"/>
        </w:rPr>
      </w:pPr>
      <w:r>
        <w:rPr>
          <w:rFonts w:ascii="Arial" w:cs="Arial" w:eastAsia="Arial" w:hAnsi="Arial"/>
          <w:sz w:val="14"/>
          <w:szCs w:val="14"/>
          <w:b w:val="1"/>
          <w:bCs w:val="1"/>
          <w:color w:val="auto"/>
        </w:rPr>
        <w:t>Total</w:t>
      </w:r>
      <w:r>
        <w:rPr>
          <w:sz w:val="20"/>
          <w:szCs w:val="20"/>
          <w:color w:val="auto"/>
        </w:rPr>
        <w:tab/>
      </w:r>
      <w:r>
        <w:rPr>
          <w:rFonts w:ascii="Arial" w:cs="Arial" w:eastAsia="Arial" w:hAnsi="Arial"/>
          <w:sz w:val="14"/>
          <w:szCs w:val="14"/>
          <w:b w:val="1"/>
          <w:bCs w:val="1"/>
          <w:color w:val="auto"/>
        </w:rPr>
        <w:t>2009</w:t>
      </w:r>
      <w:r>
        <w:rPr>
          <w:sz w:val="20"/>
          <w:szCs w:val="20"/>
          <w:color w:val="auto"/>
        </w:rPr>
        <w:tab/>
      </w:r>
      <w:r>
        <w:rPr>
          <w:rFonts w:ascii="Arial" w:cs="Arial" w:eastAsia="Arial" w:hAnsi="Arial"/>
          <w:sz w:val="14"/>
          <w:szCs w:val="14"/>
          <w:b w:val="1"/>
          <w:bCs w:val="1"/>
          <w:color w:val="auto"/>
        </w:rPr>
        <w:t>2010-2011</w:t>
      </w:r>
      <w:r>
        <w:rPr>
          <w:sz w:val="20"/>
          <w:szCs w:val="20"/>
          <w:color w:val="auto"/>
        </w:rPr>
        <w:tab/>
      </w:r>
      <w:r>
        <w:rPr>
          <w:rFonts w:ascii="Arial" w:cs="Arial" w:eastAsia="Arial" w:hAnsi="Arial"/>
          <w:sz w:val="14"/>
          <w:szCs w:val="14"/>
          <w:b w:val="1"/>
          <w:bCs w:val="1"/>
          <w:color w:val="auto"/>
        </w:rPr>
        <w:t>2012-2013</w:t>
      </w:r>
      <w:r>
        <w:rPr>
          <w:sz w:val="20"/>
          <w:szCs w:val="20"/>
          <w:color w:val="auto"/>
        </w:rPr>
        <w:tab/>
      </w:r>
      <w:r>
        <w:rPr>
          <w:rFonts w:ascii="Arial" w:cs="Arial" w:eastAsia="Arial" w:hAnsi="Arial"/>
          <w:sz w:val="12"/>
          <w:szCs w:val="12"/>
          <w:b w:val="1"/>
          <w:bCs w:val="1"/>
          <w:color w:val="auto"/>
        </w:rPr>
        <w:t>After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-6985</wp:posOffset>
            </wp:positionV>
            <wp:extent cx="29070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jc w:val="center"/>
        <w:ind w:left="6840"/>
        <w:spacing w:after="0" w:line="223"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3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$ 2,132,278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$ 147,977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$ 313,231</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2"/>
              </w:rPr>
              <w:t>$ 553,946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$ 1,117,124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178,912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2,491</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11,180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11,201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154,040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fixed rate debt obligations</w:t>
            </w:r>
          </w:p>
        </w:tc>
        <w:tc>
          <w:tcPr>
            <w:tcW w:w="2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$ 2,311,190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$ 150,468</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$ 324,411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2"/>
              </w:rPr>
              <w:t>$ 565,147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$ 1,271,164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Debt Obligations – Variable Rate Debt</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September 30, 2009, variable rate debt includes our $372 million term loan which bears interest at LIBOR, subject to a 1.50% floor, plus 300 basis points, a $9.4 million bond which has an interest rate of 0.461% at September 30, 2009, and no outstanding balance on our revolving credit facility which bears interest at LIBOR plus 0.425%.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89"/>
              </w:rPr>
              <w:t>Nine months Ended September 30,</w:t>
            </w:r>
          </w:p>
        </w:tc>
        <w:tc>
          <w:tcPr>
            <w:tcW w:w="0" w:type="dxa"/>
            <w:vAlign w:val="bottom"/>
          </w:tcPr>
          <w:p>
            <w:pPr>
              <w:spacing w:after="0"/>
              <w:rPr>
                <w:sz w:val="1"/>
                <w:szCs w:val="1"/>
                <w:color w:val="auto"/>
              </w:rPr>
            </w:pPr>
          </w:p>
        </w:tc>
      </w:tr>
      <w:tr>
        <w:trPr>
          <w:trHeight w:val="142"/>
        </w:trPr>
        <w:tc>
          <w:tcPr>
            <w:tcW w:w="88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w w:val="79"/>
              </w:rPr>
              <w:t>(In thousands)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194,204</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174,504</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60" w:type="dxa"/>
            <w:vAlign w:val="bottom"/>
          </w:tcPr>
          <w:p>
            <w:pPr>
              <w:spacing w:after="0"/>
              <w:rPr>
                <w:sz w:val="18"/>
                <w:szCs w:val="18"/>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8"/>
                <w:szCs w:val="18"/>
                <w:color w:val="auto"/>
              </w:rPr>
              <w:t>(80,342)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(167,207)</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279,343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(8,997)</w:t>
            </w: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393,205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8"/>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408,428</w:t>
            </w:r>
          </w:p>
        </w:tc>
        <w:tc>
          <w:tcPr>
            <w:tcW w:w="34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48,991</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Net cash provided by operating activities increased $19.7 million to $194.2 million during the nine months ended September 30, 2009 from $174.5 million during the nine months ended September 30, 2008. The increase was primarily attributable to a $13.3 million increase in cash provided by operating activities due primarily to higher accounts payable and accrued expenses balances and lower accounts receivable balances as well as $5.4 million higher net income before gain on sale of real estate, litigation provision, depreciation and amortization, and other non-cash expenses.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Net cash used in investing activities decreased $86.9 million to $80.3 million during the nine months ended September 30, 2009 from $167.2 million during the nine months ended September 30, 2008. The decrease was primarily attributable to:</w:t>
      </w:r>
    </w:p>
    <w:p>
      <w:pPr>
        <w:spacing w:after="0" w:line="5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$99.6 million decrease in acquisitions of real estate as no acquisitions have occurred in 2009,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$23.9 million decrease in 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$35.9 million decrease in proceeds from sale of real estate.</w:t>
      </w:r>
    </w:p>
    <w:p>
      <w:pPr>
        <w:spacing w:after="0" w:line="17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Net cash provided by financing activities increased $288.3 million to $279.3 million during the nine months ended September 30, 2009 from $9.0 million used during the nine months ended September 30, 2008. The change was primarily attributable to:</w:t>
      </w:r>
    </w:p>
    <w:p>
      <w:pPr>
        <w:spacing w:after="0" w:line="51" w:lineRule="exact"/>
        <w:rPr>
          <w:sz w:val="20"/>
          <w:szCs w:val="20"/>
          <w:color w:val="auto"/>
        </w:rPr>
      </w:pPr>
    </w:p>
    <w:p>
      <w:pPr>
        <w:ind w:left="900" w:right="1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$526.6 million increase in net proceeds from the issuance of mortgages, capital leases and notes payable due substantially to the proceeds from our new $372 million term loan and $163.1 million in new mortgage loans,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$147.5 million issuance of 5.95% senior notes in August 2009,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$103.3 million increase in net proceeds from the issuance of common shares due primarily to the issuance of 2.0 million shares in August 2009,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$252.5 million increase in net repayments on our revolving credit facility,</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$197.1 million increase in repayment of mortgages, capital leases and notes payable due substantially to the payoff of our $200 million term loan in May 2009 and the payoff of a loan secured by a portion of Mercer Mall in January 2009,</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$31.5 million increase in repayment of senior notes, primarily due to the $52.3 million purchase and retirement of a portion of our 8.75% senior notes which are due in December 2009,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$7.6 million increase in dividends paid to shareholders due to an increase in the dividend rate and increased number of shares outstanding.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has substantive participating rights and we cannot make significant decisions without Clarion’s approval. Accordingly, we account for our interest in the Partnership using the equity method. As of September 30, 2009, the Partnership owned seven retail real estate properties. We are the manager of the Partnership and its properties, earning fees for acquisitions, management, leasing and financing. We also have the opportunity to receive performance-based earnings through our Partnership interest. At September 30, 2009, the Partnership had approximately $81.2 million of mortgages payable outstanding; our investment in the Partnership was $28.8 million.</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20"/>
          </w:cols>
          <w:pgMar w:left="24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September 30,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Original</w:t>
            </w:r>
          </w:p>
        </w:tc>
        <w:tc>
          <w:tcPr>
            <w:tcW w:w="1560" w:type="dxa"/>
            <w:vAlign w:val="bottom"/>
            <w:gridSpan w:val="4"/>
          </w:tcPr>
          <w:p>
            <w:pPr>
              <w:ind w:left="60"/>
              <w:spacing w:after="0"/>
              <w:rPr>
                <w:sz w:val="20"/>
                <w:szCs w:val="20"/>
                <w:color w:val="auto"/>
              </w:rPr>
            </w:pPr>
            <w:r>
              <w:rPr>
                <w:rFonts w:ascii="Arial" w:cs="Arial" w:eastAsia="Arial" w:hAnsi="Arial"/>
                <w:sz w:val="14"/>
                <w:szCs w:val="14"/>
                <w:b w:val="1"/>
                <w:bCs w:val="1"/>
                <w:color w:val="auto"/>
              </w:rPr>
              <w:t>Principal Balance</w:t>
            </w:r>
          </w:p>
        </w:tc>
        <w:tc>
          <w:tcPr>
            <w:tcW w:w="17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Stated Interest Rate</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Debt</w:t>
            </w:r>
          </w:p>
        </w:tc>
        <w:tc>
          <w:tcPr>
            <w:tcW w:w="260" w:type="dxa"/>
            <w:vAlign w:val="bottom"/>
          </w:tcPr>
          <w:p>
            <w:pPr>
              <w:spacing w:after="0"/>
              <w:rPr>
                <w:sz w:val="12"/>
                <w:szCs w:val="12"/>
                <w:color w:val="auto"/>
              </w:rPr>
            </w:pPr>
          </w:p>
        </w:tc>
        <w:tc>
          <w:tcPr>
            <w:tcW w:w="1300" w:type="dxa"/>
            <w:vAlign w:val="bottom"/>
            <w:gridSpan w:val="3"/>
          </w:tcPr>
          <w:p>
            <w:pPr>
              <w:jc w:val="right"/>
              <w:ind w:right="860"/>
              <w:spacing w:after="0" w:line="149" w:lineRule="exact"/>
              <w:rPr>
                <w:sz w:val="20"/>
                <w:szCs w:val="20"/>
                <w:color w:val="auto"/>
              </w:rPr>
            </w:pPr>
            <w:r>
              <w:rPr>
                <w:rFonts w:ascii="Arial" w:cs="Arial" w:eastAsia="Arial" w:hAnsi="Arial"/>
                <w:sz w:val="14"/>
                <w:szCs w:val="14"/>
                <w:b w:val="1"/>
                <w:bCs w:val="1"/>
                <w:color w:val="auto"/>
              </w:rPr>
              <w:t>as of</w:t>
            </w:r>
          </w:p>
        </w:tc>
        <w:tc>
          <w:tcPr>
            <w:tcW w:w="17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79"/>
              </w:rPr>
              <w:t>as of</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660" w:type="dxa"/>
            <w:vAlign w:val="bottom"/>
            <w:gridSpan w:val="3"/>
          </w:tcPr>
          <w:p>
            <w:pPr>
              <w:spacing w:after="0"/>
              <w:rPr>
                <w:sz w:val="20"/>
                <w:szCs w:val="20"/>
                <w:color w:val="auto"/>
              </w:rPr>
            </w:pPr>
            <w:r>
              <w:rPr>
                <w:rFonts w:ascii="Arial" w:cs="Arial" w:eastAsia="Arial" w:hAnsi="Arial"/>
                <w:sz w:val="14"/>
                <w:szCs w:val="14"/>
                <w:b w:val="1"/>
                <w:bCs w:val="1"/>
                <w:color w:val="auto"/>
              </w:rPr>
              <w:t>Description of Debt</w:t>
            </w: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Issued</w:t>
            </w:r>
          </w:p>
        </w:tc>
        <w:tc>
          <w:tcPr>
            <w:tcW w:w="1560" w:type="dxa"/>
            <w:vAlign w:val="bottom"/>
            <w:gridSpan w:val="4"/>
          </w:tcPr>
          <w:p>
            <w:pPr>
              <w:spacing w:after="0"/>
              <w:rPr>
                <w:sz w:val="20"/>
                <w:szCs w:val="20"/>
                <w:color w:val="auto"/>
              </w:rPr>
            </w:pPr>
            <w:r>
              <w:rPr>
                <w:rFonts w:ascii="Arial" w:cs="Arial" w:eastAsia="Arial" w:hAnsi="Arial"/>
                <w:sz w:val="14"/>
                <w:szCs w:val="14"/>
                <w:b w:val="1"/>
                <w:bCs w:val="1"/>
                <w:color w:val="auto"/>
              </w:rPr>
              <w:t>September 30, 2009</w:t>
            </w:r>
          </w:p>
        </w:tc>
        <w:tc>
          <w:tcPr>
            <w:tcW w:w="17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September 30, 2009</w:t>
            </w:r>
          </w:p>
        </w:tc>
        <w:tc>
          <w:tcPr>
            <w:tcW w:w="1520" w:type="dxa"/>
            <w:vAlign w:val="bottom"/>
          </w:tcPr>
          <w:p>
            <w:pPr>
              <w:jc w:val="right"/>
              <w:ind w:right="253"/>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540" w:type="dxa"/>
            <w:vAlign w:val="bottom"/>
            <w:gridSpan w:val="6"/>
          </w:tcPr>
          <w:p>
            <w:pPr>
              <w:jc w:val="right"/>
              <w:ind w:right="8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Mortgage loans (1)</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Federal Plaza</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36,500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32,683</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860"/>
              <w:spacing w:after="0"/>
              <w:rPr>
                <w:sz w:val="20"/>
                <w:szCs w:val="20"/>
                <w:color w:val="auto"/>
              </w:rPr>
            </w:pPr>
            <w:r>
              <w:rPr>
                <w:rFonts w:ascii="Arial" w:cs="Arial" w:eastAsia="Arial" w:hAnsi="Arial"/>
                <w:sz w:val="18"/>
                <w:szCs w:val="18"/>
                <w:color w:val="auto"/>
              </w:rPr>
              <w:t>Tysons Station</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7,000</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5,942</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7.400%</w:t>
            </w:r>
          </w:p>
        </w:tc>
        <w:tc>
          <w:tcPr>
            <w:tcW w:w="1520" w:type="dxa"/>
            <w:vAlign w:val="bottom"/>
          </w:tcPr>
          <w:p>
            <w:pPr>
              <w:jc w:val="right"/>
              <w:spacing w:after="0"/>
              <w:rPr>
                <w:sz w:val="20"/>
                <w:szCs w:val="20"/>
                <w:color w:val="auto"/>
              </w:rPr>
            </w:pPr>
            <w:r>
              <w:rPr>
                <w:rFonts w:ascii="Arial" w:cs="Arial" w:eastAsia="Arial" w:hAnsi="Arial"/>
                <w:sz w:val="18"/>
                <w:szCs w:val="18"/>
                <w:color w:val="auto"/>
                <w:w w:val="97"/>
              </w:rPr>
              <w:t>September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Courtyard Shops</w:t>
            </w:r>
          </w:p>
        </w:tc>
        <w:tc>
          <w:tcPr>
            <w:tcW w:w="9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Acquired</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7,572</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6.870%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1,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860"/>
              <w:spacing w:after="0"/>
              <w:rPr>
                <w:sz w:val="20"/>
                <w:szCs w:val="20"/>
                <w:color w:val="auto"/>
              </w:rPr>
            </w:pPr>
            <w:r>
              <w:rPr>
                <w:rFonts w:ascii="Arial" w:cs="Arial" w:eastAsia="Arial" w:hAnsi="Arial"/>
                <w:sz w:val="18"/>
                <w:szCs w:val="18"/>
                <w:color w:val="auto"/>
              </w:rPr>
              <w:t>Bethesda Row</w:t>
            </w:r>
          </w:p>
        </w:tc>
        <w:tc>
          <w:tcPr>
            <w:tcW w:w="9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Acquired</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19,995</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5.370%</w:t>
            </w:r>
          </w:p>
        </w:tc>
        <w:tc>
          <w:tcPr>
            <w:tcW w:w="1520" w:type="dxa"/>
            <w:vAlign w:val="bottom"/>
          </w:tcPr>
          <w:p>
            <w:pPr>
              <w:jc w:val="right"/>
              <w:spacing w:after="0"/>
              <w:rPr>
                <w:sz w:val="20"/>
                <w:szCs w:val="20"/>
                <w:color w:val="auto"/>
              </w:rPr>
            </w:pPr>
            <w:r>
              <w:rPr>
                <w:rFonts w:ascii="Arial" w:cs="Arial" w:eastAsia="Arial" w:hAnsi="Arial"/>
                <w:sz w:val="18"/>
                <w:szCs w:val="18"/>
                <w:color w:val="auto"/>
              </w:rPr>
              <w:t>January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Bethesda Row</w:t>
            </w:r>
          </w:p>
        </w:tc>
        <w:tc>
          <w:tcPr>
            <w:tcW w:w="9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Acquired</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4,338</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860"/>
              <w:spacing w:after="0"/>
              <w:rPr>
                <w:sz w:val="20"/>
                <w:szCs w:val="20"/>
                <w:color w:val="auto"/>
              </w:rPr>
            </w:pPr>
            <w:r>
              <w:rPr>
                <w:rFonts w:ascii="Arial" w:cs="Arial" w:eastAsia="Arial" w:hAnsi="Arial"/>
                <w:sz w:val="18"/>
                <w:szCs w:val="18"/>
                <w:color w:val="auto"/>
              </w:rPr>
              <w:t>White Marsh Plaza (2)</w:t>
            </w:r>
          </w:p>
        </w:tc>
        <w:tc>
          <w:tcPr>
            <w:tcW w:w="9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Acquired</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9,926</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6.040%</w:t>
            </w:r>
          </w:p>
        </w:tc>
        <w:tc>
          <w:tcPr>
            <w:tcW w:w="1520" w:type="dxa"/>
            <w:vAlign w:val="bottom"/>
          </w:tcPr>
          <w:p>
            <w:pPr>
              <w:jc w:val="right"/>
              <w:spacing w:after="0"/>
              <w:rPr>
                <w:sz w:val="20"/>
                <w:szCs w:val="20"/>
                <w:color w:val="auto"/>
              </w:rPr>
            </w:pPr>
            <w:r>
              <w:rPr>
                <w:rFonts w:ascii="Arial" w:cs="Arial" w:eastAsia="Arial" w:hAnsi="Arial"/>
                <w:sz w:val="18"/>
                <w:szCs w:val="18"/>
                <w:color w:val="auto"/>
              </w:rPr>
              <w:t>April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Crow Canyon</w:t>
            </w:r>
          </w:p>
        </w:tc>
        <w:tc>
          <w:tcPr>
            <w:tcW w:w="9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Acquired</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20,918</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860"/>
              <w:spacing w:after="0"/>
              <w:rPr>
                <w:sz w:val="20"/>
                <w:szCs w:val="20"/>
                <w:color w:val="auto"/>
              </w:rPr>
            </w:pPr>
            <w:r>
              <w:rPr>
                <w:rFonts w:ascii="Arial" w:cs="Arial" w:eastAsia="Arial" w:hAnsi="Arial"/>
                <w:sz w:val="18"/>
                <w:szCs w:val="18"/>
                <w:color w:val="auto"/>
              </w:rPr>
              <w:t>Idylwood Plaza</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16,910</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16,852</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7.500%</w:t>
            </w:r>
          </w:p>
        </w:tc>
        <w:tc>
          <w:tcPr>
            <w:tcW w:w="1520" w:type="dxa"/>
            <w:vAlign w:val="bottom"/>
          </w:tcPr>
          <w:p>
            <w:pPr>
              <w:jc w:val="right"/>
              <w:spacing w:after="0"/>
              <w:rPr>
                <w:sz w:val="20"/>
                <w:szCs w:val="20"/>
                <w:color w:val="auto"/>
              </w:rPr>
            </w:pPr>
            <w:r>
              <w:rPr>
                <w:rFonts w:ascii="Arial" w:cs="Arial" w:eastAsia="Arial" w:hAnsi="Arial"/>
                <w:sz w:val="18"/>
                <w:szCs w:val="18"/>
                <w:color w:val="auto"/>
              </w:rPr>
              <w:t>June 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Leesburg Plaza</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29,423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29,322</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860"/>
              <w:spacing w:after="0"/>
              <w:rPr>
                <w:sz w:val="20"/>
                <w:szCs w:val="20"/>
                <w:color w:val="auto"/>
              </w:rPr>
            </w:pPr>
            <w:r>
              <w:rPr>
                <w:rFonts w:ascii="Arial" w:cs="Arial" w:eastAsia="Arial" w:hAnsi="Arial"/>
                <w:sz w:val="18"/>
                <w:szCs w:val="18"/>
                <w:color w:val="auto"/>
              </w:rPr>
              <w:t>Loehmann’s Plaza</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38,047</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37,917</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7.500%</w:t>
            </w:r>
          </w:p>
        </w:tc>
        <w:tc>
          <w:tcPr>
            <w:tcW w:w="1520" w:type="dxa"/>
            <w:vAlign w:val="bottom"/>
          </w:tcPr>
          <w:p>
            <w:pPr>
              <w:jc w:val="right"/>
              <w:spacing w:after="0"/>
              <w:rPr>
                <w:sz w:val="20"/>
                <w:szCs w:val="20"/>
                <w:color w:val="auto"/>
              </w:rPr>
            </w:pPr>
            <w:r>
              <w:rPr>
                <w:rFonts w:ascii="Arial" w:cs="Arial" w:eastAsia="Arial" w:hAnsi="Arial"/>
                <w:sz w:val="18"/>
                <w:szCs w:val="18"/>
                <w:color w:val="auto"/>
              </w:rPr>
              <w:t>June 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Pentagon Row</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54,619</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54,431</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860"/>
              <w:spacing w:after="0"/>
              <w:rPr>
                <w:sz w:val="20"/>
                <w:szCs w:val="20"/>
                <w:color w:val="auto"/>
              </w:rPr>
            </w:pPr>
            <w:r>
              <w:rPr>
                <w:rFonts w:ascii="Arial" w:cs="Arial" w:eastAsia="Arial" w:hAnsi="Arial"/>
                <w:sz w:val="18"/>
                <w:szCs w:val="18"/>
                <w:color w:val="auto"/>
              </w:rPr>
              <w:t>Melville Mall (3)</w:t>
            </w:r>
          </w:p>
        </w:tc>
        <w:tc>
          <w:tcPr>
            <w:tcW w:w="9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Acquired</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23,954</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5.250%</w:t>
            </w:r>
          </w:p>
        </w:tc>
        <w:tc>
          <w:tcPr>
            <w:tcW w:w="1520" w:type="dxa"/>
            <w:vAlign w:val="bottom"/>
          </w:tcPr>
          <w:p>
            <w:pPr>
              <w:jc w:val="right"/>
              <w:spacing w:after="0"/>
              <w:rPr>
                <w:sz w:val="20"/>
                <w:szCs w:val="20"/>
                <w:color w:val="auto"/>
              </w:rPr>
            </w:pPr>
            <w:r>
              <w:rPr>
                <w:rFonts w:ascii="Arial" w:cs="Arial" w:eastAsia="Arial" w:hAnsi="Arial"/>
                <w:sz w:val="18"/>
                <w:szCs w:val="18"/>
                <w:color w:val="auto"/>
                <w:w w:val="97"/>
              </w:rPr>
              <w:t>September 1,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THE AVENUE at White Marsh</w:t>
            </w:r>
          </w:p>
        </w:tc>
        <w:tc>
          <w:tcPr>
            <w:tcW w:w="9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Acquired</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59,214</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5.460%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860"/>
              <w:spacing w:after="0"/>
              <w:rPr>
                <w:sz w:val="20"/>
                <w:szCs w:val="20"/>
                <w:color w:val="auto"/>
              </w:rPr>
            </w:pPr>
            <w:r>
              <w:rPr>
                <w:rFonts w:ascii="Arial" w:cs="Arial" w:eastAsia="Arial" w:hAnsi="Arial"/>
                <w:sz w:val="18"/>
                <w:szCs w:val="18"/>
                <w:color w:val="auto"/>
              </w:rPr>
              <w:t>Barracks Road</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44,300</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40,827</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Hauppauge</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16,700</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15,391</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860"/>
              <w:spacing w:after="0"/>
              <w:rPr>
                <w:sz w:val="20"/>
                <w:szCs w:val="20"/>
                <w:color w:val="auto"/>
              </w:rPr>
            </w:pPr>
            <w:r>
              <w:rPr>
                <w:rFonts w:ascii="Arial" w:cs="Arial" w:eastAsia="Arial" w:hAnsi="Arial"/>
                <w:sz w:val="18"/>
                <w:szCs w:val="18"/>
                <w:color w:val="auto"/>
              </w:rPr>
              <w:t>Lawrence Park</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31,400</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28,938</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Wildwood</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27,600</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25,436</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860"/>
              <w:spacing w:after="0"/>
              <w:rPr>
                <w:sz w:val="20"/>
                <w:szCs w:val="20"/>
                <w:color w:val="auto"/>
              </w:rPr>
            </w:pPr>
            <w:r>
              <w:rPr>
                <w:rFonts w:ascii="Arial" w:cs="Arial" w:eastAsia="Arial" w:hAnsi="Arial"/>
                <w:sz w:val="18"/>
                <w:szCs w:val="18"/>
                <w:color w:val="auto"/>
              </w:rPr>
              <w:t>Wynnewood</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32,000</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29,491</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Brick Plaza</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33,000</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30,202</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7.415%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860"/>
              <w:spacing w:after="0"/>
              <w:rPr>
                <w:sz w:val="20"/>
                <w:szCs w:val="20"/>
                <w:color w:val="auto"/>
              </w:rPr>
            </w:pPr>
            <w:r>
              <w:rPr>
                <w:rFonts w:ascii="Arial" w:cs="Arial" w:eastAsia="Arial" w:hAnsi="Arial"/>
                <w:sz w:val="18"/>
                <w:szCs w:val="18"/>
                <w:color w:val="auto"/>
              </w:rPr>
              <w:t>Rollingwood Apartments</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24,050</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23,956</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5.540%</w:t>
            </w:r>
          </w:p>
        </w:tc>
        <w:tc>
          <w:tcPr>
            <w:tcW w:w="1520" w:type="dxa"/>
            <w:vAlign w:val="bottom"/>
          </w:tcPr>
          <w:p>
            <w:pPr>
              <w:jc w:val="right"/>
              <w:spacing w:after="0"/>
              <w:rPr>
                <w:sz w:val="20"/>
                <w:szCs w:val="20"/>
                <w:color w:val="auto"/>
              </w:rPr>
            </w:pPr>
            <w:r>
              <w:rPr>
                <w:rFonts w:ascii="Arial" w:cs="Arial" w:eastAsia="Arial" w:hAnsi="Arial"/>
                <w:sz w:val="18"/>
                <w:szCs w:val="18"/>
                <w:color w:val="auto"/>
              </w:rPr>
              <w:t>May 1,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Shoppers’ World</w:t>
            </w:r>
          </w:p>
        </w:tc>
        <w:tc>
          <w:tcPr>
            <w:tcW w:w="9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Acquired</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5,767</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5.910%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860"/>
              <w:spacing w:after="0"/>
              <w:rPr>
                <w:sz w:val="20"/>
                <w:szCs w:val="20"/>
                <w:color w:val="auto"/>
              </w:rPr>
            </w:pPr>
            <w:r>
              <w:rPr>
                <w:rFonts w:ascii="Arial" w:cs="Arial" w:eastAsia="Arial" w:hAnsi="Arial"/>
                <w:sz w:val="18"/>
                <w:szCs w:val="18"/>
                <w:color w:val="auto"/>
              </w:rPr>
              <w:t>Mount Vernon (4)</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13,250</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11,385</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5.660%</w:t>
            </w:r>
          </w:p>
        </w:tc>
        <w:tc>
          <w:tcPr>
            <w:tcW w:w="1520" w:type="dxa"/>
            <w:vAlign w:val="bottom"/>
          </w:tcPr>
          <w:p>
            <w:pPr>
              <w:jc w:val="right"/>
              <w:spacing w:after="0"/>
              <w:rPr>
                <w:sz w:val="20"/>
                <w:szCs w:val="20"/>
                <w:color w:val="auto"/>
              </w:rPr>
            </w:pPr>
            <w:r>
              <w:rPr>
                <w:rFonts w:ascii="Arial" w:cs="Arial" w:eastAsia="Arial" w:hAnsi="Arial"/>
                <w:sz w:val="18"/>
                <w:szCs w:val="18"/>
                <w:color w:val="auto"/>
              </w:rPr>
              <w:t>April 15,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Chelsea</w:t>
            </w:r>
          </w:p>
        </w:tc>
        <w:tc>
          <w:tcPr>
            <w:tcW w:w="9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Acquired</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5.360%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15, 2031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60" w:type="dxa"/>
            <w:vAlign w:val="bottom"/>
          </w:tcPr>
          <w:p>
            <w:pPr>
              <w:ind w:left="100"/>
              <w:spacing w:after="0"/>
              <w:rPr>
                <w:sz w:val="20"/>
                <w:szCs w:val="20"/>
                <w:color w:val="auto"/>
              </w:rPr>
            </w:pPr>
            <w:r>
              <w:rPr>
                <w:rFonts w:ascii="Arial" w:cs="Arial" w:eastAsia="Arial" w:hAnsi="Arial"/>
                <w:sz w:val="18"/>
                <w:szCs w:val="18"/>
                <w:color w:val="auto"/>
              </w:rPr>
              <w:t>Subtotal</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542,446</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unamortized discount</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(420)</w:t>
            </w: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60" w:type="dxa"/>
            <w:vAlign w:val="bottom"/>
          </w:tcPr>
          <w:p>
            <w:pPr>
              <w:ind w:left="100"/>
              <w:spacing w:after="0"/>
              <w:rPr>
                <w:sz w:val="20"/>
                <w:szCs w:val="20"/>
                <w:color w:val="auto"/>
              </w:rPr>
            </w:pPr>
            <w:r>
              <w:rPr>
                <w:rFonts w:ascii="Arial" w:cs="Arial" w:eastAsia="Arial" w:hAnsi="Arial"/>
                <w:sz w:val="18"/>
                <w:szCs w:val="18"/>
                <w:color w:val="auto"/>
              </w:rPr>
              <w:t>Total mortgage loans</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542,026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8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2,221</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1,378</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860"/>
              <w:spacing w:after="0"/>
              <w:rPr>
                <w:sz w:val="20"/>
                <w:szCs w:val="20"/>
                <w:color w:val="auto"/>
              </w:rPr>
            </w:pPr>
            <w:r>
              <w:rPr>
                <w:rFonts w:ascii="Arial" w:cs="Arial" w:eastAsia="Arial" w:hAnsi="Arial"/>
                <w:sz w:val="18"/>
                <w:szCs w:val="18"/>
                <w:color w:val="auto"/>
              </w:rPr>
              <w:t>Perring Plaza renovation</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3,087</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1,010</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10.000%</w:t>
            </w:r>
          </w:p>
        </w:tc>
        <w:tc>
          <w:tcPr>
            <w:tcW w:w="1520" w:type="dxa"/>
            <w:vAlign w:val="bottom"/>
          </w:tcPr>
          <w:p>
            <w:pPr>
              <w:jc w:val="right"/>
              <w:spacing w:after="0"/>
              <w:rPr>
                <w:sz w:val="20"/>
                <w:szCs w:val="20"/>
                <w:color w:val="auto"/>
              </w:rPr>
            </w:pPr>
            <w:r>
              <w:rPr>
                <w:rFonts w:ascii="Arial" w:cs="Arial" w:eastAsia="Arial" w:hAnsi="Arial"/>
                <w:sz w:val="18"/>
                <w:szCs w:val="18"/>
                <w:color w:val="auto"/>
              </w:rPr>
              <w:t>January 31,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860"/>
              <w:spacing w:after="0"/>
              <w:rPr>
                <w:sz w:val="20"/>
                <w:szCs w:val="20"/>
                <w:color w:val="auto"/>
              </w:rPr>
            </w:pPr>
            <w:r>
              <w:rPr>
                <w:rFonts w:ascii="Arial" w:cs="Arial" w:eastAsia="Arial" w:hAnsi="Arial"/>
                <w:sz w:val="18"/>
                <w:szCs w:val="18"/>
                <w:color w:val="auto"/>
              </w:rPr>
              <w:t>Revolving credit facility (5)</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300,000</w:t>
            </w:r>
          </w:p>
        </w:tc>
        <w:tc>
          <w:tcPr>
            <w:tcW w:w="260" w:type="dxa"/>
            <w:vAlign w:val="bottom"/>
          </w:tcPr>
          <w:p>
            <w:pPr>
              <w:spacing w:after="0"/>
              <w:rPr>
                <w:sz w:val="18"/>
                <w:szCs w:val="18"/>
                <w:color w:val="auto"/>
              </w:rPr>
            </w:pPr>
          </w:p>
        </w:tc>
        <w:tc>
          <w:tcPr>
            <w:tcW w:w="13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LIBOR + 0.425%</w:t>
            </w:r>
          </w:p>
        </w:tc>
        <w:tc>
          <w:tcPr>
            <w:tcW w:w="1520" w:type="dxa"/>
            <w:vAlign w:val="bottom"/>
          </w:tcPr>
          <w:p>
            <w:pPr>
              <w:jc w:val="right"/>
              <w:spacing w:after="0"/>
              <w:rPr>
                <w:sz w:val="20"/>
                <w:szCs w:val="20"/>
                <w:color w:val="auto"/>
              </w:rPr>
            </w:pPr>
            <w:r>
              <w:rPr>
                <w:rFonts w:ascii="Arial" w:cs="Arial" w:eastAsia="Arial" w:hAnsi="Arial"/>
                <w:sz w:val="18"/>
                <w:szCs w:val="18"/>
                <w:color w:val="auto"/>
              </w:rPr>
              <w:t>July 27,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Term loan (6)</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372,000</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372,000</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LIBOR + 3.000%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27, 2011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ind w:left="860"/>
              <w:spacing w:after="0"/>
              <w:rPr>
                <w:sz w:val="20"/>
                <w:szCs w:val="20"/>
                <w:color w:val="auto"/>
              </w:rPr>
            </w:pPr>
            <w:r>
              <w:rPr>
                <w:rFonts w:ascii="Arial" w:cs="Arial" w:eastAsia="Arial" w:hAnsi="Arial"/>
                <w:sz w:val="18"/>
                <w:szCs w:val="18"/>
                <w:color w:val="auto"/>
              </w:rPr>
              <w:t>Escondido (Municipal bonds) (7)</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9,400</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0.461%</w:t>
            </w:r>
          </w:p>
        </w:tc>
        <w:tc>
          <w:tcPr>
            <w:tcW w:w="1520" w:type="dxa"/>
            <w:vAlign w:val="bottom"/>
          </w:tcPr>
          <w:p>
            <w:pPr>
              <w:jc w:val="right"/>
              <w:spacing w:after="0"/>
              <w:rPr>
                <w:sz w:val="20"/>
                <w:szCs w:val="20"/>
                <w:color w:val="auto"/>
              </w:rPr>
            </w:pPr>
            <w:r>
              <w:rPr>
                <w:rFonts w:ascii="Arial" w:cs="Arial" w:eastAsia="Arial" w:hAnsi="Arial"/>
                <w:sz w:val="18"/>
                <w:szCs w:val="18"/>
                <w:color w:val="auto"/>
              </w:rPr>
              <w:t>October 1,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notes payable</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383,788</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5660" w:type="dxa"/>
            <w:vAlign w:val="bottom"/>
            <w:gridSpan w:val="3"/>
          </w:tcPr>
          <w:p>
            <w:pPr>
              <w:spacing w:after="0"/>
              <w:rPr>
                <w:sz w:val="20"/>
                <w:szCs w:val="20"/>
                <w:color w:val="auto"/>
              </w:rPr>
            </w:pPr>
            <w:r>
              <w:rPr>
                <w:rFonts w:ascii="Arial" w:cs="Arial" w:eastAsia="Arial" w:hAnsi="Arial"/>
                <w:sz w:val="18"/>
                <w:szCs w:val="18"/>
                <w:b w:val="1"/>
                <w:bCs w:val="1"/>
                <w:color w:val="auto"/>
              </w:rPr>
              <w:t>Senior notes and debentures</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860"/>
              <w:spacing w:after="0"/>
              <w:rPr>
                <w:sz w:val="20"/>
                <w:szCs w:val="20"/>
                <w:color w:val="auto"/>
              </w:rPr>
            </w:pPr>
            <w:r>
              <w:rPr>
                <w:rFonts w:ascii="Arial" w:cs="Arial" w:eastAsia="Arial" w:hAnsi="Arial"/>
                <w:sz w:val="18"/>
                <w:szCs w:val="18"/>
                <w:color w:val="auto"/>
              </w:rPr>
              <w:t>8.75% notes (8)</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175,000</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123,589</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8.750%</w:t>
            </w:r>
          </w:p>
        </w:tc>
        <w:tc>
          <w:tcPr>
            <w:tcW w:w="1520" w:type="dxa"/>
            <w:vAlign w:val="bottom"/>
          </w:tcPr>
          <w:p>
            <w:pPr>
              <w:jc w:val="right"/>
              <w:spacing w:after="0"/>
              <w:rPr>
                <w:sz w:val="20"/>
                <w:szCs w:val="20"/>
                <w:color w:val="auto"/>
              </w:rPr>
            </w:pPr>
            <w:r>
              <w:rPr>
                <w:rFonts w:ascii="Arial" w:cs="Arial" w:eastAsia="Arial" w:hAnsi="Arial"/>
                <w:sz w:val="18"/>
                <w:szCs w:val="18"/>
                <w:color w:val="auto"/>
              </w:rPr>
              <w:t>December 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4.50% notes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75,000</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15,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860"/>
              <w:spacing w:after="0"/>
              <w:rPr>
                <w:sz w:val="20"/>
                <w:szCs w:val="20"/>
                <w:color w:val="auto"/>
              </w:rPr>
            </w:pPr>
            <w:r>
              <w:rPr>
                <w:rFonts w:ascii="Arial" w:cs="Arial" w:eastAsia="Arial" w:hAnsi="Arial"/>
                <w:sz w:val="18"/>
                <w:szCs w:val="18"/>
                <w:color w:val="auto"/>
              </w:rPr>
              <w:t>6.00% notes</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175,000</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175,000</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6.000%</w:t>
            </w:r>
          </w:p>
        </w:tc>
        <w:tc>
          <w:tcPr>
            <w:tcW w:w="1520" w:type="dxa"/>
            <w:vAlign w:val="bottom"/>
          </w:tcPr>
          <w:p>
            <w:pPr>
              <w:jc w:val="right"/>
              <w:spacing w:after="0"/>
              <w:rPr>
                <w:sz w:val="20"/>
                <w:szCs w:val="20"/>
                <w:color w:val="auto"/>
              </w:rPr>
            </w:pPr>
            <w:r>
              <w:rPr>
                <w:rFonts w:ascii="Arial" w:cs="Arial" w:eastAsia="Arial" w:hAnsi="Arial"/>
                <w:sz w:val="18"/>
                <w:szCs w:val="18"/>
                <w:color w:val="auto"/>
              </w:rPr>
              <w:t>July 15,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5.40% notes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135,000</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135,000</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860"/>
              <w:spacing w:after="0"/>
              <w:rPr>
                <w:sz w:val="20"/>
                <w:szCs w:val="20"/>
                <w:color w:val="auto"/>
              </w:rPr>
            </w:pPr>
            <w:r>
              <w:rPr>
                <w:rFonts w:ascii="Arial" w:cs="Arial" w:eastAsia="Arial" w:hAnsi="Arial"/>
                <w:sz w:val="18"/>
                <w:szCs w:val="18"/>
                <w:color w:val="auto"/>
              </w:rPr>
              <w:t>5.95% notes</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150,000</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150,000</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5.950%</w:t>
            </w:r>
          </w:p>
        </w:tc>
        <w:tc>
          <w:tcPr>
            <w:tcW w:w="1520" w:type="dxa"/>
            <w:vAlign w:val="bottom"/>
          </w:tcPr>
          <w:p>
            <w:pPr>
              <w:jc w:val="right"/>
              <w:spacing w:after="0"/>
              <w:rPr>
                <w:sz w:val="20"/>
                <w:szCs w:val="20"/>
                <w:color w:val="auto"/>
              </w:rPr>
            </w:pPr>
            <w:r>
              <w:rPr>
                <w:rFonts w:ascii="Arial" w:cs="Arial" w:eastAsia="Arial" w:hAnsi="Arial"/>
                <w:sz w:val="18"/>
                <w:szCs w:val="18"/>
                <w:color w:val="auto"/>
              </w:rPr>
              <w:t>August 15,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5.65% notes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125,000</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125,000</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ind w:left="860"/>
              <w:spacing w:after="0"/>
              <w:rPr>
                <w:sz w:val="20"/>
                <w:szCs w:val="20"/>
                <w:color w:val="auto"/>
              </w:rPr>
            </w:pPr>
            <w:r>
              <w:rPr>
                <w:rFonts w:ascii="Arial" w:cs="Arial" w:eastAsia="Arial" w:hAnsi="Arial"/>
                <w:sz w:val="18"/>
                <w:szCs w:val="18"/>
                <w:color w:val="auto"/>
              </w:rPr>
              <w:t>6.20% notes</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200,000</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200,000</w:t>
            </w:r>
          </w:p>
        </w:tc>
        <w:tc>
          <w:tcPr>
            <w:tcW w:w="400" w:type="dxa"/>
            <w:vAlign w:val="bottom"/>
          </w:tcPr>
          <w:p>
            <w:pPr>
              <w:spacing w:after="0"/>
              <w:rPr>
                <w:sz w:val="18"/>
                <w:szCs w:val="18"/>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6.200%</w:t>
            </w:r>
          </w:p>
        </w:tc>
        <w:tc>
          <w:tcPr>
            <w:tcW w:w="1520" w:type="dxa"/>
            <w:vAlign w:val="bottom"/>
          </w:tcPr>
          <w:p>
            <w:pPr>
              <w:jc w:val="right"/>
              <w:spacing w:after="0"/>
              <w:rPr>
                <w:sz w:val="20"/>
                <w:szCs w:val="20"/>
                <w:color w:val="auto"/>
              </w:rPr>
            </w:pPr>
            <w:r>
              <w:rPr>
                <w:rFonts w:ascii="Arial" w:cs="Arial" w:eastAsia="Arial" w:hAnsi="Arial"/>
                <w:sz w:val="18"/>
                <w:szCs w:val="18"/>
                <w:color w:val="auto"/>
              </w:rPr>
              <w:t>January 15,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7.48% debentures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29,200</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7.480%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15, 2026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ind w:left="860"/>
              <w:spacing w:after="0"/>
              <w:rPr>
                <w:sz w:val="20"/>
                <w:szCs w:val="20"/>
                <w:color w:val="auto"/>
              </w:rPr>
            </w:pPr>
            <w:r>
              <w:rPr>
                <w:rFonts w:ascii="Arial" w:cs="Arial" w:eastAsia="Arial" w:hAnsi="Arial"/>
                <w:sz w:val="18"/>
                <w:szCs w:val="18"/>
                <w:color w:val="auto"/>
              </w:rPr>
              <w:t>6.82% medium term notes</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40,000</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6.820%</w:t>
            </w:r>
          </w:p>
        </w:tc>
        <w:tc>
          <w:tcPr>
            <w:tcW w:w="1520" w:type="dxa"/>
            <w:vAlign w:val="bottom"/>
          </w:tcPr>
          <w:p>
            <w:pPr>
              <w:jc w:val="right"/>
              <w:spacing w:after="0"/>
              <w:rPr>
                <w:sz w:val="20"/>
                <w:szCs w:val="20"/>
                <w:color w:val="auto"/>
              </w:rPr>
            </w:pPr>
            <w:r>
              <w:rPr>
                <w:rFonts w:ascii="Arial" w:cs="Arial" w:eastAsia="Arial" w:hAnsi="Arial"/>
                <w:sz w:val="18"/>
                <w:szCs w:val="18"/>
                <w:color w:val="auto"/>
              </w:rPr>
              <w:t>August 1, 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Subtotal</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1,052,789</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60" w:type="dxa"/>
            <w:vAlign w:val="bottom"/>
          </w:tcPr>
          <w:p>
            <w:pPr>
              <w:ind w:left="100"/>
              <w:spacing w:after="0"/>
              <w:rPr>
                <w:sz w:val="20"/>
                <w:szCs w:val="20"/>
                <w:color w:val="auto"/>
              </w:rPr>
            </w:pPr>
            <w:r>
              <w:rPr>
                <w:rFonts w:ascii="Arial" w:cs="Arial" w:eastAsia="Arial" w:hAnsi="Arial"/>
                <w:sz w:val="18"/>
                <w:szCs w:val="18"/>
                <w:color w:val="auto"/>
              </w:rPr>
              <w:t>Net unamortized premium</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senior notes and debentures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1,053,816</w:t>
            </w: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5660" w:type="dxa"/>
            <w:vAlign w:val="bottom"/>
            <w:gridSpan w:val="3"/>
          </w:tcPr>
          <w:p>
            <w:pPr>
              <w:spacing w:after="0"/>
              <w:rPr>
                <w:sz w:val="20"/>
                <w:szCs w:val="20"/>
                <w:color w:val="auto"/>
              </w:rPr>
            </w:pPr>
            <w:r>
              <w:rPr>
                <w:rFonts w:ascii="Arial" w:cs="Arial" w:eastAsia="Arial" w:hAnsi="Arial"/>
                <w:sz w:val="18"/>
                <w:szCs w:val="18"/>
                <w:b w:val="1"/>
                <w:bCs w:val="1"/>
                <w:color w:val="auto"/>
              </w:rPr>
              <w:t>Capital lease obligations</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Various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62,587</w:t>
            </w:r>
          </w:p>
        </w:tc>
        <w:tc>
          <w:tcPr>
            <w:tcW w:w="4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Various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Various through 2106</w:t>
            </w:r>
          </w:p>
        </w:tc>
        <w:tc>
          <w:tcPr>
            <w:tcW w:w="0" w:type="dxa"/>
            <w:vAlign w:val="bottom"/>
          </w:tcPr>
          <w:p>
            <w:pPr>
              <w:spacing w:after="0"/>
              <w:rPr>
                <w:sz w:val="1"/>
                <w:szCs w:val="1"/>
                <w:color w:val="auto"/>
              </w:rPr>
            </w:pPr>
          </w:p>
        </w:tc>
      </w:tr>
      <w:tr>
        <w:trPr>
          <w:trHeight w:val="223"/>
        </w:trPr>
        <w:tc>
          <w:tcPr>
            <w:tcW w:w="5660" w:type="dxa"/>
            <w:vAlign w:val="bottom"/>
            <w:gridSpan w:val="3"/>
          </w:tcPr>
          <w:p>
            <w:pPr>
              <w:spacing w:after="0"/>
              <w:rPr>
                <w:sz w:val="20"/>
                <w:szCs w:val="20"/>
                <w:color w:val="auto"/>
              </w:rPr>
            </w:pPr>
            <w:r>
              <w:rPr>
                <w:rFonts w:ascii="Arial" w:cs="Arial" w:eastAsia="Arial" w:hAnsi="Arial"/>
                <w:sz w:val="18"/>
                <w:szCs w:val="18"/>
                <w:b w:val="1"/>
                <w:bCs w:val="1"/>
                <w:color w:val="auto"/>
              </w:rPr>
              <w:t>Total debt and capital lease obligations</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2,042,217</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459"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140" w:hanging="452"/>
        <w:spacing w:after="0" w:line="254"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Mortgage loans do not include our 30% share ($24.4 million) of the $81.2 million debt of the partnership with a discretionary fund created and advised by ING Clarion Partners.</w:t>
      </w:r>
    </w:p>
    <w:p>
      <w:pPr>
        <w:ind w:left="460" w:right="320" w:hanging="452"/>
        <w:spacing w:after="0" w:line="281"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interest rate of 6.04% represents the weighted average interest rate for two mortgage loans secured by this property. The loan balance represents an interest only loan of $4.35 million at a stated rate of 6.18% and the remaining balance at a stated rate of 5.96%.</w:t>
      </w:r>
    </w:p>
    <w:p>
      <w:pPr>
        <w:spacing w:after="0" w:line="1" w:lineRule="exact"/>
        <w:rPr>
          <w:rFonts w:ascii="Arial" w:cs="Arial" w:eastAsia="Arial" w:hAnsi="Arial"/>
          <w:sz w:val="16"/>
          <w:szCs w:val="16"/>
          <w:color w:val="auto"/>
        </w:rPr>
      </w:pPr>
    </w:p>
    <w:p>
      <w:pPr>
        <w:jc w:val="both"/>
        <w:ind w:left="460" w:right="4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acquired control of Melville Mall through a 20-year master lease and secondary financing. Because we control this property and retain substantially all of the economic benefit and risk associated with it, this property is consolidated and the mortgage loan is reflected on the balance sheet, though it is not our legal obligation.</w:t>
      </w:r>
    </w:p>
    <w:p>
      <w:pPr>
        <w:spacing w:after="0" w:line="1" w:lineRule="exact"/>
        <w:rPr>
          <w:rFonts w:ascii="Arial" w:cs="Arial" w:eastAsia="Arial" w:hAnsi="Arial"/>
          <w:sz w:val="18"/>
          <w:szCs w:val="18"/>
          <w:color w:val="auto"/>
        </w:rPr>
      </w:pPr>
    </w:p>
    <w:p>
      <w:pPr>
        <w:ind w:left="460" w:right="64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in 2013. The lender has the option to call the loan on April 15, 2013 or any time thereafter.</w:t>
      </w:r>
    </w:p>
    <w:p>
      <w:pPr>
        <w:ind w:left="460" w:right="60" w:hanging="452"/>
        <w:spacing w:after="0" w:line="281"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maximum amount drawn under our revolving credit facility during the three and nine months ended September 30, 2009 was $0 and $172.5 million, respectively. The weighted average effective interest rate on borrowings under our revolving credit facility, before amortization of debt fees, was 1.37% for the nine months ended September 30, 2009. This credit facility matures on July 27, 2010, subject to a one-year extension at our option.</w:t>
      </w:r>
    </w:p>
    <w:p>
      <w:pPr>
        <w:spacing w:after="0" w:line="2" w:lineRule="exact"/>
        <w:rPr>
          <w:rFonts w:ascii="Arial" w:cs="Arial" w:eastAsia="Arial" w:hAnsi="Arial"/>
          <w:sz w:val="16"/>
          <w:szCs w:val="16"/>
          <w:color w:val="auto"/>
        </w:rPr>
      </w:pPr>
    </w:p>
    <w:p>
      <w:pPr>
        <w:ind w:left="460" w:right="400" w:hanging="452"/>
        <w:spacing w:after="0" w:line="281"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$372 million term loan bears interest at LIBOR, subject to a 1.5% floor, plus 300 basis points. The weighted average effective interest rate, before amortization of debt fees, was 4.63% for the period from the inception of the loan of May 4, 2009 through September 30, 2009.</w:t>
      </w:r>
    </w:p>
    <w:p>
      <w:pPr>
        <w:spacing w:after="0" w:line="1" w:lineRule="exact"/>
        <w:rPr>
          <w:rFonts w:ascii="Arial" w:cs="Arial" w:eastAsia="Arial" w:hAnsi="Arial"/>
          <w:sz w:val="16"/>
          <w:szCs w:val="16"/>
          <w:color w:val="auto"/>
        </w:rPr>
      </w:pPr>
    </w:p>
    <w:p>
      <w:pPr>
        <w:ind w:left="460" w:right="140" w:hanging="452"/>
        <w:spacing w:after="0" w:line="250"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ind w:left="460" w:right="20" w:hanging="452"/>
        <w:spacing w:after="0" w:line="30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various dates from January 12, 2009 to April 1, 2009, we purchased and retired $11.1 million of our 8.75% senior notes. On June 4, 2009, we purchased and retired $40.3 million of our 8.75% senior notes as a part of a cash tender offer whereby we repaid the notes at a 2% premium to par value. These notes were repaid with funds borrowed on our $300 million revolving credit facility and our $372 million term loan.</w:t>
      </w:r>
    </w:p>
    <w:p>
      <w:pPr>
        <w:spacing w:after="0" w:line="10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revolving credit facility and other debt agreements include financial and other covenants that may limit our operating activities in the future. As of September 30, 2009, we were in compliance with all of the financial and other covenants. If we were to breach any of our debt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September 30,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0"/>
              </w:rPr>
              <w:t>Unsecured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558"/>
              <w:spacing w:after="0"/>
              <w:rPr>
                <w:sz w:val="20"/>
                <w:szCs w:val="20"/>
                <w:color w:val="auto"/>
              </w:rPr>
            </w:pPr>
            <w:r>
              <w:rPr>
                <w:rFonts w:ascii="Arial" w:cs="Arial" w:eastAsia="Arial" w:hAnsi="Arial"/>
                <w:sz w:val="14"/>
                <w:szCs w:val="14"/>
                <w:b w:val="1"/>
                <w:bCs w:val="1"/>
                <w:color w:val="auto"/>
                <w:w w:val="83"/>
              </w:rPr>
              <w:t>Secured</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Capital Lease</w:t>
            </w:r>
          </w:p>
        </w:tc>
        <w:tc>
          <w:tcPr>
            <w:tcW w:w="10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r>
      <w:tr>
        <w:trPr>
          <w:trHeight w:val="142"/>
        </w:trPr>
        <w:tc>
          <w:tcPr>
            <w:tcW w:w="11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w w:val="77"/>
              </w:rPr>
              <w:t>thousands)</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2009</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123,639</w:t>
            </w:r>
          </w:p>
        </w:tc>
        <w:tc>
          <w:tcPr>
            <w:tcW w:w="4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58"/>
              <w:spacing w:after="0"/>
              <w:rPr>
                <w:sz w:val="20"/>
                <w:szCs w:val="20"/>
                <w:color w:val="auto"/>
              </w:rPr>
            </w:pPr>
            <w:r>
              <w:rPr>
                <w:rFonts w:ascii="Arial" w:cs="Arial" w:eastAsia="Arial" w:hAnsi="Arial"/>
                <w:sz w:val="18"/>
                <w:szCs w:val="18"/>
                <w:color w:val="auto"/>
              </w:rPr>
              <w:t>2,202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126,156</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2010</w:t>
            </w:r>
          </w:p>
        </w:tc>
        <w:tc>
          <w:tcPr>
            <w:tcW w:w="26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861(1)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58"/>
              <w:spacing w:after="0"/>
              <w:rPr>
                <w:sz w:val="20"/>
                <w:szCs w:val="20"/>
                <w:color w:val="auto"/>
              </w:rPr>
            </w:pPr>
            <w:r>
              <w:rPr>
                <w:rFonts w:ascii="Arial" w:cs="Arial" w:eastAsia="Arial" w:hAnsi="Arial"/>
                <w:sz w:val="18"/>
                <w:szCs w:val="18"/>
                <w:color w:val="auto"/>
              </w:rPr>
              <w:t>10,069</w:t>
            </w:r>
          </w:p>
        </w:tc>
        <w:tc>
          <w:tcPr>
            <w:tcW w:w="2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12,235</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6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447,720</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58"/>
              <w:spacing w:after="0"/>
              <w:rPr>
                <w:sz w:val="20"/>
                <w:szCs w:val="20"/>
                <w:color w:val="auto"/>
              </w:rPr>
            </w:pPr>
            <w:r>
              <w:rPr>
                <w:rFonts w:ascii="Arial" w:cs="Arial" w:eastAsia="Arial" w:hAnsi="Arial"/>
                <w:sz w:val="18"/>
                <w:szCs w:val="18"/>
                <w:color w:val="auto"/>
              </w:rPr>
              <w:t>47,571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496,690</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2012</w:t>
            </w:r>
          </w:p>
        </w:tc>
        <w:tc>
          <w:tcPr>
            <w:tcW w:w="26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175,727</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58"/>
              <w:spacing w:after="0"/>
              <w:rPr>
                <w:sz w:val="20"/>
                <w:szCs w:val="20"/>
                <w:color w:val="auto"/>
              </w:rPr>
            </w:pPr>
            <w:r>
              <w:rPr>
                <w:rFonts w:ascii="Arial" w:cs="Arial" w:eastAsia="Arial" w:hAnsi="Arial"/>
                <w:sz w:val="18"/>
                <w:szCs w:val="18"/>
                <w:color w:val="auto"/>
              </w:rPr>
              <w:t>17,380</w:t>
            </w:r>
          </w:p>
        </w:tc>
        <w:tc>
          <w:tcPr>
            <w:tcW w:w="2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194,607</w:t>
            </w: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6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135,030</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58"/>
              <w:spacing w:after="0"/>
              <w:rPr>
                <w:sz w:val="20"/>
                <w:szCs w:val="20"/>
                <w:color w:val="auto"/>
              </w:rPr>
            </w:pPr>
            <w:r>
              <w:rPr>
                <w:rFonts w:ascii="Arial" w:cs="Arial" w:eastAsia="Arial" w:hAnsi="Arial"/>
                <w:sz w:val="18"/>
                <w:szCs w:val="18"/>
                <w:color w:val="auto"/>
              </w:rPr>
              <w:t>72,107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1,609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208,746</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553,600</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58"/>
              <w:spacing w:after="0"/>
              <w:rPr>
                <w:sz w:val="20"/>
                <w:szCs w:val="20"/>
                <w:color w:val="auto"/>
              </w:rPr>
            </w:pPr>
            <w:r>
              <w:rPr>
                <w:rFonts w:ascii="Arial" w:cs="Arial" w:eastAsia="Arial" w:hAnsi="Arial"/>
                <w:sz w:val="18"/>
                <w:szCs w:val="18"/>
                <w:color w:val="auto"/>
                <w:w w:val="86"/>
              </w:rPr>
              <w:t>393,117</w:t>
            </w:r>
          </w:p>
        </w:tc>
        <w:tc>
          <w:tcPr>
            <w:tcW w:w="2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56,459</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1,003,176</w:t>
            </w:r>
          </w:p>
        </w:tc>
      </w:tr>
      <w:tr>
        <w:trPr>
          <w:trHeight w:val="27"/>
        </w:trPr>
        <w:tc>
          <w:tcPr>
            <w:tcW w:w="11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11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1,436,577</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00" w:type="dxa"/>
            <w:vAlign w:val="bottom"/>
            <w:gridSpan w:val="2"/>
            <w:shd w:val="clear" w:color="auto" w:fill="CCEEFF"/>
          </w:tcPr>
          <w:p>
            <w:pPr>
              <w:jc w:val="right"/>
              <w:ind w:right="458"/>
              <w:spacing w:after="0"/>
              <w:rPr>
                <w:sz w:val="20"/>
                <w:szCs w:val="20"/>
                <w:color w:val="auto"/>
              </w:rPr>
            </w:pPr>
            <w:r>
              <w:rPr>
                <w:rFonts w:ascii="Arial" w:cs="Arial" w:eastAsia="Arial" w:hAnsi="Arial"/>
                <w:sz w:val="18"/>
                <w:szCs w:val="18"/>
                <w:color w:val="auto"/>
                <w:w w:val="86"/>
              </w:rPr>
              <w:t>542,446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62,587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2,041,610(2)</w:t>
            </w:r>
          </w:p>
        </w:tc>
      </w:tr>
      <w:tr>
        <w:trPr>
          <w:trHeight w:val="20"/>
        </w:trPr>
        <w:tc>
          <w:tcPr>
            <w:tcW w:w="11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68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r>
    </w:tbl>
    <w:p>
      <w:pPr>
        <w:spacing w:after="0" w:line="19" w:lineRule="exact"/>
        <w:rPr>
          <w:sz w:val="20"/>
          <w:szCs w:val="20"/>
          <w:color w:val="auto"/>
        </w:rPr>
      </w:pPr>
    </w:p>
    <w:p>
      <w:pPr>
        <w:ind w:left="460" w:right="360" w:hanging="452"/>
        <w:spacing w:after="0" w:line="25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$300 million four-year revolving credit facility matures on July 27, 2010, subject to a one-year extension at our option. As of September 30, 2009, there was $0 drawn under this credit facility.</w:t>
      </w:r>
    </w:p>
    <w:p>
      <w:pPr>
        <w:ind w:left="460" w:right="560" w:hanging="452"/>
        <w:spacing w:after="0" w:line="261"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 or discount on certain mortgage loans, senior notes and debentures as of September 30,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had no hedging instruments outstanding during the nine months ended September 30, 2009. 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and losses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62" w:lineRule="exact"/>
        <w:rPr>
          <w:sz w:val="20"/>
          <w:szCs w:val="20"/>
          <w:color w:val="auto"/>
        </w:rPr>
      </w:pPr>
    </w:p>
    <w:p>
      <w:pPr>
        <w:ind w:left="900" w:right="8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fund cash needs, including the payment of dividends.</w:t>
      </w:r>
    </w:p>
    <w:p>
      <w:pPr>
        <w:spacing w:after="0" w:line="171"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43"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REIT taxable income (including net capital gain) to remain qualified as a REIT. Therefore, a significant increase in FFO will generally require an increase in distributions to shareholders although not necessarily on a proportionate basis.</w:t>
      </w:r>
    </w:p>
    <w:p>
      <w:pPr>
        <w:spacing w:after="0" w:line="11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Effective January 1, 2009, we adopted a new accounting standard which requires us to calculate FFO per share for all periods presented using the two-class method. The two-class method is an earnings allocation methodology whereby earnings per share for each class of common stock and participating securities is calculated according to dividends declared and participation rights in undistributed earnings. The implementation resulted in no change to FFO per share for the three and nine months ended September 30, 2008.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attributable to the Trust to FFO available for common shareholders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358"/>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558"/>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ind w:left="100"/>
              <w:spacing w:after="0" w:line="142" w:lineRule="exact"/>
              <w:rPr>
                <w:sz w:val="20"/>
                <w:szCs w:val="20"/>
                <w:color w:val="auto"/>
              </w:rPr>
            </w:pPr>
            <w:r>
              <w:rPr>
                <w:rFonts w:ascii="Arial" w:cs="Arial" w:eastAsia="Arial" w:hAnsi="Arial"/>
                <w:sz w:val="14"/>
                <w:szCs w:val="14"/>
                <w:b w:val="1"/>
                <w:bCs w:val="1"/>
                <w:color w:val="auto"/>
                <w:w w:val="93"/>
              </w:rPr>
              <w:t>(In</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4"/>
              </w:rPr>
              <w:t>thousands,</w:t>
            </w:r>
          </w:p>
        </w:tc>
        <w:tc>
          <w:tcPr>
            <w:tcW w:w="420" w:type="dxa"/>
            <w:vAlign w:val="bottom"/>
            <w:gridSpan w:val="2"/>
          </w:tcPr>
          <w:p>
            <w:pPr>
              <w:ind w:left="100"/>
              <w:spacing w:after="0"/>
              <w:rPr>
                <w:sz w:val="20"/>
                <w:szCs w:val="20"/>
                <w:color w:val="auto"/>
              </w:rPr>
            </w:pPr>
            <w:r>
              <w:rPr>
                <w:rFonts w:ascii="Arial" w:cs="Arial" w:eastAsia="Arial" w:hAnsi="Arial"/>
                <w:sz w:val="12"/>
                <w:szCs w:val="12"/>
                <w:b w:val="1"/>
                <w:bCs w:val="1"/>
                <w:color w:val="auto"/>
                <w:w w:val="78"/>
              </w:rPr>
              <w:t>except</w:t>
            </w: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per share</w:t>
            </w:r>
          </w:p>
        </w:tc>
        <w:tc>
          <w:tcPr>
            <w:tcW w:w="36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77"/>
              </w:rPr>
              <w:t>data)</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the Trust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27,433</w:t>
            </w: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37,102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66,334</w:t>
            </w:r>
          </w:p>
        </w:tc>
        <w:tc>
          <w:tcPr>
            <w:tcW w:w="3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96,062</w:t>
            </w: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18"/>
              <w:spacing w:after="0"/>
              <w:rPr>
                <w:sz w:val="20"/>
                <w:szCs w:val="20"/>
                <w:color w:val="auto"/>
              </w:rPr>
            </w:pPr>
            <w:r>
              <w:rPr>
                <w:rFonts w:ascii="Arial" w:cs="Arial" w:eastAsia="Arial" w:hAnsi="Arial"/>
                <w:sz w:val="18"/>
                <w:szCs w:val="18"/>
                <w:color w:val="auto"/>
                <w:w w:val="94"/>
              </w:rPr>
              <w:t>(7,438)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32"/>
              <w:spacing w:after="0"/>
              <w:rPr>
                <w:sz w:val="20"/>
                <w:szCs w:val="20"/>
                <w:color w:val="auto"/>
              </w:rPr>
            </w:pPr>
            <w:r>
              <w:rPr>
                <w:rFonts w:ascii="Arial" w:cs="Arial" w:eastAsia="Arial" w:hAnsi="Arial"/>
                <w:sz w:val="18"/>
                <w:szCs w:val="18"/>
                <w:color w:val="auto"/>
              </w:rPr>
              <w:t>(1,298)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(7,438)</w:t>
            </w: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25,682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26,037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77,681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74,037</w:t>
            </w: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Amortization of initial direct costs of leases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2,196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7,378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6,441</w:t>
            </w: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of joint venture real estate assets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500" w:type="dxa"/>
            <w:vAlign w:val="bottom"/>
            <w:gridSpan w:val="2"/>
          </w:tcPr>
          <w:p>
            <w:pPr>
              <w:ind w:left="440"/>
              <w:spacing w:after="0"/>
              <w:rPr>
                <w:sz w:val="20"/>
                <w:szCs w:val="20"/>
                <w:color w:val="auto"/>
              </w:rPr>
            </w:pPr>
            <w:r>
              <w:rPr>
                <w:rFonts w:ascii="Arial" w:cs="Arial" w:eastAsia="Arial" w:hAnsi="Arial"/>
                <w:sz w:val="18"/>
                <w:szCs w:val="18"/>
                <w:color w:val="auto"/>
              </w:rPr>
              <w:t>Funds from operations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55,666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58,168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151,141</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170,094</w:t>
            </w:r>
          </w:p>
        </w:tc>
        <w:tc>
          <w:tcPr>
            <w:tcW w:w="0" w:type="dxa"/>
            <w:vAlign w:val="bottom"/>
          </w:tcPr>
          <w:p>
            <w:pPr>
              <w:spacing w:after="0"/>
              <w:rPr>
                <w:sz w:val="1"/>
                <w:szCs w:val="1"/>
                <w:color w:val="auto"/>
              </w:rPr>
            </w:pPr>
          </w:p>
        </w:tc>
      </w:tr>
      <w:tr>
        <w:trPr>
          <w:trHeight w:val="218"/>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on preferred stock</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Income attributable to operating partnership units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attributable to unvested shares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(198)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(494)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ind w:left="440"/>
              <w:spacing w:after="0"/>
              <w:rPr>
                <w:sz w:val="20"/>
                <w:szCs w:val="20"/>
                <w:color w:val="auto"/>
              </w:rPr>
            </w:pPr>
            <w:r>
              <w:rPr>
                <w:rFonts w:ascii="Arial" w:cs="Arial" w:eastAsia="Arial" w:hAnsi="Arial"/>
                <w:sz w:val="18"/>
                <w:szCs w:val="18"/>
                <w:color w:val="auto"/>
              </w:rPr>
              <w:t>Funds from operations available for common shareholders (2)</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55,595</w:t>
            </w:r>
          </w:p>
        </w:tc>
        <w:tc>
          <w:tcPr>
            <w:tcW w:w="1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58,078</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150,970</w:t>
            </w:r>
          </w:p>
        </w:tc>
        <w:tc>
          <w:tcPr>
            <w:tcW w:w="36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169,811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 (1)</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60,511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59,298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59,759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Funds from operations available for common shareholders, per diluted share (2)</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0.92</w:t>
            </w:r>
          </w:p>
        </w:tc>
        <w:tc>
          <w:tcPr>
            <w:tcW w:w="1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0.98</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2.53</w:t>
            </w:r>
          </w:p>
        </w:tc>
        <w:tc>
          <w:tcPr>
            <w:tcW w:w="36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28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hanging="452"/>
        <w:spacing w:after="0" w:line="306"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FFO and FFO per diluted share for the three and nine months ended September 30, 2009, include a $0.3 million and a $21.1 million charge, respectively, for increasing the accrual for litigation regarding a parcel of land located adjacent to Santana Row as well as other costs related to the litigation and appeal process. See Note F to the consolidated financial statements in this Form 10-Q for further discussion on the litigation.</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of September 30, 2009, we were not party to any open derivative financial instruments. 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majority of our outstanding debt obligations (maturing at various times through 2031 or through 2106 including capital lease obligations) have fixed interest rates which limit the risk of fluctuating interest rates. However, interest rate fluctuations may affect the fair value of our fixed rate debt instruments. At September 30, 2009, we had $1.7 billion of fixed-rate debt outstanding. If market interest rates on our fixed-rate debt instruments at September 30, 2009 had been 1.0% higher, the fair value of those debt instruments on that date would have decreased by approximately $61.9 million. If market interest rates on our fixed-rate debt instruments at September 30, 2009 had been 1.0% lower, the fair value of those debt instruments on that date would have increased by approximately $65.9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believe that our primary interest rate risk is due to fluctuations in interest rates on our variable rate debt. At September 30, 2009, we had $381.4 million of variable rate debt outstanding which consisted of a $372 million term loan which bears interest at LIBOR, subject to a 1.5% floor, plus 300 basis points and $9.4 million of municipal bonds. Based upon this amount of variable rate debt and the specific terms, if market interest rates increased 1.0%, our annual interest expense would increase by approximately $3.8 million, and our net income and cash flows for the year would decrease by approximately $3.8 million. Conversely, if market interest rates decreased 1.0%, our annual interest expense would decrease by approximately $0.3 million with a corresponding increase in our net income and cash flows for the year.</w:t>
      </w:r>
    </w:p>
    <w:p>
      <w:pPr>
        <w:spacing w:after="0" w:line="2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6"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September 30, 2009. Based on this evaluation, our management, including our Chief Executive Officer and Chief Financial Officer, concluded that our disclosure controls and procedures were effective as of September 30, 2009 to provide reasonable assurance that information required to be disclosed in our reports filed or submitted under the Securities Exchange Act of 1934 is recorded, processed, summarized and reported within the time periods specified in the rules and forms of the Securities and Exchange Commission.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the quarterly period covered by this report that has materially affected, or is reasonably likely to materially affect, our internal control over financial reporting.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May 2003, a breach of contract action was filed against us which alleged that a one page document entitled “Final Proposal” constituted a ground lease of a parcel of property located adjacent to our Santana Row property and gave the plaintiff the option to require that we acquire the property at a price determined in accordance with a formula included in the “Final Proposal.” The “Final Proposal” explicitly stated that it was subject to approval of the terms and conditions of a formal agreement. A trial as to liability only was held in June 2006 and a jury rendered a verdict against us. A trial on the issue of damages was held in April 2008 and the court issued a tentative ruling in April 2009 awarding damages to the plaintiff of approximately $14.4 million plus interest. Based on this tentative ruling, we estimated interest could range from $2.1 million to $8.4 million. Accordingly, considering all the information available to us on May 6, 2009, when we filed our Form 10-Q for the three months ended March 31, 2009, our best estimate of damages, interest, and other costs was $21.4 million. Accordingly, we increased our accrual for the matter from $0.8 million at December 31, 2008, to $21.4 million at March 31, 2009. The increase in our accrual of $20.6 million is presented as a separate line item in our consolidated statement of operations.</w:t>
      </w:r>
    </w:p>
    <w:p>
      <w:pPr>
        <w:spacing w:after="0" w:line="12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June 2009, the court issued a final judgment awarding damages of $15.9 million (including interest) plus costs of suit. In July 2009, we and the plaintiff both filed a notice of appeal. The plaintiff also filed reimbursement motions for $2.1 million of legal fees, expert fees, and court costs of which $1.9 million was subsequently denied. We expect the appeal process will take in excess of a year to complete; all judgments will be stayed until completion of the appeals. Given the uncertainty surrounding the final outcome of the lawsuit, no further adjustment was made to the $21.4 million litigation provision accrual. During the three and nine months ended September 30, 2009, we incurred additional legal and other costs related to the lawsuit and appeal process which are also included in the “litigation provision” line item in the consolidated statement of operations. Furthermore, we continue to believe that the “Final Proposal” which included express language that it was subject to formal documentation was not a binding contract and that we should have no liability whatsoever, and will vigorously defend our position as part of the appeal process.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There have been no material changes to the risk factors previously disclosed in our Annual Report for the year ended December 31, 2008 filed with the Securities and Exchange Commission on February 26, 2009 and amended on June 25, 2009. These factors include, but are not limited to, the following:</w:t>
      </w:r>
    </w:p>
    <w:p>
      <w:pPr>
        <w:spacing w:after="0" w:line="4" w:lineRule="exact"/>
        <w:rPr>
          <w:sz w:val="20"/>
          <w:szCs w:val="20"/>
          <w:color w:val="auto"/>
        </w:rPr>
      </w:pPr>
    </w:p>
    <w:p>
      <w:pPr>
        <w:ind w:left="900" w:right="5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any redevelopment or renovation projects that we do pursue may not perform as anticipated;</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480" w:right="100" w:hanging="446"/>
        <w:spacing w:after="0" w:line="268" w:lineRule="auto"/>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completion of anticipated or ongoing property redevelopments or renovations may cost more, take more time to complete, or fail to perform as expected,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00"/>
          </w:cols>
          <w:pgMar w:left="24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b w:val="1"/>
                <w:bCs w:val="1"/>
                <w:color w:val="auto"/>
              </w:rPr>
              <w:t>FEDERAL REALTY INVESTMENT TRUST</w:t>
            </w:r>
          </w:p>
        </w:tc>
      </w:tr>
      <w:tr>
        <w:trPr>
          <w:trHeight w:val="433"/>
        </w:trPr>
        <w:tc>
          <w:tcPr>
            <w:tcW w:w="3480" w:type="dxa"/>
            <w:vAlign w:val="bottom"/>
          </w:tcPr>
          <w:p>
            <w:pPr>
              <w:spacing w:after="0"/>
              <w:rPr>
                <w:sz w:val="20"/>
                <w:szCs w:val="20"/>
                <w:color w:val="auto"/>
              </w:rPr>
            </w:pPr>
            <w:r>
              <w:rPr>
                <w:rFonts w:ascii="Arial" w:cs="Arial" w:eastAsia="Arial" w:hAnsi="Arial"/>
                <w:sz w:val="18"/>
                <w:szCs w:val="18"/>
                <w:color w:val="auto"/>
              </w:rPr>
              <w:t>November 4, 2009</w:t>
            </w:r>
          </w:p>
        </w:tc>
        <w:tc>
          <w:tcPr>
            <w:tcW w:w="2600" w:type="dxa"/>
            <w:vAlign w:val="bottom"/>
          </w:tcPr>
          <w:p>
            <w:pPr>
              <w:spacing w:after="0"/>
              <w:rPr>
                <w:sz w:val="24"/>
                <w:szCs w:val="24"/>
                <w:color w:val="auto"/>
              </w:rPr>
            </w:pPr>
          </w:p>
        </w:tc>
        <w:tc>
          <w:tcPr>
            <w:tcW w:w="198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w w:val="94"/>
              </w:rPr>
              <w:t>/s/</w:t>
            </w:r>
          </w:p>
        </w:tc>
        <w:tc>
          <w:tcPr>
            <w:tcW w:w="3360" w:type="dxa"/>
            <w:vAlign w:val="bottom"/>
            <w:tcBorders>
              <w:bottom w:val="single" w:sz="8" w:color="auto"/>
            </w:tcBorders>
          </w:tcPr>
          <w:p>
            <w:pPr>
              <w:jc w:val="center"/>
              <w:ind w:right="1812"/>
              <w:spacing w:after="0"/>
              <w:rPr>
                <w:sz w:val="20"/>
                <w:szCs w:val="20"/>
                <w:color w:val="auto"/>
              </w:rPr>
            </w:pPr>
            <w:r>
              <w:rPr>
                <w:rFonts w:ascii="Arial" w:cs="Arial" w:eastAsia="Arial" w:hAnsi="Arial"/>
                <w:sz w:val="18"/>
                <w:szCs w:val="18"/>
                <w:color w:val="auto"/>
                <w:w w:val="89"/>
              </w:rPr>
              <w:t>Donald C. Wood</w:t>
            </w:r>
          </w:p>
        </w:tc>
      </w:tr>
      <w:tr>
        <w:trPr>
          <w:trHeight w:val="196"/>
        </w:trPr>
        <w:tc>
          <w:tcPr>
            <w:tcW w:w="34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360" w:type="dxa"/>
            <w:vAlign w:val="bottom"/>
          </w:tcPr>
          <w:p>
            <w:pPr>
              <w:jc w:val="center"/>
              <w:ind w:right="1792"/>
              <w:spacing w:after="0" w:line="196" w:lineRule="exact"/>
              <w:rPr>
                <w:sz w:val="20"/>
                <w:szCs w:val="20"/>
                <w:color w:val="auto"/>
              </w:rPr>
            </w:pPr>
            <w:r>
              <w:rPr>
                <w:rFonts w:ascii="Arial" w:cs="Arial" w:eastAsia="Arial" w:hAnsi="Arial"/>
                <w:sz w:val="18"/>
                <w:szCs w:val="18"/>
                <w:b w:val="1"/>
                <w:bCs w:val="1"/>
                <w:color w:val="auto"/>
                <w:w w:val="88"/>
              </w:rPr>
              <w:t>Donald C. Wood,</w:t>
            </w:r>
          </w:p>
        </w:tc>
      </w:tr>
      <w:tr>
        <w:trPr>
          <w:trHeight w:val="216"/>
        </w:trPr>
        <w:tc>
          <w:tcPr>
            <w:tcW w:w="3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340" w:type="dxa"/>
            <w:vAlign w:val="bottom"/>
            <w:gridSpan w:val="2"/>
          </w:tcPr>
          <w:p>
            <w:pPr>
              <w:jc w:val="center"/>
              <w:ind w:left="12"/>
              <w:spacing w:after="0"/>
              <w:rPr>
                <w:sz w:val="20"/>
                <w:szCs w:val="20"/>
                <w:color w:val="auto"/>
              </w:rPr>
            </w:pPr>
            <w:r>
              <w:rPr>
                <w:rFonts w:ascii="Arial" w:cs="Arial" w:eastAsia="Arial" w:hAnsi="Arial"/>
                <w:sz w:val="18"/>
                <w:szCs w:val="18"/>
                <w:b w:val="1"/>
                <w:bCs w:val="1"/>
                <w:color w:val="auto"/>
                <w:w w:val="87"/>
              </w:rPr>
              <w:t>President, Chief Executive Officer and Trustee</w:t>
            </w:r>
          </w:p>
        </w:tc>
      </w:tr>
      <w:tr>
        <w:trPr>
          <w:trHeight w:val="228"/>
        </w:trPr>
        <w:tc>
          <w:tcPr>
            <w:tcW w:w="34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340" w:type="dxa"/>
            <w:vAlign w:val="bottom"/>
            <w:gridSpan w:val="2"/>
          </w:tcPr>
          <w:p>
            <w:pPr>
              <w:jc w:val="center"/>
              <w:ind w:left="12"/>
              <w:spacing w:after="0"/>
              <w:rPr>
                <w:sz w:val="20"/>
                <w:szCs w:val="20"/>
                <w:color w:val="auto"/>
              </w:rPr>
            </w:pPr>
            <w:r>
              <w:rPr>
                <w:rFonts w:ascii="Arial" w:cs="Arial" w:eastAsia="Arial" w:hAnsi="Arial"/>
                <w:sz w:val="18"/>
                <w:szCs w:val="18"/>
                <w:b w:val="1"/>
                <w:bCs w:val="1"/>
                <w:color w:val="auto"/>
                <w:w w:val="89"/>
              </w:rPr>
              <w:t>(Principal Executive Officer)</w:t>
            </w:r>
          </w:p>
        </w:tc>
      </w:tr>
      <w:tr>
        <w:trPr>
          <w:trHeight w:val="433"/>
        </w:trPr>
        <w:tc>
          <w:tcPr>
            <w:tcW w:w="3480" w:type="dxa"/>
            <w:vAlign w:val="bottom"/>
          </w:tcPr>
          <w:p>
            <w:pPr>
              <w:spacing w:after="0"/>
              <w:rPr>
                <w:sz w:val="20"/>
                <w:szCs w:val="20"/>
                <w:color w:val="auto"/>
              </w:rPr>
            </w:pPr>
            <w:r>
              <w:rPr>
                <w:rFonts w:ascii="Arial" w:cs="Arial" w:eastAsia="Arial" w:hAnsi="Arial"/>
                <w:sz w:val="18"/>
                <w:szCs w:val="18"/>
                <w:color w:val="auto"/>
              </w:rPr>
              <w:t>November 4, 2009</w:t>
            </w:r>
          </w:p>
        </w:tc>
        <w:tc>
          <w:tcPr>
            <w:tcW w:w="2600" w:type="dxa"/>
            <w:vAlign w:val="bottom"/>
          </w:tcPr>
          <w:p>
            <w:pPr>
              <w:spacing w:after="0"/>
              <w:rPr>
                <w:sz w:val="24"/>
                <w:szCs w:val="24"/>
                <w:color w:val="auto"/>
              </w:rPr>
            </w:pPr>
          </w:p>
        </w:tc>
        <w:tc>
          <w:tcPr>
            <w:tcW w:w="198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/s/</w:t>
            </w:r>
          </w:p>
        </w:tc>
        <w:tc>
          <w:tcPr>
            <w:tcW w:w="3360" w:type="dxa"/>
            <w:vAlign w:val="bottom"/>
            <w:tcBorders>
              <w:bottom w:val="single" w:sz="8" w:color="auto"/>
            </w:tcBorders>
          </w:tcPr>
          <w:p>
            <w:pPr>
              <w:jc w:val="center"/>
              <w:ind w:right="1812"/>
              <w:spacing w:after="0"/>
              <w:rPr>
                <w:sz w:val="20"/>
                <w:szCs w:val="20"/>
                <w:color w:val="auto"/>
              </w:rPr>
            </w:pPr>
            <w:r>
              <w:rPr>
                <w:rFonts w:ascii="Arial" w:cs="Arial" w:eastAsia="Arial" w:hAnsi="Arial"/>
                <w:sz w:val="18"/>
                <w:szCs w:val="18"/>
                <w:color w:val="auto"/>
                <w:w w:val="89"/>
              </w:rPr>
              <w:t>Andrew P. Blocher</w:t>
            </w:r>
          </w:p>
        </w:tc>
      </w:tr>
      <w:tr>
        <w:trPr>
          <w:trHeight w:val="196"/>
        </w:trPr>
        <w:tc>
          <w:tcPr>
            <w:tcW w:w="34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360" w:type="dxa"/>
            <w:vAlign w:val="bottom"/>
          </w:tcPr>
          <w:p>
            <w:pPr>
              <w:jc w:val="center"/>
              <w:ind w:right="1792"/>
              <w:spacing w:after="0" w:line="196" w:lineRule="exact"/>
              <w:rPr>
                <w:sz w:val="20"/>
                <w:szCs w:val="20"/>
                <w:color w:val="auto"/>
              </w:rPr>
            </w:pPr>
            <w:r>
              <w:rPr>
                <w:rFonts w:ascii="Arial" w:cs="Arial" w:eastAsia="Arial" w:hAnsi="Arial"/>
                <w:sz w:val="18"/>
                <w:szCs w:val="18"/>
                <w:b w:val="1"/>
                <w:bCs w:val="1"/>
                <w:color w:val="auto"/>
                <w:w w:val="87"/>
              </w:rPr>
              <w:t>Andrew P. Blocher,</w:t>
            </w:r>
          </w:p>
        </w:tc>
      </w:tr>
      <w:tr>
        <w:trPr>
          <w:trHeight w:val="216"/>
        </w:trPr>
        <w:tc>
          <w:tcPr>
            <w:tcW w:w="3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340" w:type="dxa"/>
            <w:vAlign w:val="bottom"/>
            <w:gridSpan w:val="2"/>
          </w:tcPr>
          <w:p>
            <w:pPr>
              <w:jc w:val="center"/>
              <w:ind w:left="12"/>
              <w:spacing w:after="0"/>
              <w:rPr>
                <w:sz w:val="20"/>
                <w:szCs w:val="20"/>
                <w:color w:val="auto"/>
              </w:rPr>
            </w:pPr>
            <w:r>
              <w:rPr>
                <w:rFonts w:ascii="Arial" w:cs="Arial" w:eastAsia="Arial" w:hAnsi="Arial"/>
                <w:sz w:val="18"/>
                <w:szCs w:val="18"/>
                <w:b w:val="1"/>
                <w:bCs w:val="1"/>
                <w:color w:val="auto"/>
                <w:w w:val="86"/>
              </w:rPr>
              <w:t>Senior Vice President,</w:t>
            </w:r>
          </w:p>
        </w:tc>
      </w:tr>
      <w:tr>
        <w:trPr>
          <w:trHeight w:val="228"/>
        </w:trPr>
        <w:tc>
          <w:tcPr>
            <w:tcW w:w="34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340" w:type="dxa"/>
            <w:vAlign w:val="bottom"/>
            <w:gridSpan w:val="2"/>
          </w:tcPr>
          <w:p>
            <w:pPr>
              <w:jc w:val="center"/>
              <w:ind w:left="12"/>
              <w:spacing w:after="0"/>
              <w:rPr>
                <w:sz w:val="20"/>
                <w:szCs w:val="20"/>
                <w:color w:val="auto"/>
              </w:rPr>
            </w:pPr>
            <w:r>
              <w:rPr>
                <w:rFonts w:ascii="Arial" w:cs="Arial" w:eastAsia="Arial" w:hAnsi="Arial"/>
                <w:sz w:val="18"/>
                <w:szCs w:val="18"/>
                <w:b w:val="1"/>
                <w:bCs w:val="1"/>
                <w:color w:val="auto"/>
                <w:w w:val="89"/>
              </w:rPr>
              <w:t>Chief Financial Officer and Treasurer</w:t>
            </w:r>
          </w:p>
        </w:tc>
      </w:tr>
      <w:tr>
        <w:trPr>
          <w:trHeight w:val="230"/>
        </w:trPr>
        <w:tc>
          <w:tcPr>
            <w:tcW w:w="34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340" w:type="dxa"/>
            <w:vAlign w:val="bottom"/>
            <w:gridSpan w:val="2"/>
          </w:tcPr>
          <w:p>
            <w:pPr>
              <w:jc w:val="center"/>
              <w:ind w:left="12"/>
              <w:spacing w:after="0"/>
              <w:rPr>
                <w:sz w:val="20"/>
                <w:szCs w:val="20"/>
                <w:color w:val="auto"/>
              </w:rPr>
            </w:pPr>
            <w:r>
              <w:rPr>
                <w:rFonts w:ascii="Arial" w:cs="Arial" w:eastAsia="Arial" w:hAnsi="Arial"/>
                <w:sz w:val="18"/>
                <w:szCs w:val="18"/>
                <w:b w:val="1"/>
                <w:bCs w:val="1"/>
                <w:color w:val="auto"/>
                <w:w w:val="89"/>
              </w:rPr>
              <w:t>(Principal Financial and Accounting Officer)</w:t>
            </w:r>
          </w:p>
        </w:tc>
      </w:tr>
      <w:tr>
        <w:trPr>
          <w:trHeight w:val="365"/>
        </w:trPr>
        <w:tc>
          <w:tcPr>
            <w:tcW w:w="3480" w:type="dxa"/>
            <w:vAlign w:val="bottom"/>
          </w:tcPr>
          <w:p>
            <w:pPr>
              <w:spacing w:after="0"/>
              <w:rPr>
                <w:sz w:val="24"/>
                <w:szCs w:val="24"/>
                <w:color w:val="auto"/>
              </w:rPr>
            </w:pPr>
          </w:p>
        </w:tc>
        <w:tc>
          <w:tcPr>
            <w:tcW w:w="2600" w:type="dxa"/>
            <w:vAlign w:val="bottom"/>
          </w:tcPr>
          <w:p>
            <w:pPr>
              <w:jc w:val="right"/>
              <w:ind w:right="192"/>
              <w:spacing w:after="0"/>
              <w:rPr>
                <w:sz w:val="20"/>
                <w:szCs w:val="20"/>
                <w:color w:val="auto"/>
              </w:rPr>
            </w:pPr>
            <w:r>
              <w:rPr>
                <w:rFonts w:ascii="Arial" w:cs="Arial" w:eastAsia="Arial" w:hAnsi="Arial"/>
                <w:sz w:val="18"/>
                <w:szCs w:val="18"/>
                <w:color w:val="auto"/>
              </w:rPr>
              <w:t>34</w:t>
            </w:r>
          </w:p>
        </w:tc>
        <w:tc>
          <w:tcPr>
            <w:tcW w:w="1980" w:type="dxa"/>
            <w:vAlign w:val="bottom"/>
          </w:tcPr>
          <w:p>
            <w:pPr>
              <w:spacing w:after="0"/>
              <w:rPr>
                <w:sz w:val="24"/>
                <w:szCs w:val="24"/>
                <w:color w:val="auto"/>
              </w:rPr>
            </w:pPr>
          </w:p>
        </w:tc>
        <w:tc>
          <w:tcPr>
            <w:tcW w:w="3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20" w:type="dxa"/>
            <w:vAlign w:val="bottom"/>
          </w:tcPr>
          <w:p>
            <w:pPr>
              <w:jc w:val="center"/>
              <w:ind w:right="693"/>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340" w:type="dxa"/>
            <w:vAlign w:val="bottom"/>
          </w:tcPr>
          <w:p>
            <w:pPr>
              <w:spacing w:after="0"/>
              <w:rPr>
                <w:sz w:val="24"/>
                <w:szCs w:val="24"/>
                <w:color w:val="auto"/>
              </w:rPr>
            </w:pPr>
          </w:p>
        </w:tc>
        <w:tc>
          <w:tcPr>
            <w:tcW w:w="10620" w:type="dxa"/>
            <w:vAlign w:val="bottom"/>
          </w:tcPr>
          <w:p>
            <w:pPr>
              <w:spacing w:after="0"/>
              <w:rPr>
                <w:sz w:val="24"/>
                <w:szCs w:val="24"/>
                <w:color w:val="auto"/>
              </w:rPr>
            </w:pPr>
          </w:p>
        </w:tc>
      </w:tr>
      <w:tr>
        <w:trPr>
          <w:trHeight w:val="168"/>
        </w:trPr>
        <w:tc>
          <w:tcPr>
            <w:tcW w:w="4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No.</w:t>
            </w:r>
          </w:p>
        </w:tc>
        <w:tc>
          <w:tcPr>
            <w:tcW w:w="340" w:type="dxa"/>
            <w:vAlign w:val="bottom"/>
          </w:tcPr>
          <w:p>
            <w:pPr>
              <w:spacing w:after="0"/>
              <w:rPr>
                <w:sz w:val="14"/>
                <w:szCs w:val="14"/>
                <w:color w:val="auto"/>
              </w:rPr>
            </w:pPr>
          </w:p>
        </w:tc>
        <w:tc>
          <w:tcPr>
            <w:tcW w:w="10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16"/>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93"/>
              </w:rPr>
              <w:t>Declaration of Trust of Federal Realty Investment Trust dated May 5, 1999 as amended by the Articles of Amendment of Declaration of Trust of</w:t>
            </w:r>
          </w:p>
        </w:tc>
      </w:tr>
      <w:tr>
        <w:trPr>
          <w:trHeight w:val="216"/>
        </w:trPr>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90"/>
              </w:rPr>
              <w:t>Federal Realty Investment Trust dated May 6, 2004, as corrected by the Certificate of Correction of Articles of Amendment of Declaration of Trust of</w:t>
            </w:r>
          </w:p>
        </w:tc>
      </w:tr>
      <w:tr>
        <w:trPr>
          <w:trHeight w:val="216"/>
        </w:trPr>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88"/>
              </w:rPr>
              <w:t>Federal Realty Investment Trust dated June 17, 2004, as amended by the Articles of Amendment of Declaration of Trust of Federal Realty Investment</w:t>
            </w:r>
          </w:p>
        </w:tc>
      </w:tr>
      <w:tr>
        <w:trPr>
          <w:trHeight w:val="216"/>
        </w:trPr>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91"/>
              </w:rPr>
              <w:t>Trust dated May 6, 2009 (previously filed as Exhibit 3.1 to the Trust’s Registration Statement on Form S-3 (File No. 333-160009) and incorporated</w:t>
            </w:r>
          </w:p>
        </w:tc>
      </w:tr>
      <w:tr>
        <w:trPr>
          <w:trHeight w:val="222"/>
        </w:trPr>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herein by 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87"/>
              </w:rPr>
              <w:t>Amended and Restated Bylaws of Federal Realty Investment Trust dated February 12, 2003, as amended October 29, 2003, May 5, 2004, February 17,</w:t>
            </w:r>
          </w:p>
        </w:tc>
      </w:tr>
      <w:tr>
        <w:trPr>
          <w:trHeight w:val="216"/>
        </w:trPr>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92"/>
              </w:rPr>
              <w:t>2006 and May 6, 2009 (previously filed as Exhibit 3.2 to the Trust’s Registration Statement on Form S-3 (File No. 333-160009) and incorporated</w:t>
            </w:r>
          </w:p>
        </w:tc>
      </w:tr>
      <w:tr>
        <w:trPr>
          <w:trHeight w:val="222"/>
        </w:trPr>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herein by 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92"/>
              </w:rPr>
              <w:t>Specimen Common Share certificate (previously filed as Exhibit 4(i) to the Trust’s Annual Report on Form 10-K for the year ended December 31,</w:t>
            </w:r>
          </w:p>
        </w:tc>
      </w:tr>
      <w:tr>
        <w:trPr>
          <w:trHeight w:val="222"/>
        </w:trPr>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1999 (File No. 1-07533) and incorporated herein by 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89"/>
              </w:rPr>
              <w:t>Articles Supplementary relating to the 5.417% Series 1 Cumulative Convertible Preferred Shares of Beneficial Interest (previously filed as Exhibit 4.1</w:t>
            </w:r>
          </w:p>
        </w:tc>
      </w:tr>
      <w:tr>
        <w:trPr>
          <w:trHeight w:val="222"/>
        </w:trPr>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to the Trust’s Current Report on Form 8-K filed on March 13, 2007, (File No. 1-07533) and incorporated herein by 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89"/>
              </w:rPr>
              <w:t>Amended and Restated Rights Agreement, dated March 11, 1999, between the Trust and American Stock Transfer &amp; Trust Company (previously filed</w:t>
            </w:r>
          </w:p>
        </w:tc>
      </w:tr>
      <w:tr>
        <w:trPr>
          <w:trHeight w:val="222"/>
        </w:trPr>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91"/>
              </w:rPr>
              <w:t>as Exhibit 1 to the Trust’s Registration Statement on Form 8-A/A filed on March 11, 1999 (File No. 1-07533) and incorporated herein by 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4"/>
                <w:szCs w:val="24"/>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89"/>
              </w:rPr>
              <w:t>First Amendment to Amended and Restated Rights Agreement, dated as of November 2003, between the Trust and American Stock Transfer &amp; Trust</w:t>
            </w:r>
          </w:p>
        </w:tc>
      </w:tr>
      <w:tr>
        <w:trPr>
          <w:trHeight w:val="216"/>
        </w:trPr>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91"/>
              </w:rPr>
              <w:t>Company (previously filed as Exhibit 4.5 to the Trust’s Annual Report on Form 10-K for the year ended December 31, 2003 (File No. 1-07533) and</w:t>
            </w:r>
          </w:p>
        </w:tc>
      </w:tr>
      <w:tr>
        <w:trPr>
          <w:trHeight w:val="222"/>
        </w:trPr>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4"/>
                <w:szCs w:val="24"/>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91"/>
              </w:rPr>
              <w:t>Second Amendment to Amended and Restated Rights Agreement, dated as of March 11, 2009, between the Trust and American Stock Transfer &amp;</w:t>
            </w:r>
          </w:p>
        </w:tc>
      </w:tr>
      <w:tr>
        <w:trPr>
          <w:trHeight w:val="222"/>
        </w:trPr>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90"/>
              </w:rPr>
              <w:t>Trust Company (previously filed as Exhibit 4.3 to the Trust’s current Report on Form 8-K (File No. 001-07533) and incorporated herein by 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24"/>
                <w:szCs w:val="24"/>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88"/>
              </w:rPr>
              <w:t>Indenture dated December 1, 1993 related to the Trust’s 7.48% Debentures due August 15, 2026; and 6.82% Medium Term Notes due August 1, 2027;</w:t>
            </w:r>
          </w:p>
        </w:tc>
      </w:tr>
      <w:tr>
        <w:trPr>
          <w:trHeight w:val="216"/>
        </w:trPr>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93"/>
              </w:rPr>
              <w:t>(previously filed as Exhibit 4(a) to the Trust’s Registration Statement on Form S-3 (File No. 33-51029), and amended on Form S-3 (File No. 33-</w:t>
            </w:r>
          </w:p>
        </w:tc>
      </w:tr>
      <w:tr>
        <w:trPr>
          <w:trHeight w:val="222"/>
        </w:trPr>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63687), filed on December 13, 1993 and incorporated herein by 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24"/>
                <w:szCs w:val="24"/>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87"/>
              </w:rPr>
              <w:t xml:space="preserve">Indenture dated September 1, 1998 related to the Trust’s 8.75% Notes due December 1, 2009; 6 </w:t>
            </w:r>
            <w:r>
              <w:rPr>
                <w:rFonts w:ascii="Arial" w:cs="Arial" w:eastAsia="Arial" w:hAnsi="Arial"/>
                <w:sz w:val="11"/>
                <w:szCs w:val="11"/>
                <w:color w:val="auto"/>
                <w:w w:val="87"/>
              </w:rPr>
              <w:t>1</w:t>
            </w:r>
            <w:r>
              <w:rPr>
                <w:rFonts w:ascii="Arial" w:cs="Arial" w:eastAsia="Arial" w:hAnsi="Arial"/>
                <w:sz w:val="18"/>
                <w:szCs w:val="18"/>
                <w:color w:val="auto"/>
                <w:w w:val="87"/>
              </w:rPr>
              <w:t>/</w:t>
            </w:r>
            <w:r>
              <w:rPr>
                <w:rFonts w:ascii="Arial" w:cs="Arial" w:eastAsia="Arial" w:hAnsi="Arial"/>
                <w:sz w:val="13"/>
                <w:szCs w:val="13"/>
                <w:color w:val="auto"/>
                <w:w w:val="87"/>
              </w:rPr>
              <w:t>8</w:t>
            </w:r>
            <w:r>
              <w:rPr>
                <w:rFonts w:ascii="Arial" w:cs="Arial" w:eastAsia="Arial" w:hAnsi="Arial"/>
                <w:sz w:val="18"/>
                <w:szCs w:val="18"/>
                <w:color w:val="auto"/>
                <w:w w:val="87"/>
              </w:rPr>
              <w:t>% Notes due November 15, 2007; 4.50% Notes due</w:t>
            </w:r>
          </w:p>
        </w:tc>
      </w:tr>
      <w:tr>
        <w:trPr>
          <w:trHeight w:val="216"/>
        </w:trPr>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88"/>
              </w:rPr>
              <w:t>2011; 5.65% Notes due 2016; 6.00% Notes due 2012; 6.20% Notes due 2017; 5.40% Notes due 2013; and 5.95% Notes due 2014 (previously filed as</w:t>
            </w:r>
          </w:p>
        </w:tc>
      </w:tr>
      <w:tr>
        <w:trPr>
          <w:trHeight w:val="216"/>
        </w:trPr>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95"/>
              </w:rPr>
              <w:t>Exhibit 4(a) to the Trust’s Registration Statement on Form S-3 (File No. 333-63619) filed on September 17, 1998 and incorporated herein by</w:t>
            </w:r>
          </w:p>
        </w:tc>
      </w:tr>
      <w:tr>
        <w:trPr>
          <w:trHeight w:val="222"/>
        </w:trPr>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24"/>
                <w:szCs w:val="24"/>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90"/>
              </w:rPr>
              <w:t>Pursuant to Regulation S-K Item 601(b)(4)(iii), the Trust by this filing agrees, upon request, to furnish to the Securities and Exchange Commission a</w:t>
            </w:r>
          </w:p>
        </w:tc>
      </w:tr>
      <w:tr>
        <w:trPr>
          <w:trHeight w:val="222"/>
        </w:trPr>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copy of other instruments defining the rights of holders of long-term debt of the Trust</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10.1</w:t>
            </w:r>
          </w:p>
        </w:tc>
        <w:tc>
          <w:tcPr>
            <w:tcW w:w="340" w:type="dxa"/>
            <w:vAlign w:val="bottom"/>
          </w:tcPr>
          <w:p>
            <w:pPr>
              <w:spacing w:after="0"/>
              <w:rPr>
                <w:sz w:val="24"/>
                <w:szCs w:val="24"/>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90"/>
              </w:rPr>
              <w:t>Amended and Restated 1993 Long-Term Incentive Plan, as amended on October 6, 1997 and further amended on May 6, 1998 (previously filed as</w:t>
            </w:r>
          </w:p>
        </w:tc>
      </w:tr>
      <w:tr>
        <w:trPr>
          <w:trHeight w:val="216"/>
        </w:trPr>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93"/>
              </w:rPr>
              <w:t>Exhibit 10.26 to the Trust’s Annual Report on Form 10-K for the year ended December 31, 1998 (File No. 1-07533) and incorporated herein by</w:t>
            </w:r>
          </w:p>
        </w:tc>
      </w:tr>
      <w:tr>
        <w:trPr>
          <w:trHeight w:val="222"/>
        </w:trPr>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10.2</w:t>
            </w:r>
          </w:p>
        </w:tc>
        <w:tc>
          <w:tcPr>
            <w:tcW w:w="340" w:type="dxa"/>
            <w:vAlign w:val="bottom"/>
          </w:tcPr>
          <w:p>
            <w:pPr>
              <w:spacing w:after="0"/>
              <w:rPr>
                <w:sz w:val="24"/>
                <w:szCs w:val="24"/>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90"/>
              </w:rPr>
              <w:t>Form of Severance Agreement between the Trust and Certain of its Officers dated December 31, 1994 (previously filed as a portion of Exhibit 10 to</w:t>
            </w:r>
          </w:p>
        </w:tc>
      </w:tr>
      <w:tr>
        <w:trPr>
          <w:trHeight w:val="222"/>
        </w:trPr>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97"/>
              </w:rPr>
              <w:t>the Trust’s Annual Report on Form 10-K for the year ended December 31, 1994 (File No. 1-07533) and incorporated herein by 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10.3</w:t>
            </w:r>
          </w:p>
        </w:tc>
        <w:tc>
          <w:tcPr>
            <w:tcW w:w="340" w:type="dxa"/>
            <w:vAlign w:val="bottom"/>
          </w:tcPr>
          <w:p>
            <w:pPr>
              <w:spacing w:after="0"/>
              <w:rPr>
                <w:sz w:val="24"/>
                <w:szCs w:val="24"/>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92"/>
              </w:rPr>
              <w:t>Severance Agreement between the Trust and Donald C. Wood dated February 22, 1999 (previously filed as a portion of Exhibit 10 to the Trust’s</w:t>
            </w:r>
          </w:p>
        </w:tc>
      </w:tr>
      <w:tr>
        <w:trPr>
          <w:trHeight w:val="216"/>
        </w:trPr>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92"/>
              </w:rPr>
              <w:t>Quarterly Report on Form 10-Q for the quarter ended March 31, 1999 (File No. 1-07533) (the “1999 1Q Form 10-Q”) and incorporated herein by</w:t>
            </w:r>
          </w:p>
        </w:tc>
      </w:tr>
      <w:tr>
        <w:trPr>
          <w:trHeight w:val="222"/>
        </w:trPr>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10.4</w:t>
            </w:r>
          </w:p>
        </w:tc>
        <w:tc>
          <w:tcPr>
            <w:tcW w:w="340" w:type="dxa"/>
            <w:vAlign w:val="bottom"/>
          </w:tcPr>
          <w:p>
            <w:pPr>
              <w:spacing w:after="0"/>
              <w:rPr>
                <w:sz w:val="24"/>
                <w:szCs w:val="24"/>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93"/>
              </w:rPr>
              <w:t>Executive Agreement between Federal Realty Investment Trust and Donald C. Wood dated February 22, 1999 (previously filed as a portion of</w:t>
            </w:r>
          </w:p>
        </w:tc>
      </w:tr>
      <w:tr>
        <w:trPr>
          <w:trHeight w:val="222"/>
        </w:trPr>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Exhibit 10 to the 1999 1Q Form 10-Q and incorporated herein by reference)</w:t>
            </w:r>
          </w:p>
        </w:tc>
      </w:tr>
      <w:tr>
        <w:trPr>
          <w:trHeight w:val="318"/>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10.5</w:t>
            </w:r>
          </w:p>
        </w:tc>
        <w:tc>
          <w:tcPr>
            <w:tcW w:w="340" w:type="dxa"/>
            <w:vAlign w:val="bottom"/>
          </w:tcPr>
          <w:p>
            <w:pPr>
              <w:spacing w:after="0"/>
              <w:rPr>
                <w:sz w:val="24"/>
                <w:szCs w:val="24"/>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91"/>
              </w:rPr>
              <w:t>Amendment to Executive Agreement between Federal Realty Investment Trust and Donald C. Wood dated February 16, 2005 (previously filed as</w:t>
            </w:r>
          </w:p>
        </w:tc>
      </w:tr>
      <w:tr>
        <w:trPr>
          <w:trHeight w:val="216"/>
        </w:trPr>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20" w:type="dxa"/>
            <w:vAlign w:val="bottom"/>
          </w:tcPr>
          <w:p>
            <w:pPr>
              <w:spacing w:after="0"/>
              <w:rPr>
                <w:sz w:val="20"/>
                <w:szCs w:val="20"/>
                <w:color w:val="auto"/>
              </w:rPr>
            </w:pPr>
            <w:r>
              <w:rPr>
                <w:rFonts w:ascii="Arial" w:cs="Arial" w:eastAsia="Arial" w:hAnsi="Arial"/>
                <w:sz w:val="18"/>
                <w:szCs w:val="18"/>
                <w:color w:val="auto"/>
                <w:w w:val="93"/>
              </w:rPr>
              <w:t>Exhibit 10.12 to the Trust’s Annual Report on Form 10-K for the year ended December 31, 2004 (File No. 1-07533) (the “2004 Form 10-K”) and</w:t>
            </w:r>
          </w:p>
        </w:tc>
      </w:tr>
      <w:tr>
        <w:trPr>
          <w:trHeight w:val="222"/>
        </w:trPr>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2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65"/>
        </w:trPr>
        <w:tc>
          <w:tcPr>
            <w:tcW w:w="460" w:type="dxa"/>
            <w:vAlign w:val="bottom"/>
          </w:tcPr>
          <w:p>
            <w:pPr>
              <w:spacing w:after="0"/>
              <w:rPr>
                <w:sz w:val="24"/>
                <w:szCs w:val="24"/>
                <w:color w:val="auto"/>
              </w:rPr>
            </w:pPr>
          </w:p>
        </w:tc>
        <w:tc>
          <w:tcPr>
            <w:tcW w:w="10960" w:type="dxa"/>
            <w:vAlign w:val="bottom"/>
            <w:gridSpan w:val="2"/>
          </w:tcPr>
          <w:p>
            <w:pPr>
              <w:jc w:val="right"/>
              <w:ind w:right="5533"/>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-7620</wp:posOffset>
            </wp:positionV>
            <wp:extent cx="723773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pacing w:after="0" w:line="94" w:lineRule="exact"/>
        <w:rPr>
          <w:sz w:val="20"/>
          <w:szCs w:val="20"/>
          <w:color w:val="auto"/>
        </w:rPr>
      </w:pPr>
    </w:p>
    <w:p>
      <w:pPr>
        <w:ind w:left="700" w:right="80" w:hanging="688"/>
        <w:spacing w:after="0" w:line="332" w:lineRule="auto"/>
        <w:tabs>
          <w:tab w:leader="none" w:pos="6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Split Dollar Life Insurance Agreement dated August 12, 1998 between the Trust and Donald C. Wood (previously filed as a portion of Exhibit 10 to the Trust’s Annual Report on Form 10-K for the year ended December 31, 2000 (File No. 1-07533) and incorporated herein by reference)</w:t>
      </w:r>
    </w:p>
    <w:p>
      <w:pPr>
        <w:spacing w:after="0" w:line="31" w:lineRule="exact"/>
        <w:rPr>
          <w:sz w:val="20"/>
          <w:szCs w:val="20"/>
          <w:color w:val="auto"/>
        </w:rPr>
      </w:pPr>
    </w:p>
    <w:p>
      <w:pPr>
        <w:ind w:left="700" w:right="280" w:hanging="688"/>
        <w:spacing w:after="0" w:line="332" w:lineRule="auto"/>
        <w:tabs>
          <w:tab w:leader="none" w:pos="6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Severance Agreement between the Trust and Jeffrey S. Berkes dated March 1, 2000 (previously filed as a portion of Exhibit 10 to the Trust’s Annual Report on Form 10-K for the year ended December 31, 2001 (File No. 1-07533) and incorporated herein by reference)</w:t>
      </w:r>
    </w:p>
    <w:p>
      <w:pPr>
        <w:spacing w:after="0" w:line="31" w:lineRule="exact"/>
        <w:rPr>
          <w:sz w:val="20"/>
          <w:szCs w:val="20"/>
          <w:color w:val="auto"/>
        </w:rPr>
      </w:pPr>
    </w:p>
    <w:p>
      <w:pPr>
        <w:ind w:left="700" w:right="460" w:hanging="688"/>
        <w:spacing w:after="0" w:line="268" w:lineRule="auto"/>
        <w:tabs>
          <w:tab w:leader="none" w:pos="68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Amendment to Severance Agreement between Federal Realty Investment Trust and Jeffrey S. Berkes dated February 16, 2005 (previously filed as Exhibit 10.17 to the 2004 Form 10-K and incorporated herein by reference)</w:t>
      </w:r>
    </w:p>
    <w:p>
      <w:pPr>
        <w:spacing w:after="0" w:line="78" w:lineRule="exact"/>
        <w:rPr>
          <w:sz w:val="20"/>
          <w:szCs w:val="20"/>
          <w:color w:val="auto"/>
        </w:rPr>
      </w:pPr>
    </w:p>
    <w:p>
      <w:pPr>
        <w:ind w:left="700" w:right="240" w:hanging="688"/>
        <w:spacing w:after="0" w:line="332" w:lineRule="auto"/>
        <w:tabs>
          <w:tab w:leader="none" w:pos="6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Severance Agreement dated March 1, 2002 between the Trust and Larry E. Finger (previously filed as a portion of Exhibit 10 to the Trust’s Quarterly Report on Form 10-Q for the quarter ended June 30, 2002 (File No. 1-07533) and incorporated herein by reference)</w:t>
      </w:r>
    </w:p>
    <w:p>
      <w:pPr>
        <w:spacing w:after="0" w:line="3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5"/>
          <w:szCs w:val="15"/>
          <w:color w:val="auto"/>
        </w:rPr>
        <w:t>Amendment to Severance Agreement between Federal Realty Investment Trust and Larry E. Finger dated February 16, 2005 (previously filed as Exhibit</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10.19 to the 2004 Form 10-K and incorporated herein by reference)</w:t>
      </w:r>
    </w:p>
    <w:p>
      <w:pPr>
        <w:spacing w:after="0" w:line="111" w:lineRule="exact"/>
        <w:rPr>
          <w:sz w:val="20"/>
          <w:szCs w:val="20"/>
          <w:color w:val="auto"/>
        </w:rPr>
      </w:pPr>
    </w:p>
    <w:p>
      <w:pPr>
        <w:ind w:left="700" w:right="180" w:hanging="688"/>
        <w:spacing w:after="0" w:line="332" w:lineRule="auto"/>
        <w:tabs>
          <w:tab w:leader="none" w:pos="68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Amendment to Stock Option Agreement dated August 15, 2002 between the Trust and Dawn M. Becker (previously filed as a portion of Exhibit 10 to the Trust’s Quarterly Report on Form 10-Q for the quarter ended September 30, 2002 (File No. 1-075330 and incorporated herein by reference)</w:t>
      </w:r>
    </w:p>
    <w:p>
      <w:pPr>
        <w:spacing w:after="0" w:line="31" w:lineRule="exact"/>
        <w:rPr>
          <w:sz w:val="20"/>
          <w:szCs w:val="20"/>
          <w:color w:val="auto"/>
        </w:rPr>
      </w:pPr>
    </w:p>
    <w:p>
      <w:pPr>
        <w:ind w:left="700" w:right="760" w:hanging="688"/>
        <w:spacing w:after="0" w:line="268" w:lineRule="auto"/>
        <w:tabs>
          <w:tab w:leader="none" w:pos="68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2001 Long-Term Incentive Plan (previously filed as Exhibit 99.1 to the Trust’s S-8 Registration Number 333-60364 filed on May 7, 2001 and incorporated herein by reference)</w:t>
      </w:r>
    </w:p>
    <w:p>
      <w:pPr>
        <w:spacing w:after="0" w:line="78" w:lineRule="exact"/>
        <w:rPr>
          <w:sz w:val="20"/>
          <w:szCs w:val="20"/>
          <w:color w:val="auto"/>
        </w:rPr>
      </w:pPr>
    </w:p>
    <w:p>
      <w:pPr>
        <w:ind w:left="700" w:right="140" w:hanging="688"/>
        <w:spacing w:after="0" w:line="268" w:lineRule="auto"/>
        <w:tabs>
          <w:tab w:leader="none" w:pos="6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Health Coverage Continuation Agreement between Federal Realty Investment Trust and Donald C. Wood dated February 16, 2005 (previously filed as Exhibit 10.26 to the 2004 Form 10-K and incorporated herein by reference)</w:t>
      </w:r>
    </w:p>
    <w:p>
      <w:pPr>
        <w:spacing w:after="0" w:line="78" w:lineRule="exact"/>
        <w:rPr>
          <w:sz w:val="20"/>
          <w:szCs w:val="20"/>
          <w:color w:val="auto"/>
        </w:rPr>
      </w:pPr>
    </w:p>
    <w:p>
      <w:pPr>
        <w:ind w:left="700" w:right="120" w:hanging="688"/>
        <w:spacing w:after="0" w:line="268" w:lineRule="auto"/>
        <w:tabs>
          <w:tab w:leader="none" w:pos="68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Severance Agreement between the Trust and Dawn M. Becker dated April 19, 2000 (previously filed as Exhibit 10.26 to the Trust’s 2005 2Q Form 10-Q and incorporated herein by reference)</w:t>
      </w:r>
    </w:p>
    <w:p>
      <w:pPr>
        <w:spacing w:after="0" w:line="78" w:lineRule="exact"/>
        <w:rPr>
          <w:sz w:val="20"/>
          <w:szCs w:val="20"/>
          <w:color w:val="auto"/>
        </w:rPr>
      </w:pPr>
    </w:p>
    <w:p>
      <w:pPr>
        <w:ind w:left="700" w:right="260" w:hanging="688"/>
        <w:spacing w:after="0" w:line="268" w:lineRule="auto"/>
        <w:tabs>
          <w:tab w:leader="none" w:pos="6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Amendment to Severance Agreement between the Trust and Dawn M. Becker dated February 16, 2005 (previously filed as Exhibit 10.27 to the 2004 Form 10-K and incorporated herein by reference)</w:t>
      </w:r>
    </w:p>
    <w:p>
      <w:pPr>
        <w:spacing w:after="0" w:line="78" w:lineRule="exact"/>
        <w:rPr>
          <w:sz w:val="20"/>
          <w:szCs w:val="20"/>
          <w:color w:val="auto"/>
        </w:rPr>
      </w:pPr>
    </w:p>
    <w:p>
      <w:pPr>
        <w:ind w:left="700" w:right="20" w:hanging="688"/>
        <w:spacing w:after="0" w:line="332" w:lineRule="auto"/>
        <w:tabs>
          <w:tab w:leader="none" w:pos="68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Form of Restricted Share Award Agreement for awards made under the Trust’s 2003 Long-Term Incentive Award Program for shares issued out of 2001 Long-Term Incentive Plan (previously filed as Exhibit 10.28 to the 2004 Form 10-K and incorporated herein by reference)</w:t>
      </w:r>
    </w:p>
    <w:p>
      <w:pPr>
        <w:spacing w:after="0" w:line="31" w:lineRule="exact"/>
        <w:rPr>
          <w:sz w:val="20"/>
          <w:szCs w:val="20"/>
          <w:color w:val="auto"/>
        </w:rPr>
      </w:pPr>
    </w:p>
    <w:p>
      <w:pPr>
        <w:ind w:left="700" w:right="240" w:hanging="688"/>
        <w:spacing w:after="0" w:line="332" w:lineRule="auto"/>
        <w:tabs>
          <w:tab w:leader="none" w:pos="68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Form of Restricted Share Award Agreement for awards made under the Trust’s Annual Incentive Bonus Program for shares issued out of 2001 Long-Term Incentive Plan (previously filed as Exhibit 10.29 to the 2004 Form 10-K and incorporated herein by reference)</w:t>
      </w:r>
    </w:p>
    <w:p>
      <w:pPr>
        <w:spacing w:after="0" w:line="31" w:lineRule="exact"/>
        <w:rPr>
          <w:sz w:val="20"/>
          <w:szCs w:val="20"/>
          <w:color w:val="auto"/>
        </w:rPr>
      </w:pPr>
    </w:p>
    <w:p>
      <w:pPr>
        <w:ind w:left="700" w:right="40" w:hanging="688"/>
        <w:spacing w:after="0" w:line="268" w:lineRule="auto"/>
        <w:tabs>
          <w:tab w:leader="none" w:pos="68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Form of Option Award Agreement for options awarded under 2001 Long-Term Incentive Plan (previously filed as Exhibit 10.30 to the 2004 Form 10-K and incorporated herein by reference)</w:t>
      </w:r>
    </w:p>
    <w:p>
      <w:pPr>
        <w:spacing w:after="0" w:line="78" w:lineRule="exact"/>
        <w:rPr>
          <w:sz w:val="20"/>
          <w:szCs w:val="20"/>
          <w:color w:val="auto"/>
        </w:rPr>
      </w:pPr>
    </w:p>
    <w:p>
      <w:pPr>
        <w:ind w:left="700" w:right="440" w:hanging="688"/>
        <w:spacing w:after="0" w:line="332" w:lineRule="auto"/>
        <w:tabs>
          <w:tab w:leader="none" w:pos="68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Form of Option Award Agreement for awards made under the Trust’s 2003 Long-Term Incentive Award Program for shares issued out of the 2001 Long-Term Incentive Plan (previously filed as Exhibit 10.32 to the 2005 Form 10-K and incorporated herein by reference)</w:t>
      </w:r>
    </w:p>
    <w:p>
      <w:pPr>
        <w:spacing w:after="0" w:line="31" w:lineRule="exact"/>
        <w:rPr>
          <w:sz w:val="20"/>
          <w:szCs w:val="20"/>
          <w:color w:val="auto"/>
        </w:rPr>
      </w:pPr>
    </w:p>
    <w:p>
      <w:pPr>
        <w:jc w:val="both"/>
        <w:ind w:left="700" w:right="380" w:hanging="688"/>
        <w:spacing w:after="0" w:line="259" w:lineRule="auto"/>
        <w:tabs>
          <w:tab w:leader="none" w:pos="68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Credit Agreement dated as of July 28, 2006, by and between the Trust, Wachovia Capital Markets LLC, Wachovia Bank, National Association and various other financial institutions (previously filed as Exhibit 10.1 to the Trust’s Current Report on Form 8-K (File No. 1-07533), filed on July 31, 2006 and incorporated herein by reference)</w:t>
      </w:r>
    </w:p>
    <w:p>
      <w:pPr>
        <w:spacing w:after="0" w:line="86" w:lineRule="exact"/>
        <w:rPr>
          <w:sz w:val="20"/>
          <w:szCs w:val="20"/>
          <w:color w:val="auto"/>
        </w:rPr>
      </w:pPr>
    </w:p>
    <w:p>
      <w:pPr>
        <w:ind w:left="700" w:right="100" w:hanging="688"/>
        <w:spacing w:after="0" w:line="268" w:lineRule="auto"/>
        <w:tabs>
          <w:tab w:leader="none" w:pos="68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Amended and Restated 2001 Long-Term Incentive Plan (previously filed as Exhibit 10.34 to the Trust’s Quarterly Report on Form 10-Q for the quarter ended June 30, 2008 (File No. 1-07533) and incorporated herein by reference)</w:t>
      </w:r>
    </w:p>
    <w:p>
      <w:pPr>
        <w:spacing w:after="0" w:line="78" w:lineRule="exact"/>
        <w:rPr>
          <w:sz w:val="20"/>
          <w:szCs w:val="20"/>
          <w:color w:val="auto"/>
        </w:rPr>
      </w:pPr>
    </w:p>
    <w:p>
      <w:pPr>
        <w:ind w:left="700" w:right="140" w:hanging="688"/>
        <w:spacing w:after="0" w:line="332" w:lineRule="auto"/>
        <w:tabs>
          <w:tab w:leader="none" w:pos="68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Restricted Share Award Agreement between the Trust and Joseph M. Squeri dated October 1, 2007 (previously filed as Exhibit 10.23 to the Trust’s Annual Report on Form 10-K for the year ended December 31, 2007 (File No 1-07533) (the “2007 Form 10-K”) and incorporated herein by reference)</w:t>
      </w:r>
    </w:p>
    <w:p>
      <w:pPr>
        <w:spacing w:after="0" w:line="31" w:lineRule="exact"/>
        <w:rPr>
          <w:sz w:val="20"/>
          <w:szCs w:val="20"/>
          <w:color w:val="auto"/>
        </w:rPr>
      </w:pPr>
    </w:p>
    <w:p>
      <w:pPr>
        <w:ind w:left="700" w:right="360" w:hanging="688"/>
        <w:spacing w:after="0" w:line="268" w:lineRule="auto"/>
        <w:tabs>
          <w:tab w:leader="none" w:pos="68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Severance Agreement between the Trust and Joseph M. Squeri dated October 1, 2007 (previously filed as Exhibit 10.24 to the 2007 Form 10-K and incorporated herein by reference)</w:t>
      </w:r>
    </w:p>
    <w:p>
      <w:pPr>
        <w:spacing w:after="0" w:line="78" w:lineRule="exact"/>
        <w:rPr>
          <w:sz w:val="20"/>
          <w:szCs w:val="20"/>
          <w:color w:val="auto"/>
        </w:rPr>
      </w:pPr>
    </w:p>
    <w:p>
      <w:pPr>
        <w:ind w:left="700" w:right="160" w:hanging="688"/>
        <w:spacing w:after="0" w:line="332" w:lineRule="auto"/>
        <w:tabs>
          <w:tab w:leader="none" w:pos="68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Credit Agreement dated as of November 9, 2007, by and among the Trust, Wachovia Capital Markets LLC, Wachovia Bank, National Association and various other financial institutions (previously filed as Exhibit 10.25 to the 2007 Form 10-K and incorporated herein by reference)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-7620</wp:posOffset>
            </wp:positionV>
            <wp:extent cx="723773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7730" cy="17145"/>
                    </a:xfrm>
                    <a:prstGeom prst="rect">
                      <a:avLst/>
                    </a:prstGeom>
                    <a:noFill/>
                  </pic:spPr>
                </pic:pic>
              </a:graphicData>
            </a:graphic>
          </wp:anchor>
        </w:drawing>
      </w:r>
    </w:p>
    <w:p>
      <w:pPr>
        <w:spacing w:after="0" w:line="94" w:lineRule="exact"/>
        <w:rPr>
          <w:sz w:val="20"/>
          <w:szCs w:val="20"/>
          <w:color w:val="auto"/>
        </w:rPr>
      </w:pPr>
    </w:p>
    <w:p>
      <w:pPr>
        <w:ind w:left="700" w:right="520" w:hanging="688"/>
        <w:spacing w:after="0" w:line="332" w:lineRule="auto"/>
        <w:tabs>
          <w:tab w:leader="none" w:pos="68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Change in Control Agreement between the Trust and Andrew P. Blocher dated February 12, 2007 (previously filed as Exhibit 10.27 to the Trust’s Quarterly Report on Form 10-Q for the quarter ended September 30, 2008 (File No. 1-07533) and incorporated herein by reference)</w:t>
      </w:r>
    </w:p>
    <w:p>
      <w:pPr>
        <w:spacing w:after="0" w:line="31" w:lineRule="exact"/>
        <w:rPr>
          <w:sz w:val="20"/>
          <w:szCs w:val="20"/>
          <w:color w:val="auto"/>
        </w:rPr>
      </w:pPr>
    </w:p>
    <w:p>
      <w:pPr>
        <w:ind w:left="700" w:right="80" w:hanging="688"/>
        <w:spacing w:after="0" w:line="332" w:lineRule="auto"/>
        <w:tabs>
          <w:tab w:leader="none" w:pos="68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Amendment to Severance Agreement between the Trust and Donald C. Wood dated January 1, 2009 (previously filed as Exhibit 10.26 to the Trust’s Annual Report on Form 10-K for the year ended December 31, 2008 (File No. 1-07533) (“the 2008 Form 10-K”) and incorporated herein by reference)</w:t>
      </w:r>
    </w:p>
    <w:p>
      <w:pPr>
        <w:spacing w:after="0" w:line="31" w:lineRule="exact"/>
        <w:rPr>
          <w:sz w:val="20"/>
          <w:szCs w:val="20"/>
          <w:color w:val="auto"/>
        </w:rPr>
      </w:pPr>
    </w:p>
    <w:p>
      <w:pPr>
        <w:ind w:left="700" w:right="300" w:hanging="688"/>
        <w:spacing w:after="0" w:line="268" w:lineRule="auto"/>
        <w:tabs>
          <w:tab w:leader="none" w:pos="68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Second Amendment to Executive Agreement between the Trust and Donald C. Wood dated January 1, 2009 (previously filed as Exhibit 10.27 to the Trust’s 2008 Form 10-K and incorporated herein by reference)</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5"/>
          <w:szCs w:val="15"/>
          <w:color w:val="auto"/>
        </w:rPr>
        <w:t>Amendment to Health Coverage Continuation Agreement between the Trust and Donald C. Wood dated January 1, 2009 (previously filed as Exhibit</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10.28 to the Trust’s 2008 Form 10-K and incorporated herein by reference)</w:t>
      </w:r>
    </w:p>
    <w:p>
      <w:pPr>
        <w:spacing w:after="0" w:line="111" w:lineRule="exact"/>
        <w:rPr>
          <w:sz w:val="20"/>
          <w:szCs w:val="20"/>
          <w:color w:val="auto"/>
        </w:rPr>
      </w:pPr>
    </w:p>
    <w:p>
      <w:pPr>
        <w:ind w:left="700" w:right="260" w:hanging="688"/>
        <w:spacing w:after="0" w:line="268" w:lineRule="auto"/>
        <w:tabs>
          <w:tab w:leader="none" w:pos="68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Second Amendment to Severance Agreement between the Trust and Jeffrey S. Berkes dated January 1, 2009 (previously filed as Exhibit 10.29 to the Trust’s 2008 Form 10-K and incorporated herein by reference)</w:t>
      </w:r>
    </w:p>
    <w:p>
      <w:pPr>
        <w:spacing w:after="0" w:line="78" w:lineRule="exact"/>
        <w:rPr>
          <w:sz w:val="20"/>
          <w:szCs w:val="20"/>
          <w:color w:val="auto"/>
        </w:rPr>
      </w:pPr>
    </w:p>
    <w:p>
      <w:pPr>
        <w:ind w:left="700" w:right="260" w:hanging="688"/>
        <w:spacing w:after="0" w:line="268" w:lineRule="auto"/>
        <w:tabs>
          <w:tab w:leader="none" w:pos="68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Second Amendment to Severance Agreement between the Trust and Dawn M. Becker dated January 1, 2009 (previously filed as Exhibit 10.30 to the Trust’s 2008 Form 10-K and incorporated herein by reference)</w:t>
      </w:r>
    </w:p>
    <w:p>
      <w:pPr>
        <w:spacing w:after="0" w:line="78" w:lineRule="exact"/>
        <w:rPr>
          <w:sz w:val="20"/>
          <w:szCs w:val="20"/>
          <w:color w:val="auto"/>
        </w:rPr>
      </w:pPr>
    </w:p>
    <w:p>
      <w:pPr>
        <w:ind w:left="700" w:right="120" w:hanging="688"/>
        <w:spacing w:after="0" w:line="268" w:lineRule="auto"/>
        <w:tabs>
          <w:tab w:leader="none" w:pos="68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Amendment to Change in Control Agreement between the Trust and Andrew P. Blocher dated January 1, 2009 (previously filed as Exhibit 10.31 to the Trust’s 2008 Form 10-K and incorporated herein by reference)</w:t>
      </w:r>
    </w:p>
    <w:p>
      <w:pPr>
        <w:spacing w:after="0" w:line="78" w:lineRule="exact"/>
        <w:rPr>
          <w:sz w:val="20"/>
          <w:szCs w:val="20"/>
          <w:color w:val="auto"/>
        </w:rPr>
      </w:pPr>
    </w:p>
    <w:p>
      <w:pPr>
        <w:ind w:left="700" w:right="240" w:hanging="688"/>
        <w:spacing w:after="0" w:line="268" w:lineRule="auto"/>
        <w:tabs>
          <w:tab w:leader="none" w:pos="68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Amendment to Stock Option Agreements between the Trust and Andrew P. Blocher dated February 17, 2009 (previously filed as Exhibit 10.32 to the Trust’s 2008 Form 10-K and incorporated herein by reference)</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5"/>
          <w:szCs w:val="15"/>
          <w:color w:val="auto"/>
        </w:rPr>
        <w:t>Restricted Share Award Agreement between the Trust and Andrew P. Blocher dated February 17, 2009 (previously filed as Exhibit 10.33 to the Trust’s</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2008 Form 10-K and incorporated herein by reference)</w:t>
      </w:r>
    </w:p>
    <w:p>
      <w:pPr>
        <w:spacing w:after="0" w:line="111" w:lineRule="exact"/>
        <w:rPr>
          <w:sz w:val="20"/>
          <w:szCs w:val="20"/>
          <w:color w:val="auto"/>
        </w:rPr>
      </w:pPr>
    </w:p>
    <w:p>
      <w:pPr>
        <w:ind w:left="700" w:hanging="688"/>
        <w:spacing w:after="0" w:line="268" w:lineRule="auto"/>
        <w:tabs>
          <w:tab w:leader="none" w:pos="68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Combined Incentive and Non-Qualified Stock Option Agreement between the Trust and Andrew P. Blocher dated February 17, 2009 (previously filed as Exhibit 10.34 to the Trust’s 2008 Form 10-K and incorporated herein by reference)</w:t>
      </w:r>
    </w:p>
    <w:p>
      <w:pPr>
        <w:spacing w:after="0" w:line="7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5"/>
          <w:szCs w:val="15"/>
          <w:color w:val="auto"/>
        </w:rPr>
        <w:t>Severance Agreement between the Trust and Andrew P. Blocher dated February 17, 2009 (previously filed as Exhibit 10.35 to the Trust’s 2008 Form</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10-K and incorporated herein by reference)</w:t>
      </w:r>
    </w:p>
    <w:p>
      <w:pPr>
        <w:spacing w:after="0" w:line="111" w:lineRule="exact"/>
        <w:rPr>
          <w:sz w:val="20"/>
          <w:szCs w:val="20"/>
          <w:color w:val="auto"/>
        </w:rPr>
      </w:pPr>
    </w:p>
    <w:p>
      <w:pPr>
        <w:ind w:left="700" w:right="20" w:hanging="688"/>
        <w:spacing w:after="0" w:line="306" w:lineRule="auto"/>
        <w:tabs>
          <w:tab w:leader="none" w:pos="68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Credit Agreement dated as of May 4, 2009, by and among the Trust, Wachovia Capital Markets LLC, PNC Capital Markets LLC, Wachovia Bank, National Association, PNC Bank, National Association and various other financial institutions (previously filed as Exhibit 10.37 to the Trust’s Quarterly Report on Form 10-Q for the quarter ended March 31, 2009 (File No. 1-07533) and incorporated herein by reference)</w:t>
      </w:r>
    </w:p>
    <w:p>
      <w:pPr>
        <w:spacing w:after="0" w:line="5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 Certification of Chief Executive Officer (filed herewith)</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 Certification of Chief Financial Officer (filed herewith)</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Chief Executive Officer (filed herewith)</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Chief Financial Officer (filed herewith)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2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spacing w:after="0"/>
        <w:tabs>
          <w:tab w:leader="none" w:pos="7840" w:val="left"/>
          <w:tab w:leader="none" w:pos="8180" w:val="left"/>
        </w:tabs>
        <w:rPr>
          <w:sz w:val="20"/>
          <w:szCs w:val="20"/>
          <w:color w:val="auto"/>
        </w:rPr>
      </w:pPr>
      <w:r>
        <w:rPr>
          <w:rFonts w:ascii="Arial" w:cs="Arial" w:eastAsia="Arial" w:hAnsi="Arial"/>
          <w:sz w:val="18"/>
          <w:szCs w:val="18"/>
          <w:color w:val="auto"/>
        </w:rPr>
        <w:t>November 4,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17"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3395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(Principal Executive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Andrew P. Blocher</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2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spacing w:after="0"/>
        <w:tabs>
          <w:tab w:leader="none" w:pos="7780" w:val="left"/>
          <w:tab w:leader="none" w:pos="8100" w:val="left"/>
        </w:tabs>
        <w:rPr>
          <w:sz w:val="20"/>
          <w:szCs w:val="20"/>
          <w:color w:val="auto"/>
        </w:rPr>
      </w:pPr>
      <w:r>
        <w:rPr>
          <w:rFonts w:ascii="Arial" w:cs="Arial" w:eastAsia="Arial" w:hAnsi="Arial"/>
          <w:sz w:val="18"/>
          <w:szCs w:val="18"/>
          <w:color w:val="auto"/>
        </w:rPr>
        <w:t>November 4,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P. Blocher</w:t>
      </w:r>
    </w:p>
    <w:p>
      <w:pPr>
        <w:spacing w:after="0" w:line="17"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3395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10"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September 30, 2009 (the “Report”). The undersigned hereby certifies, to the best of his knowledge, that:</w:t>
      </w:r>
    </w:p>
    <w:p>
      <w:pPr>
        <w:spacing w:after="0" w:line="59"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7840" w:val="left"/>
          <w:tab w:leader="none" w:pos="8180" w:val="left"/>
        </w:tabs>
        <w:rPr>
          <w:sz w:val="20"/>
          <w:szCs w:val="20"/>
          <w:color w:val="auto"/>
        </w:rPr>
      </w:pPr>
      <w:r>
        <w:rPr>
          <w:rFonts w:ascii="Arial" w:cs="Arial" w:eastAsia="Arial" w:hAnsi="Arial"/>
          <w:sz w:val="18"/>
          <w:szCs w:val="18"/>
          <w:color w:val="auto"/>
        </w:rPr>
        <w:t>November 4,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undersigned, Andrew P. Blocher, the Senior Vice President and Chief Financial Officer of Federal Realty Investment Trust (the “Company”), has executed this certification in connection with the filing with the Securities and Exchange Commission of the Company’s Quarterly Report on Form 10-Q for the period ended September 30, 2009 (the “Report”). The undersigned hereby certifies, to the best of his knowledge, that:</w:t>
      </w:r>
    </w:p>
    <w:p>
      <w:pPr>
        <w:spacing w:after="0" w:line="26"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7780" w:val="left"/>
          <w:tab w:leader="none" w:pos="8100" w:val="left"/>
        </w:tabs>
        <w:rPr>
          <w:sz w:val="20"/>
          <w:szCs w:val="20"/>
          <w:color w:val="auto"/>
        </w:rPr>
      </w:pPr>
      <w:r>
        <w:rPr>
          <w:rFonts w:ascii="Arial" w:cs="Arial" w:eastAsia="Arial" w:hAnsi="Arial"/>
          <w:sz w:val="18"/>
          <w:szCs w:val="18"/>
          <w:color w:val="auto"/>
        </w:rPr>
        <w:t>November 4,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0"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Andrew P. Blocher,</w:t>
      </w:r>
    </w:p>
    <w:p>
      <w:pPr>
        <w:spacing w:after="0" w:line="21"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Senior Vice President,</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10"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2"/>
    </w:lvl>
  </w:abstractNum>
  <w:abstractNum w:abstractNumId="24">
    <w:nsid w:val="71F32454"/>
    <w:multiLevelType w:val="hybridMultilevel"/>
    <w:lvl w:ilvl="0">
      <w:lvlJc w:val="left"/>
      <w:lvlText w:val="•"/>
      <w:numFmt w:val="bullet"/>
      <w:start w:val="1"/>
    </w:lvl>
    <w:lvl w:ilvl="1">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2019-12-10T00:24:44Z</dcterms:created>
  <dcterms:modified xsi:type="dcterms:W3CDTF">2019-12-10T00:24:44Z</dcterms:modified>
</cp:coreProperties>
</file>