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333-100819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 R O S P E C T U S  S U P P L E M E N 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9, 2003)</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$75,000,000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349885</wp:posOffset>
            </wp:positionV>
            <wp:extent cx="4725035"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5035"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4.50% Notes due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notes will bear interest at the rate of 4.50% per year. Interest on the notes is payable on February 15 and August 15 of each year, beginning on August 15, 2004. The notes will mature on February 15, 2011. We may redeem some or all of the notes at any time before maturity. The redemption prices are discussed under the caption “Description of Notes – Optional Redemption.”</w:t>
      </w:r>
    </w:p>
    <w:p>
      <w:pPr>
        <w:spacing w:after="0" w:line="12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notes will be unsecured senior obligations of our company and will rank equally with all of our other unsecured senior indebtedness.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Investing in the notes involves risks. See “Risk Factors” beginning on page S-1.</w:t>
      </w:r>
    </w:p>
    <w:p>
      <w:pPr>
        <w:spacing w:after="0" w:line="158"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119380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Per Note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99.698%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74,773,500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Underwriting Discount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0.625%</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Proceeds to Federal Realty (before expenses)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99.073%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74,304,750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Interest on the notes will accrue from January 26,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both"/>
        <w:ind w:right="340" w:firstLine="456"/>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January 26,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149225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25" w:lineRule="exact"/>
        <w:rPr>
          <w:sz w:val="24"/>
          <w:szCs w:val="24"/>
          <w:color w:val="auto"/>
        </w:rPr>
      </w:pPr>
    </w:p>
    <w:p>
      <w:pPr>
        <w:spacing w:after="0"/>
        <w:tabs>
          <w:tab w:leader="none" w:pos="8600" w:val="left"/>
        </w:tabs>
        <w:rPr>
          <w:sz w:val="20"/>
          <w:szCs w:val="20"/>
          <w:color w:val="auto"/>
        </w:rPr>
      </w:pPr>
      <w:r>
        <w:rPr>
          <w:rFonts w:ascii="Arial" w:cs="Arial" w:eastAsia="Arial" w:hAnsi="Arial"/>
          <w:sz w:val="28"/>
          <w:szCs w:val="28"/>
          <w:b w:val="1"/>
          <w:bCs w:val="1"/>
          <w:color w:val="auto"/>
        </w:rPr>
        <w:t>Citigroup</w:t>
      </w:r>
      <w:r>
        <w:rPr>
          <w:sz w:val="20"/>
          <w:szCs w:val="20"/>
          <w:color w:val="auto"/>
        </w:rPr>
        <w:tab/>
      </w:r>
      <w:r>
        <w:rPr>
          <w:rFonts w:ascii="Arial" w:cs="Arial" w:eastAsia="Arial" w:hAnsi="Arial"/>
          <w:sz w:val="28"/>
          <w:szCs w:val="28"/>
          <w:b w:val="1"/>
          <w:bCs w:val="1"/>
          <w:color w:val="auto"/>
        </w:rPr>
        <w:t>Wachovia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215900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Legg Mason Wood Walker</w:t>
      </w:r>
    </w:p>
    <w:p>
      <w:pPr>
        <w:spacing w:after="0" w:line="37" w:lineRule="exact"/>
        <w:rPr>
          <w:sz w:val="24"/>
          <w:szCs w:val="24"/>
          <w:color w:val="auto"/>
        </w:rPr>
      </w:pPr>
    </w:p>
    <w:p>
      <w:pPr>
        <w:ind w:left="1500"/>
        <w:spacing w:after="0"/>
        <w:rPr>
          <w:sz w:val="20"/>
          <w:szCs w:val="20"/>
          <w:color w:val="auto"/>
        </w:rPr>
      </w:pPr>
      <w:r>
        <w:rPr>
          <w:rFonts w:ascii="Arial" w:cs="Arial" w:eastAsia="Arial" w:hAnsi="Arial"/>
          <w:sz w:val="14"/>
          <w:szCs w:val="14"/>
          <w:b w:val="1"/>
          <w:bCs w:val="1"/>
          <w:color w:val="auto"/>
        </w:rPr>
        <w:t>Incorporated</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24"/>
          <w:szCs w:val="24"/>
          <w:b w:val="1"/>
          <w:bCs w:val="1"/>
          <w:color w:val="auto"/>
        </w:rPr>
        <w:t>Merrill Lynch &amp; Co.</w:t>
      </w:r>
    </w:p>
    <w:p>
      <w:pPr>
        <w:spacing w:after="0" w:line="75"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Bear, Stearns &amp; Co. Inc.</w:t>
      </w:r>
    </w:p>
    <w:p>
      <w:pPr>
        <w:spacing w:after="0" w:line="75" w:lineRule="exact"/>
        <w:rPr>
          <w:sz w:val="24"/>
          <w:szCs w:val="24"/>
          <w:color w:val="auto"/>
        </w:rPr>
      </w:pPr>
    </w:p>
    <w:p>
      <w:pPr>
        <w:ind w:left="8560"/>
        <w:spacing w:after="0"/>
        <w:rPr>
          <w:sz w:val="20"/>
          <w:szCs w:val="20"/>
          <w:color w:val="auto"/>
        </w:rPr>
      </w:pPr>
      <w:r>
        <w:rPr>
          <w:rFonts w:ascii="Arial" w:cs="Arial" w:eastAsia="Arial" w:hAnsi="Arial"/>
          <w:sz w:val="22"/>
          <w:szCs w:val="22"/>
          <w:b w:val="1"/>
          <w:bCs w:val="1"/>
          <w:color w:val="auto"/>
        </w:rPr>
        <w:t>McDonald Investments Inc.</w:t>
      </w:r>
    </w:p>
    <w:p>
      <w:pPr>
        <w:sectPr>
          <w:pgSz w:w="11900" w:h="16838" w:orient="portrait"/>
          <w:cols w:equalWidth="0" w:num="1">
            <w:col w:w="11420"/>
          </w:cols>
          <w:pgMar w:left="240" w:top="230" w:right="239" w:bottom="1440" w:gutter="0" w:footer="0" w:header="0"/>
        </w:sectPr>
      </w:pPr>
    </w:p>
    <w:p>
      <w:pPr>
        <w:spacing w:after="0" w:line="199" w:lineRule="exact"/>
        <w:rPr>
          <w:sz w:val="24"/>
          <w:szCs w:val="24"/>
          <w:color w:val="auto"/>
        </w:rPr>
      </w:pPr>
    </w:p>
    <w:p>
      <w:pPr>
        <w:spacing w:after="0"/>
        <w:rPr>
          <w:sz w:val="20"/>
          <w:szCs w:val="20"/>
          <w:color w:val="auto"/>
        </w:rPr>
      </w:pPr>
      <w:r>
        <w:rPr>
          <w:rFonts w:ascii="Arial" w:cs="Arial" w:eastAsia="Arial" w:hAnsi="Arial"/>
          <w:sz w:val="15"/>
          <w:szCs w:val="15"/>
          <w:color w:val="auto"/>
        </w:rPr>
        <w:t>January 21, 2004</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and the underwriters have not, authorized anyone to provide you with different information. We are not making an offer of these securities in any state where the offer is not permitted. You should assume that the information contained in this prospectus supplement, the accompanying prospectus and the documents incorporated by reference is accurate only as of their respective dates. Our business, financial conditions,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137795</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80" w:type="dxa"/>
            <w:vAlign w:val="bottom"/>
            <w:gridSpan w:val="2"/>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10"/>
        </w:trPr>
        <w:tc>
          <w:tcPr>
            <w:tcW w:w="540" w:type="dxa"/>
            <w:vAlign w:val="bottom"/>
            <w:vMerge w:val="restart"/>
          </w:tcPr>
          <w:p>
            <w:pPr>
              <w:spacing w:after="0"/>
              <w:rPr>
                <w:sz w:val="9"/>
                <w:szCs w:val="9"/>
                <w:color w:val="auto"/>
              </w:rPr>
            </w:pPr>
          </w:p>
        </w:tc>
        <w:tc>
          <w:tcPr>
            <w:tcW w:w="36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26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600" w:type="dxa"/>
            <w:vAlign w:val="bottom"/>
            <w:vMerge w:val="restart"/>
          </w:tcPr>
          <w:p>
            <w:pPr>
              <w:spacing w:after="0"/>
              <w:rPr>
                <w:sz w:val="9"/>
                <w:szCs w:val="9"/>
                <w:color w:val="auto"/>
              </w:rPr>
            </w:pPr>
          </w:p>
        </w:tc>
        <w:tc>
          <w:tcPr>
            <w:tcW w:w="24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240" w:type="dxa"/>
            <w:vAlign w:val="bottom"/>
            <w:vMerge w:val="restart"/>
          </w:tcPr>
          <w:p>
            <w:pPr>
              <w:spacing w:after="0"/>
              <w:rPr>
                <w:sz w:val="9"/>
                <w:szCs w:val="9"/>
                <w:color w:val="auto"/>
              </w:rPr>
            </w:pPr>
          </w:p>
        </w:tc>
        <w:tc>
          <w:tcPr>
            <w:tcW w:w="40" w:type="dxa"/>
            <w:vAlign w:val="bottom"/>
            <w:vMerge w:val="restart"/>
          </w:tcPr>
          <w:p>
            <w:pPr>
              <w:spacing w:after="0"/>
              <w:rPr>
                <w:sz w:val="9"/>
                <w:szCs w:val="9"/>
                <w:color w:val="auto"/>
              </w:rPr>
            </w:pPr>
          </w:p>
        </w:tc>
        <w:tc>
          <w:tcPr>
            <w:tcW w:w="2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7900" w:type="dxa"/>
            <w:vAlign w:val="bottom"/>
            <w:gridSpan w:val="3"/>
            <w:vMerge w:val="restart"/>
          </w:tcPr>
          <w:p>
            <w:pPr>
              <w:jc w:val="center"/>
              <w:ind w:right="3420"/>
              <w:spacing w:after="0"/>
              <w:rPr>
                <w:sz w:val="20"/>
                <w:szCs w:val="20"/>
                <w:color w:val="auto"/>
              </w:rPr>
            </w:pPr>
            <w:r>
              <w:rPr>
                <w:rFonts w:ascii="Arial" w:cs="Arial" w:eastAsia="Arial" w:hAnsi="Arial"/>
                <w:sz w:val="18"/>
                <w:szCs w:val="18"/>
                <w:b w:val="1"/>
                <w:bCs w:val="1"/>
                <w:color w:val="auto"/>
                <w:w w:val="85"/>
              </w:rPr>
              <w:t>Prospectus Supplement</w:t>
            </w: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90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109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Cautionary Statement Concerning Forward-Looking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Risk Factors</w:t>
              </w:r>
            </w:hyperlink>
          </w:p>
        </w:tc>
        <w:tc>
          <w:tcPr>
            <w:tcW w:w="3600" w:type="dxa"/>
            <w:vAlign w:val="bottom"/>
            <w:tcBorders>
              <w:top w:val="single" w:sz="8" w:color="0000EE"/>
            </w:tcBorders>
            <w:gridSpan w:val="15"/>
          </w:tcPr>
          <w:p>
            <w:pPr>
              <w:spacing w:after="0"/>
              <w:rPr>
                <w:sz w:val="17"/>
                <w:szCs w:val="17"/>
                <w:color w:val="auto"/>
              </w:rPr>
            </w:pPr>
          </w:p>
        </w:tc>
        <w:tc>
          <w:tcPr>
            <w:tcW w:w="64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860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Ratios of Earnings to Fixed Charges</w:t>
              </w:r>
            </w:hyperlink>
          </w:p>
        </w:tc>
        <w:tc>
          <w:tcPr>
            <w:tcW w:w="842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Description of Notes</w:t>
              </w:r>
            </w:hyperlink>
          </w:p>
        </w:tc>
        <w:tc>
          <w:tcPr>
            <w:tcW w:w="950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Certain Federal Income Tax Considerations</w:t>
              </w:r>
            </w:hyperlink>
          </w:p>
        </w:tc>
        <w:tc>
          <w:tcPr>
            <w:tcW w:w="790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Underwriting</w:t>
              </w:r>
            </w:hyperlink>
          </w:p>
        </w:tc>
        <w:tc>
          <w:tcPr>
            <w:tcW w:w="1002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Experts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Legal Matters</w:t>
              </w:r>
            </w:hyperlink>
          </w:p>
        </w:tc>
        <w:tc>
          <w:tcPr>
            <w:tcW w:w="998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505"/>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80" w:type="dxa"/>
            <w:vAlign w:val="bottom"/>
            <w:gridSpan w:val="2"/>
          </w:tcPr>
          <w:p>
            <w:pPr>
              <w:jc w:val="center"/>
              <w:ind w:right="4860"/>
              <w:spacing w:after="0"/>
              <w:rPr>
                <w:sz w:val="20"/>
                <w:szCs w:val="20"/>
                <w:color w:val="auto"/>
              </w:rPr>
            </w:pPr>
            <w:r>
              <w:rPr>
                <w:rFonts w:ascii="Arial" w:cs="Arial" w:eastAsia="Arial" w:hAnsi="Arial"/>
                <w:sz w:val="18"/>
                <w:szCs w:val="18"/>
                <w:b w:val="1"/>
                <w:bCs w:val="1"/>
                <w:color w:val="auto"/>
                <w:w w:val="83"/>
              </w:rPr>
              <w:t>Prospectus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80" w:type="dxa"/>
            <w:vAlign w:val="bottom"/>
            <w:gridSpan w:val="19"/>
          </w:tcPr>
          <w:p>
            <w:pPr>
              <w:spacing w:after="0"/>
              <w:rPr>
                <w:sz w:val="20"/>
                <w:szCs w:val="20"/>
                <w:color w:val="auto"/>
              </w:rPr>
            </w:pPr>
            <w:r>
              <w:rPr>
                <w:rFonts w:ascii="Arial" w:cs="Arial" w:eastAsia="Arial" w:hAnsi="Arial"/>
                <w:sz w:val="18"/>
                <w:szCs w:val="18"/>
                <w:color w:val="0000EE"/>
              </w:rPr>
              <w:t>About this Prospectus</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Forward-Looking Information</w:t>
            </w:r>
          </w:p>
        </w:tc>
        <w:tc>
          <w:tcPr>
            <w:tcW w:w="884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sz w:val="20"/>
                <w:szCs w:val="20"/>
                <w:color w:val="auto"/>
              </w:rPr>
            </w:pPr>
            <w:r>
              <w:rPr>
                <w:rFonts w:ascii="Arial" w:cs="Arial" w:eastAsia="Arial" w:hAnsi="Arial"/>
                <w:sz w:val="18"/>
                <w:szCs w:val="18"/>
                <w:color w:val="0000EE"/>
              </w:rPr>
              <w:t>The Company</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19"/>
          </w:tcPr>
          <w:p>
            <w:pPr>
              <w:spacing w:after="0" w:line="196" w:lineRule="exact"/>
              <w:rPr>
                <w:sz w:val="20"/>
                <w:szCs w:val="20"/>
                <w:color w:val="auto"/>
              </w:rPr>
            </w:pPr>
            <w:r>
              <w:rPr>
                <w:rFonts w:ascii="Arial" w:cs="Arial" w:eastAsia="Arial" w:hAnsi="Arial"/>
                <w:sz w:val="18"/>
                <w:szCs w:val="18"/>
                <w:color w:val="0000EE"/>
              </w:rPr>
              <w:t>Use of Proceeds</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7"/>
              </w:rPr>
              <w:t>Ratios of Earnings to Combined Fixed Charges and Preferred Share Dividends</w:t>
            </w:r>
          </w:p>
        </w:tc>
        <w:tc>
          <w:tcPr>
            <w:tcW w:w="54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Description of Debt Securities</w:t>
            </w:r>
          </w:p>
        </w:tc>
        <w:tc>
          <w:tcPr>
            <w:tcW w:w="884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Description of Shares of Beneficial Interest</w:t>
            </w:r>
          </w:p>
        </w:tc>
        <w:tc>
          <w:tcPr>
            <w:tcW w:w="792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5"/>
              </w:rPr>
              <w:t>Federal Income Tax Consequences</w:t>
            </w:r>
          </w:p>
        </w:tc>
        <w:tc>
          <w:tcPr>
            <w:tcW w:w="852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sz w:val="20"/>
                <w:szCs w:val="20"/>
                <w:color w:val="auto"/>
              </w:rPr>
            </w:pPr>
            <w:r>
              <w:rPr>
                <w:rFonts w:ascii="Arial" w:cs="Arial" w:eastAsia="Arial" w:hAnsi="Arial"/>
                <w:sz w:val="18"/>
                <w:szCs w:val="18"/>
                <w:color w:val="0000EE"/>
              </w:rPr>
              <w:t>Plan of Distribution</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958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998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1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0"/>
              </w:rPr>
              <w:t>Notice Regarding Arthur Andersen LLP</w:t>
            </w:r>
          </w:p>
        </w:tc>
        <w:tc>
          <w:tcPr>
            <w:tcW w:w="814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and the Private Securities Litigation Reform Act of 1995. In particular, the risk factors included or incorporated by reference in this prospectus supplement and the accompanying prospectus describe forward-looking information. The risk factors, including those contained in our Form 8-K filed with the Securities and Exchange Commission, or the SEC, on March 25, 2003,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24" w:lineRule="exact"/>
        <w:rPr>
          <w:sz w:val="20"/>
          <w:szCs w:val="20"/>
          <w:color w:val="auto"/>
        </w:rPr>
      </w:pPr>
    </w:p>
    <w:p>
      <w:pPr>
        <w:ind w:left="660" w:right="20" w:hanging="206"/>
        <w:spacing w:after="0" w:line="298"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our tenants will not pay rent or that we may be unable to renew leases or re-let space at favorable rents as leases expire, that new acquisitions or our development, construction and renovation projects, including our Santana Row project, may fail to perform as expected, that competition for acquisitions could result in increased prices, that we may have environmental risks at our properties, and, because real estate is illiquid, that we may not be able to sell properties when appropriate;</w:t>
      </w:r>
    </w:p>
    <w:p>
      <w:pPr>
        <w:spacing w:after="0" w:line="18"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660" w:right="360" w:hanging="206"/>
        <w:spacing w:after="0" w:line="325"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 and</w:t>
      </w:r>
    </w:p>
    <w:p>
      <w:pPr>
        <w:spacing w:after="0" w:line="1" w:lineRule="exact"/>
        <w:rPr>
          <w:rFonts w:ascii="Arial" w:cs="Arial" w:eastAsia="Arial" w:hAnsi="Arial"/>
          <w:sz w:val="16"/>
          <w:szCs w:val="16"/>
          <w:color w:val="auto"/>
        </w:rPr>
      </w:pPr>
    </w:p>
    <w:p>
      <w:pPr>
        <w:jc w:val="both"/>
        <w:ind w:left="660" w:right="300" w:hanging="206"/>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the notes involves a significant degree of risk. You should carefully consider the following risk factors, together with all of the other information included or incorporated by reference in this prospectus supplement, including the additional risk factors included in our Current Report on Form 8-K filed with the SEC on March 25, 2003, before you decide to purchase the notes. The risks and uncertainties described below and in the referenced Form 8-K are not the only ones we confront. Additional risks and uncertainties not currently known to us or that we currently deem immaterial also may impair our business operations. If any of those risks actually occur, our business’s financial condition and operating results could be materially adversely affected. This section contains forward-looking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the subsidiaries’ preferred equity holders.</w:t>
      </w:r>
    </w:p>
    <w:p>
      <w:pPr>
        <w:spacing w:after="0" w:line="8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the subsidiaries, the holders of any indebtedness of that subsidiary will be entitled to obtain payment of that indebtedness from the assets of that subsidiary before the holders of any of our general unsecured obligations, including the notes, will have the right to obtain payment from the assets of that subsidiary. At September 30, 2003, after giving effect to this offering and the application of the net proceeds, our subsidiaries had approximately $70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2003, after giving effect to this offering and the application of the net proceeds, we had approximately $251 million of secured debt outstanding, all of which was effectively senior to the notes to the extent of the value of the securing assets.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notes will be a new issue of securities for which there is currently no market.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77"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36"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36"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36"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36"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left="240" w:right="60"/>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and mixed-use properties. As of September 30, 2003, we owned or had an interest in 60 community and neighborhood shopping centers, 53 urban, mixed-use properties containing approximately 15.5 million square feet, and one apartment complex, all located in strategic metropolitan markets across the United States.</w:t>
      </w:r>
    </w:p>
    <w:p>
      <w:pPr>
        <w:spacing w:after="0" w:line="13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in our website is not a part of this prospectus supplement.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$75,000,000 aggregate principal amount of 4.50% Notes due 2011.</w:t>
      </w:r>
    </w:p>
    <w:p>
      <w:pPr>
        <w:spacing w:after="0" w:line="152"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Unless redeemed prior to maturity as described below, the notes will mature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 February 15, 2011.</w:t>
      </w:r>
    </w:p>
    <w:p>
      <w:pPr>
        <w:spacing w:after="0" w:line="11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160"/>
        <w:spacing w:after="0" w:line="370" w:lineRule="auto"/>
        <w:rPr>
          <w:sz w:val="20"/>
          <w:szCs w:val="20"/>
          <w:color w:val="auto"/>
        </w:rPr>
      </w:pPr>
      <w:r>
        <w:rPr>
          <w:rFonts w:ascii="Arial" w:cs="Arial" w:eastAsia="Arial" w:hAnsi="Arial"/>
          <w:sz w:val="15"/>
          <w:szCs w:val="15"/>
          <w:color w:val="auto"/>
        </w:rPr>
        <w:t>Interest on the notes will be payable semi-annually in arrears on February 15 and August 15, commencing August 15, 2004, and at maturity.</w:t>
      </w:r>
    </w:p>
    <w:p>
      <w:pPr>
        <w:spacing w:after="0" w:line="8"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will rank pari passu, or equally, with all of our other unsecured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unsubordinated indebtedness, and the notes will be effectively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subordinated to the prior claims of each secured mortgage lender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specific property which secures such lender’s mortgage and to all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unsecured indebtedness issued by our subsidiaries. After giving effect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offering and to the use of proceeds from this offering, we will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approximately $251 million of secured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collateralized by 11 properties, approximately $11 million of unsecured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indebtedness issued by our subsidiaries and approximately $858 million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other unsecured indebtedness ranking equally with the notes.</w:t>
      </w:r>
    </w:p>
    <w:p>
      <w:pPr>
        <w:spacing w:after="0" w:line="15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net proceeds from this offering are estimated to be $74 million after deducting the underwriting discount and other estimated expenses of this offering. We expect to use these net proceeds to repay amounts outstanding under our revolving credit facility and for general corporate purposes. See “Use of Proceeds” on page S-7 for more information.</w:t>
      </w:r>
    </w:p>
    <w:p>
      <w:pPr>
        <w:spacing w:after="0" w:line="62"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Limitations on Incurrence of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contain various covenants, including the following:</w:t>
      </w:r>
    </w:p>
    <w:p>
      <w:pPr>
        <w:spacing w:after="0" w:line="10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(1) we will not, and will not permit any subsidiary to, incur any Debt if,</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immediately after giving effect to the incurrence of such Debt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thereof, the aggregate principal amount of all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our outstanding Debt and our subsidiaries on a consolidated basis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determined in accordance with generally accepted accounting principles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greater than 60% of the sum of (without duplication) (a) Total Assets as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end of the calendar quarter covered in our Annual Report on Form 10-K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Quarterly Report on Form 10-Q, as the case may be, most recently filed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the SEC (or, if such filing is not permitted under the Exchange Act,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the Trustee) prior to the incurrence of such additional Debt and (b)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purchase price of any real estate assets or mortgages receivable acquired,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and the amount of any securities offering proceeds received (to the extent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proceeds were not used to acquire real estate assets or mortgages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receivable or used to reduce Debt), by us or any subsidiary since the end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such calendar quarter, including those proceeds obtained in connection with</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incurrence of such additional Debt;</w:t>
      </w:r>
    </w:p>
    <w:p>
      <w:pPr>
        <w:spacing w:after="0" w:line="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 we will not, and will not permit any subsidiary to, incur any Debt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secured by any mortgage, lien, charge, pledge, encumbrance or security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of any kind upon any of our or any of our subsidiaries’ property if,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immediately after giving effect to the incurrence of such Debt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thereof, the aggregate principal amount of all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our and our subsidiaries’ outstanding Debt on a consolidated basis which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secured by any mortgage, lien, charge, pledge, encumbrance or security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on our or our subsidiaries’ property is greater than 40% of the sum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(without duplication) (a) Total Assets as of the end of the calendar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quarter covered in our Annual Report on Form 10-K or Quarterly Report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Form 10-Q, as the case may be, most recently filed with the SEC (or, if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such filing is not permitted under the Exchange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00"/>
          </w:cols>
          <w:pgMar w:left="240" w:top="459" w:right="2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Act, with the Trustee) prior to the incurrence of such additional Debt and</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 the purchase price of any real estate assets or mortgages receivable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acquired, and the amount of any securities offering proceeds received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extent such proceeds were not used to acquire real estate assets 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mortgages receivable or used to reduce Debt), by us or any subsidiary since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end of such calendar quarter, including those proceeds obtained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connection with the incurrence of such additional Debt; provided that for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purposes of this limitation, the amount of obligations under capital leases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shown as a liability on our consolidated balance sheet shall be deducted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from Debt and from Total Assets;</w:t>
      </w:r>
    </w:p>
    <w:p>
      <w:pPr>
        <w:spacing w:after="0" w:line="7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(3) we will not, and will not permit any subsidiary to, incur any Debt if the</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ratio of Consolidated Income Available for Debt Service to the Annual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Service Charge for the four consecutive fiscal quarters most recently ended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prior to the date on which such additional Debt is to be incurred shall have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been less than 1.5 to 1, on an unaudited pro forma basis after giving effect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thereto and to the application of the proceeds therefrom and calculated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assumption that (a) such Debt and any other Debt incurred by us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our subsidiaries since the first day of such four-quarter period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therefrom, including to refinance other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had occurred at the beginning of such period; (b) the repayment 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retirement of any other Debt by us and our subsidiaries since the first day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such four-quarter period had been incurred, repaid or retired at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beginning of such period (except that, in making such computation,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amount of Debt under any revolving credit facility shall be computed based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upon the average daily balance of such Debt during such period); (c) in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case of Acquired Debt (as defined below) or Debt incurred in connection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any acquisition since the first day of such four-quarter period,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related acquisition had occurred as of the first day of such period, with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appropriate adjustments with respect to such acquisition being included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unaudited pro forma calculation; and (d) in the case of any acquisition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or disposition by us or our subsidiaries of any asset or group of assets since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first day of such four-quarter period, whether by merger, stock purchase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sale, or asset purchase or sale, such acquisition or disposition or any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related repayment of Debt had occurred as of the first day of such period,</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the appropriate adjustments with respect to such acquisition or</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disposition being included in such unaudited pro forma calculation; and</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(4) we, together with our subsidiaries, will maintain an Unencumbered</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Total Asset Value in an amount not less than 150% of the aggregate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outstanding principal amount of all of our and our subsidiaries’ unsecured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Debt.</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notes are redeemable at any time at our option, in whole or in part, at a redemption price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15 basis points, plus, in each case, accrued interest thereon to the redemption date. A detailed description is in “Description of Notes – Optional Redemption.”</w:t>
      </w:r>
    </w:p>
    <w:p>
      <w:pPr>
        <w:spacing w:after="0" w:line="105"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S-6</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net proceeds to us from the sale of the notes offered by this prospectus supplement are estimated to be $74 million, after deducting the underwriting discount and other estimated expenses of this offering. We intend to use these net proceeds to repay borrowings under our revolving credit facility and for general corporate purposes. As of January 21, 2004, we had approximately $106 million of debt outstanding on our revolving credit facility bearing interest at a weighted average annual rate of 1.86%. Our revolving credit facility matures in October 2006 subject to a one-year extension option. The borrowings under our credit facility were used for general corporate purposes, including working capital, property acquisitions and redevelopments. Affiliates of Citigroup Global Markets Inc., Wachovia Capital Markets, LLC and McDonald Investments Inc. are lenders under our revolving credit facility and will receive a pro rata portion of any proceeds used to reduce amounts outstanding under the credit facility.</w:t>
      </w:r>
    </w:p>
    <w:p>
      <w:pPr>
        <w:spacing w:after="0" w:line="9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ratios of earnings to fixed charges for the periods shown: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4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gridSpan w:val="3"/>
          </w:tcPr>
          <w:p>
            <w:pPr>
              <w:jc w:val="center"/>
              <w:ind w:left="287"/>
              <w:spacing w:after="0"/>
              <w:rPr>
                <w:sz w:val="20"/>
                <w:szCs w:val="20"/>
                <w:color w:val="auto"/>
              </w:rPr>
            </w:pPr>
            <w:r>
              <w:rPr>
                <w:rFonts w:ascii="Arial" w:cs="Arial" w:eastAsia="Arial" w:hAnsi="Arial"/>
                <w:sz w:val="14"/>
                <w:szCs w:val="14"/>
                <w:b w:val="1"/>
                <w:bCs w:val="1"/>
                <w:color w:val="auto"/>
                <w:w w:val="85"/>
              </w:rPr>
              <w:t>September 30,</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1998</w:t>
            </w:r>
          </w:p>
        </w:tc>
        <w:tc>
          <w:tcPr>
            <w:tcW w:w="40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1999</w:t>
            </w:r>
          </w:p>
        </w:tc>
        <w:tc>
          <w:tcPr>
            <w:tcW w:w="40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9"/>
              </w:rPr>
              <w:t>2000</w:t>
            </w:r>
          </w:p>
        </w:tc>
        <w:tc>
          <w:tcPr>
            <w:tcW w:w="4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6"/>
              </w:rPr>
              <w:t>2001</w:t>
            </w:r>
          </w:p>
        </w:tc>
        <w:tc>
          <w:tcPr>
            <w:tcW w:w="4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w w:val="83"/>
              </w:rPr>
              <w:t>2002</w:t>
            </w:r>
          </w:p>
        </w:tc>
        <w:tc>
          <w:tcPr>
            <w:tcW w:w="620" w:type="dxa"/>
            <w:vAlign w:val="bottom"/>
          </w:tcPr>
          <w:p>
            <w:pPr>
              <w:spacing w:after="0"/>
              <w:rPr>
                <w:sz w:val="22"/>
                <w:szCs w:val="22"/>
                <w:color w:val="auto"/>
              </w:rPr>
            </w:pPr>
          </w:p>
        </w:tc>
        <w:tc>
          <w:tcPr>
            <w:tcW w:w="420" w:type="dxa"/>
            <w:vAlign w:val="bottom"/>
          </w:tcPr>
          <w:p>
            <w:pPr>
              <w:jc w:val="right"/>
              <w:ind w:right="7"/>
              <w:spacing w:after="0"/>
              <w:rPr>
                <w:sz w:val="20"/>
                <w:szCs w:val="20"/>
                <w:color w:val="auto"/>
              </w:rPr>
            </w:pPr>
            <w:r>
              <w:rPr>
                <w:rFonts w:ascii="Arial" w:cs="Arial" w:eastAsia="Arial" w:hAnsi="Arial"/>
                <w:sz w:val="14"/>
                <w:szCs w:val="14"/>
                <w:b w:val="1"/>
                <w:bCs w:val="1"/>
                <w:color w:val="auto"/>
              </w:rPr>
              <w:t>2002</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jc w:val="right"/>
              <w:ind w:right="2"/>
              <w:spacing w:after="0"/>
              <w:rPr>
                <w:sz w:val="20"/>
                <w:szCs w:val="20"/>
                <w:color w:val="auto"/>
              </w:rPr>
            </w:pPr>
            <w:r>
              <w:rPr>
                <w:rFonts w:ascii="Arial" w:cs="Arial" w:eastAsia="Arial" w:hAnsi="Arial"/>
                <w:sz w:val="14"/>
                <w:szCs w:val="14"/>
                <w:b w:val="1"/>
                <w:bCs w:val="1"/>
                <w:color w:val="auto"/>
                <w:w w:val="76"/>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1.7x</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1.7x</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1.5x</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1.5x</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1.3x(1)</w:t>
            </w:r>
          </w:p>
        </w:tc>
        <w:tc>
          <w:tcPr>
            <w:tcW w:w="11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1.4x(2)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40" w:hanging="452"/>
        <w:spacing w:after="0" w:line="28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Excluding a one-time $8.5 million restructuring charge incurred in the first quarter of 2002 and a $13.8 million restructuring charge incurred during the fourth quarter of 2002, for the year ended December 31, 2002, the ratio of earnings to fixed charges would have been 1.5x.</w:t>
      </w:r>
    </w:p>
    <w:p>
      <w:pPr>
        <w:ind w:left="460" w:right="34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Excluding a one-time $8.5 million restructuring charge incurred in the first quarter of 2002, for the nine months ended September 30, 2002, the ratio of earnings to fixed charges would have been 1.5x.</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ratios of earnings to fixed charges were computed by dividing earnings by fixed charges. For this purpose, earnings consist of income before gain (loss) on sale of real estate and fixed charges. Fixed charges consist of interest on borrowed funds (including capitalized interest), amortization of debt discount and expense and the portion of rent expense representing an interest factor.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$75,000,000 of our 4.50% notes maturing on February 15, 2011, which may be redeemed prior to that date in accordance with their terms.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notes are to be issued as a separate series of Debt Securities under the Senior Indenture, which is more fully described in the accompanying prospectus.</w:t>
      </w:r>
    </w:p>
    <w:p>
      <w:pPr>
        <w:spacing w:after="0" w:line="17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will pay interest on the notes semi-annually in arrears on February 15 and August 15 of each year, commencing August 15, 2004, to the registered holders of the notes on the preceding February 1 or August 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senior indenture apply to the notes. The notes will not be entitled to the benefit of any sinking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may, without the consent of the holders of the notes, create and issue additional notes in the future having the same terms other than the date of original issuance, the issue price and the date on which interest begins to accrue so as to form a single series with the notes. We also may issue from time to time other series of debt securities under the senior indenture consisting of notes or other unsecured evidences of indebtedness.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which secures such lender’s mortgage and to all of the unsecured indebtedness issued by our subsidiaries. After giving effect to this offering and to the use of proceeds from this offering, we will have outstanding approximately $251 million of secured indebtedness collateralized by 11 properties, approximately $11 million of unsecured indebtedness issued by our subsidiaries and approximately $858 million of other unsecured indebtedness ranking equally with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15 basis points plus, in each case, accrued interest thereon to the redemption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15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each of Citigroup Global Markets Inc., Merrill Lynch, Pierce, Fenner &amp; Smith Incorporated and one other primary U.S. Government securities dealer in New York City selected by Wachovia Capital Markets,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foregoing cease to be a primary U.S. Government securities dealer (a “Primary Treasury Dealer”), we will substitute therefor another Primary Treasury Dealer; and (2) any other Primary Treasury Dealer selected by us.</w:t>
      </w:r>
    </w:p>
    <w:p>
      <w:pPr>
        <w:spacing w:after="0" w:line="13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Limitations on Incurrence of Debt</w:t>
      </w:r>
      <w:r>
        <w:rPr>
          <w:rFonts w:ascii="Arial" w:cs="Arial" w:eastAsia="Arial" w:hAnsi="Arial"/>
          <w:sz w:val="16"/>
          <w:szCs w:val="16"/>
          <w:color w:val="auto"/>
        </w:rPr>
        <w:t>. The notes will provide that we will not, and will not permit any subsidiary to, incur any Debt (as defined below) if,</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after 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(1) Total Assets (as defined below)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 quarter period had been incurred, repaid or retired at the beginning of such period (except that, in making such computation, the amount of Debt under any revolving credit facility shall be computed based upon the average daily balance of such Debt during such period); (3) in the case of Acquired Debt (as defined below)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ind w:right="820" w:firstLine="456"/>
        <w:spacing w:after="0" w:line="259" w:lineRule="auto"/>
        <w:rPr>
          <w:sz w:val="20"/>
          <w:szCs w:val="20"/>
          <w:color w:val="auto"/>
        </w:rPr>
      </w:pPr>
      <w:r>
        <w:rPr>
          <w:rFonts w:ascii="Arial" w:cs="Arial" w:eastAsia="Arial" w:hAnsi="Arial"/>
          <w:sz w:val="18"/>
          <w:szCs w:val="18"/>
          <w:i w:val="1"/>
          <w:iCs w:val="1"/>
          <w:color w:val="auto"/>
        </w:rPr>
        <w:t>Maintenance of Unencumbered Total Asset Value</w:t>
      </w:r>
      <w:r>
        <w:rPr>
          <w:rFonts w:ascii="Arial" w:cs="Arial" w:eastAsia="Arial" w:hAnsi="Arial"/>
          <w:sz w:val="18"/>
          <w:szCs w:val="18"/>
          <w:color w:val="auto"/>
        </w:rPr>
        <w:t>. The notes will provide that we, together with our subsidiaries, will at all times maintain an</w:t>
      </w:r>
      <w:r>
        <w:rPr>
          <w:rFonts w:ascii="Arial" w:cs="Arial" w:eastAsia="Arial" w:hAnsi="Arial"/>
          <w:sz w:val="18"/>
          <w:szCs w:val="18"/>
          <w:i w:val="1"/>
          <w:iCs w:val="1"/>
          <w:color w:val="auto"/>
        </w:rPr>
        <w:t xml:space="preserve"> </w:t>
      </w:r>
      <w:r>
        <w:rPr>
          <w:rFonts w:ascii="Arial" w:cs="Arial" w:eastAsia="Arial" w:hAnsi="Arial"/>
          <w:sz w:val="18"/>
          <w:szCs w:val="18"/>
          <w:color w:val="auto"/>
        </w:rPr>
        <w:t>Unencumbered Total Asset Value (as defined below) in an amount not less than 150% of the aggregate outstanding principal amount of all our and our subsidiaries’ unsecured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9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other assets determined in accordance with generally accepted accounting principles (but excluding goodwill).</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“Unencumbered Total Asset Value” </w:t>
      </w:r>
      <w:r>
        <w:rPr>
          <w:rFonts w:ascii="Arial" w:cs="Arial" w:eastAsia="Arial" w:hAnsi="Arial"/>
          <w:sz w:val="18"/>
          <w:szCs w:val="18"/>
          <w:color w:val="auto"/>
        </w:rPr>
        <w:t>as of any date means the sum of (a) those Undepreciated Real Estate Assets not encumbered by any mortgage, lien,</w:t>
      </w:r>
      <w:r>
        <w:rPr>
          <w:rFonts w:ascii="Arial" w:cs="Arial" w:eastAsia="Arial" w:hAnsi="Arial"/>
          <w:sz w:val="18"/>
          <w:szCs w:val="18"/>
          <w:i w:val="1"/>
          <w:iCs w:val="1"/>
          <w:color w:val="auto"/>
        </w:rPr>
        <w:t xml:space="preserve"> </w:t>
      </w:r>
      <w:r>
        <w:rPr>
          <w:rFonts w:ascii="Arial" w:cs="Arial" w:eastAsia="Arial" w:hAnsi="Arial"/>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30" w:lineRule="exact"/>
        <w:rPr>
          <w:sz w:val="20"/>
          <w:szCs w:val="20"/>
          <w:color w:val="auto"/>
        </w:rPr>
      </w:pPr>
    </w:p>
    <w:p>
      <w:pPr>
        <w:ind w:right="500" w:firstLine="456"/>
        <w:spacing w:after="0" w:line="375" w:lineRule="auto"/>
        <w:rPr>
          <w:sz w:val="20"/>
          <w:szCs w:val="20"/>
          <w:color w:val="auto"/>
        </w:rPr>
      </w:pPr>
      <w:r>
        <w:rPr>
          <w:rFonts w:ascii="Arial" w:cs="Arial" w:eastAsia="Arial" w:hAnsi="Arial"/>
          <w:sz w:val="18"/>
          <w:szCs w:val="18"/>
          <w:color w:val="auto"/>
        </w:rPr>
        <w:t xml:space="preserve">See “Description of Debt Securities – Certain Covenants” in the accompanying prospectus for a description of additional covenants applicable to us. </w:t>
      </w:r>
      <w:r>
        <w:rPr>
          <w:rFonts w:ascii="Arial" w:cs="Arial" w:eastAsia="Arial" w:hAnsi="Arial"/>
          <w:sz w:val="18"/>
          <w:szCs w:val="18"/>
          <w:b w:val="1"/>
          <w:bCs w:val="1"/>
          <w:color w:val="auto"/>
        </w:rPr>
        <w:t>Book-Entry Form</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(the “Depositary”) with respect to the notes, the terms of which are summarized below. Upon issuance, the notes will be represented by a single Global Security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29"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the Global Security or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representing the notes will not be entitled to receive physical delivery of Certificated notes and will not be considered the Holders thereof for any purpose under the Senior Indenture, and no Global Security representing the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3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Securities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Securities Registrar.</w:t>
      </w:r>
    </w:p>
    <w:p>
      <w:pPr>
        <w:spacing w:after="0" w:line="10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are deposited with, or on behalf of, the Depositary are registered in the name of the Depositary’s partnership nominee, Cede &amp; Co. The deposit of the Global Security with, or on behalf of, the Depositary and their registration in the name of Cede &amp; Co. effect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27"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0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is a general discussion of the material U.S. federal income tax considerations applicable to initial holders of the notes. Except as specifically provided below with respect to non-U.S. holders (as described below), the discussion is limited to holders of notes that are U.S. holders and who hold the notes as capital assets. For purposes of this discussion, a U.S. holder means a holder of notes that for U.S. federal income tax purposes is (i) a citizen or resident of the United States, (ii) a corporation or partnership (including an entity treated as a corporation or partnership for U.S. federal income tax purposes) created or organized in or under the laws of the United States or of any state thereof, (iii) an estate whose income is includible in gross income for U.S. federal income tax purposes regardless of its source, or (iv) any trust with respect to which (A) a U.S. court is able to exercise primary supervision over the administration of such trust and (B) one or more U.S. persons have authority to control all substantial decisions of the trust. A non-U.S. holder means any beneficial owner of a note that is not a U.S. holder.</w:t>
      </w:r>
    </w:p>
    <w:p>
      <w:pPr>
        <w:spacing w:after="0" w:line="105" w:lineRule="exact"/>
        <w:rPr>
          <w:sz w:val="20"/>
          <w:szCs w:val="20"/>
          <w:color w:val="auto"/>
        </w:rPr>
      </w:pPr>
    </w:p>
    <w:p>
      <w:pPr>
        <w:ind w:right="40" w:firstLine="456"/>
        <w:spacing w:after="0" w:line="375" w:lineRule="auto"/>
        <w:rPr>
          <w:sz w:val="20"/>
          <w:szCs w:val="20"/>
          <w:color w:val="auto"/>
        </w:rPr>
      </w:pPr>
      <w:r>
        <w:rPr>
          <w:rFonts w:ascii="Arial" w:cs="Arial" w:eastAsia="Arial" w:hAnsi="Arial"/>
          <w:sz w:val="18"/>
          <w:szCs w:val="18"/>
          <w:color w:val="auto"/>
        </w:rPr>
        <w:t xml:space="preserve">All holders should consult their tax advisors regarding the federal, state, local or foreign tax consequences of purchasing, holding or disposing of the notes. </w:t>
      </w:r>
      <w:r>
        <w:rPr>
          <w:rFonts w:ascii="Arial" w:cs="Arial" w:eastAsia="Arial" w:hAnsi="Arial"/>
          <w:sz w:val="18"/>
          <w:szCs w:val="18"/>
          <w:b w:val="1"/>
          <w:bCs w:val="1"/>
          <w:color w:val="auto"/>
        </w:rPr>
        <w:t>Interest</w:t>
      </w:r>
    </w:p>
    <w:p>
      <w:pPr>
        <w:spacing w:after="0" w:line="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U.S. holder of the notes generally will be required to report interest earned on the notes as ordinary income in accordance with the U.S. holder’s method of tax accounting. The notes are not expected to be issued with original issue discount for U.S. federal income tax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the sale, exchange, redemption, retirement or other disposition of a note, a U.S. holder who acquired the note upon its issuance will generally recognize capital gain or loss equal to the difference (if any) between the amount realized (other than amounts attributable to accrued but unpaid stated interest which will be taxable as ordinary income) and such U.S. holder’s tax basis in the note. The U.S. holder’s tax basis for a note generally will be the purchase price for the note. Such gain or loss shall be treated as long-term capital gain or loss if the note was held for more than one year. Subject to limited exceptions, capital losses cannot be used to offset a U.S. holder’s ordinary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“backup withholding” at a rate of 28% through December 31, 2010, and thereafter at a rate of 31%, may apply:</w:t>
      </w:r>
    </w:p>
    <w:p>
      <w:pPr>
        <w:spacing w:after="0" w:line="77"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any payments made of principal of and interest on the notes,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payment of the proceeds of a sale or other disposition of the notes before maturity,</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 U.S. holder is a non-corporate U.S. holder and fails to provide a correct taxpayer identification number or otherwise comply with applicable requirements of the backup withholding rules.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backup withholding tax is not an additional tax and may be credited against the U.S. holder’s U.S. federal income tax liability, provided that correct information is provided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with their own tax advisors to determine the impact of federal, state and local laws with regard to the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non-U.S. holder generally will not be subject to U.S. federal income or withholding tax on payments of interest on a note, provided that (i) the non-U.S. holder is not (A) a direct or indirect owner of 10% or more of the total voting power of all our voting stock, (B) a controlled foreign corporation related to us through stock ownership, or (C) a bank whose receipt of interest on a note is pursuant to a loan agreement entered into in the ordinary course of business; (ii) such interest payments are not effectively connected with the conduct by the non-U.S. holder of a trade or business within the United States; and (iii) we or our paying agent receives certain information from the non-U.S. holder (or a financial institution that holds the notes in the ordinary course of its trade or business) certifying that such holder is a non-U.S. holder. Generally a non-U.S. holder will not be subject to U.S. federal income or withholding tax on gains from the sale or other disposition of a note provided that (i) such gains are not effectively connected with the conduct by the non-U.S. holder of a trade or business within the U.S.; (ii) such non-U.S. holder is not an individual who is present in the U.S. for 183 days or more in the taxable year of disposition and meets certain other requirements; and (iii) the non-U.S. holder is not subject to backup withholding as a result of failing to provide to the selling broker evidence establishing such holder’s status as a non-U.S. holder, if required.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Long-Term Capital Gains. </w:t>
      </w:r>
      <w:r>
        <w:rPr>
          <w:rFonts w:ascii="Arial" w:cs="Arial" w:eastAsia="Arial" w:hAnsi="Arial"/>
          <w:sz w:val="16"/>
          <w:szCs w:val="16"/>
          <w:color w:val="auto"/>
        </w:rPr>
        <w:t>On May 28, 2003, the President signed into law the Jobs and Growth Tax Relief Reconciliation Act of 2003, which we refer to</w:t>
      </w:r>
      <w:r>
        <w:rPr>
          <w:rFonts w:ascii="Arial" w:cs="Arial" w:eastAsia="Arial" w:hAnsi="Arial"/>
          <w:sz w:val="16"/>
          <w:szCs w:val="16"/>
          <w:i w:val="1"/>
          <w:iCs w:val="1"/>
          <w:color w:val="auto"/>
        </w:rPr>
        <w:t xml:space="preserve"> </w:t>
      </w:r>
      <w:r>
        <w:rPr>
          <w:rFonts w:ascii="Arial" w:cs="Arial" w:eastAsia="Arial" w:hAnsi="Arial"/>
          <w:sz w:val="16"/>
          <w:szCs w:val="16"/>
          <w:color w:val="auto"/>
        </w:rPr>
        <w:t>as the Act. Under the Act, the current maximum tax rate on the long-term capital gains of non-corporate taxpayers is reduced to 15% for taxable years beginning on or before December 31, 2008. Without further legislation, the maximum tax rate on long-term capital gains will revert to 20% in 2009.</w:t>
      </w:r>
    </w:p>
    <w:p>
      <w:pPr>
        <w:spacing w:after="0" w:line="9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Distributions to Shareholders. </w:t>
      </w:r>
      <w:r>
        <w:rPr>
          <w:rFonts w:ascii="Arial" w:cs="Arial" w:eastAsia="Arial" w:hAnsi="Arial"/>
          <w:sz w:val="18"/>
          <w:szCs w:val="18"/>
          <w:color w:val="auto"/>
        </w:rPr>
        <w:t>The Act also reduced the tax rate on “qualified dividend income” to the maximum capital gains rate described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as a REIT, we are not generally subject to tax on the portion of our REIT taxable income or capital gains distributed to our shareholders, our distributions are not generally eligible for this new tax rate on dividends. As a result, our ordinary REIT distributions continue to be taxed at the higher tax rates applicable to ordinary income. However, the new 15% rate does generally apply to:</w:t>
      </w:r>
    </w:p>
    <w:p>
      <w:pPr>
        <w:spacing w:after="0" w:line="49"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and</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Citigroup Global Markets Inc. and Wachovia Capital Markets, LLC are acting as joint bookrunning managers of the offering, and as representatives of the underwriters named below.</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Subject to the terms and conditions stated in the underwriting agreement dated the date of this prospectus supplement, each underwriter named below has agreed to purchase, and we have agreed to sell to that underwriter, the principal amount of notes set forth opposite the underwriter’s name.</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4220" w:type="dxa"/>
            <w:vAlign w:val="bottom"/>
            <w:gridSpan w:val="3"/>
          </w:tcPr>
          <w:p>
            <w:pPr>
              <w:ind w:left="3180"/>
              <w:spacing w:after="0"/>
              <w:rPr>
                <w:sz w:val="20"/>
                <w:szCs w:val="20"/>
                <w:color w:val="auto"/>
              </w:rPr>
            </w:pPr>
            <w:r>
              <w:rPr>
                <w:rFonts w:ascii="Arial" w:cs="Arial" w:eastAsia="Arial" w:hAnsi="Arial"/>
                <w:sz w:val="14"/>
                <w:szCs w:val="14"/>
                <w:b w:val="1"/>
                <w:bCs w:val="1"/>
                <w:color w:val="auto"/>
                <w:w w:val="87"/>
              </w:rPr>
              <w:t>Principal Amount</w:t>
            </w:r>
          </w:p>
        </w:tc>
        <w:tc>
          <w:tcPr>
            <w:tcW w:w="0" w:type="dxa"/>
            <w:vAlign w:val="bottom"/>
          </w:tcPr>
          <w:p>
            <w:pPr>
              <w:spacing w:after="0"/>
              <w:rPr>
                <w:sz w:val="1"/>
                <w:szCs w:val="1"/>
                <w:color w:val="auto"/>
              </w:rPr>
            </w:pPr>
          </w:p>
        </w:tc>
      </w:tr>
      <w:tr>
        <w:trPr>
          <w:trHeight w:val="174"/>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of 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2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Wachovia Capital Markets, LLC</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Legg Mason Wood Walker, Incorporated</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tcPr>
          <w:p>
            <w:pPr>
              <w:ind w:left="940"/>
              <w:spacing w:after="0"/>
              <w:rPr>
                <w:sz w:val="20"/>
                <w:szCs w:val="20"/>
                <w:color w:val="auto"/>
              </w:rPr>
            </w:pPr>
            <w:r>
              <w:rPr>
                <w:rFonts w:ascii="Arial" w:cs="Arial" w:eastAsia="Arial" w:hAnsi="Arial"/>
                <w:sz w:val="18"/>
                <w:szCs w:val="18"/>
                <w:color w:val="auto"/>
              </w:rPr>
              <w:t>Incorporated</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9,375,000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McDonald Investments Inc.</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75,000,000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-27305</wp:posOffset>
            </wp:positionV>
            <wp:extent cx="65595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955" cy="29845"/>
                    </a:xfrm>
                    <a:prstGeom prst="rect">
                      <a:avLst/>
                    </a:prstGeom>
                    <a:noFill/>
                  </pic:spPr>
                </pic:pic>
              </a:graphicData>
            </a:graphic>
          </wp:anchor>
        </w:drawing>
      </w:r>
    </w:p>
    <w:p>
      <w:pPr>
        <w:spacing w:after="0" w:line="22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underwriters propose to offer some of the notes directly to the public at the public offering price set forth on the cover page of this prospectus supplement and some of the notes to dealers at the public offering price less a concession not to exceed 0.375% of the principal amount of the notes. The underwriters may allow, and dealers may reallow a concession not to exceed 0.250% of the principal amount of the notes on sales to other dealers. After the initial offering of the notes to the public, the representatives may change the public offering price and concessions.</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(expressed as a percentage of the principal amount of the notes).</w:t>
      </w:r>
    </w:p>
    <w:p>
      <w:pPr>
        <w:spacing w:after="0" w:line="11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Paid by Federal Realty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68580</wp:posOffset>
            </wp:positionV>
            <wp:extent cx="8489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5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0.625%</w:t>
            </w:r>
          </w:p>
        </w:tc>
      </w:tr>
    </w:tbl>
    <w:p>
      <w:pPr>
        <w:spacing w:after="0" w:line="14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connection with the offering, Citigroup and Wachovia Capital Markets, LLC,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3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Citigroup and Wachovia Capital Markets, LLC, in covering syndicate short positions or making stabilizing purchases, repurchases notes originally sold by that syndicate member.</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open market in the absence of these transactions. The underwriters may conduct these transactions in the over-the-counter market or otherwise. If the underwriters commence any of these transactions, they may discontinue them at any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for this offering will be $300,000.</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last paragraph of the cover page of this prospectus supplement, which will be the third business day following the date of the pricing of the notes.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underwriters have performed investment banking, advisory and fiduciary services for us from time to time for which they have received customary fees and expenses. The underwriters may, from time to time, engage in transactions with and perform services for us in the ordinary course of their business. In particular, affiliates of Citigroup Global Markets Inc., Wachovia Capital Markets, LLC and McDonald Investments Inc. are lenders under our existing revolving credit facility, and affiliates of Wachovia Capital Markets, LLC are an administrative agent under our existing revolving credit facility and the trustee under one of the indentures to which we are a party.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consolidated balance sheet as of December 31, 2002 and the consolidated statements of operations, common shareholders’ equity and cash flows for the year ended December 31, 2002 appearing in our Annual Report on Form 10-K for the fiscal year ended December 31, 2002 and incorporated by reference into this prospectus supplement and elsewhere in the registration statement, have been audited by Grant Thornton LLP, independent public accountants, as indicated in their report with respect thereto, and are incorporated by reference herein and therein in reliance upon the authority of said firm as experts in giving said report.</w:t>
      </w:r>
    </w:p>
    <w:p>
      <w:pPr>
        <w:spacing w:after="0" w:line="84"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consolidated balance sheet as of December 31, 2001 and the consolidated statements of operations, common shareholders’ equity and cash flows for the years ended December 31, 2001 and 2000 appearing in our Annual Report on Form 10-K for the fiscal year ended December 31, 2002 and incorporated by reference into this prospectus supplement and elsewhere in the registration statement, have been audited by Arthur Andersen LLP. On June 4, 2002, we announced that we had appointed Grant Thornton LLP as our independent auditor for fiscal year 2002, replacing Arthur Andersen LLP. See “Notice Regarding Arthur Andersen LLP” in the accompanying prospectus for a discussion of our inability to obtain the consent of Arthur Anderson LLP to being named as an expert and the consequences thereof.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legality of the notes offered by this prospectus will be passed upon for us by Shaw Pittman LLP, a limited liability partnership including professional corporations. In addition, the description of federal income tax consequences contained in the accompanying prospectus under “Federal Income Tax Consequences” and in this prospectus supplement under “Certain Federal Income Tax Considerations” is, to the extent that it constitutes matters of law, summaries of legal matters or legal conclusions, based upon the opinion of Shaw Pittman LLP. Sidley Austin Brown &amp; Wood LLP, New York, New York, will act as counsel to the underwriters.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file annual, quarterly and special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Room 1200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We incorporate by reference the documents listed below as well as 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131"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2002, as filed on March 26, 2003</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2003, as filed on May 7, 2003</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June 30, 2003, as filed on July 30, 2003</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September 30, 2003, as filed on November 3, 2003</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Reports on Form 8-K filed on May 29, 2003, May 15, 2003, May 13, 2003 and March 25, 2003</w:t>
      </w:r>
    </w:p>
    <w:p>
      <w:pPr>
        <w:spacing w:after="0" w:line="1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998-8100 or (800) 658-8980</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900"/>
        <w:spacing w:after="0"/>
        <w:rPr>
          <w:sz w:val="20"/>
          <w:szCs w:val="20"/>
          <w:color w:val="auto"/>
        </w:rPr>
      </w:pPr>
      <w:r>
        <w:rPr>
          <w:rFonts w:ascii="Arial" w:cs="Arial" w:eastAsia="Arial" w:hAnsi="Arial"/>
          <w:sz w:val="32"/>
          <w:szCs w:val="32"/>
          <w:b w:val="1"/>
          <w:b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255905</wp:posOffset>
            </wp:positionV>
            <wp:extent cx="1655445" cy="13633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5544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4.50% Notes due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 SUPPLEMENT</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January 21,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Citigroup</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Wachovia Securities</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30"/>
          <w:szCs w:val="30"/>
          <w:b w:val="1"/>
          <w:bCs w:val="1"/>
          <w:color w:val="auto"/>
        </w:rPr>
        <w:t>Legg Mason Wood Walker</w:t>
      </w:r>
    </w:p>
    <w:p>
      <w:pPr>
        <w:spacing w:after="0" w:line="61"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Incorporated</w:t>
      </w:r>
    </w:p>
    <w:p>
      <w:pPr>
        <w:spacing w:after="0" w:line="94"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Merrill Lynch &amp; Co.</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Bear, Stearns &amp; Co. Inc.</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McDonald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2019-12-13T00:45:51Z</dcterms:created>
  <dcterms:modified xsi:type="dcterms:W3CDTF">2019-12-13T00:45:51Z</dcterms:modified>
</cp:coreProperties>
</file>