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138" w:lineRule="exact"/>
        <w:rPr>
          <w:sz w:val="24"/>
          <w:szCs w:val="24"/>
          <w:color w:val="auto"/>
        </w:rPr>
      </w:pPr>
    </w:p>
    <w:p>
      <w:pPr>
        <w:ind w:left="5180"/>
        <w:spacing w:after="0"/>
        <w:rPr>
          <w:sz w:val="20"/>
          <w:szCs w:val="20"/>
          <w:color w:val="auto"/>
        </w:rPr>
      </w:pPr>
      <w:r>
        <w:rPr>
          <w:rFonts w:ascii="Arial" w:cs="Arial" w:eastAsia="Arial" w:hAnsi="Arial"/>
          <w:sz w:val="22"/>
          <w:szCs w:val="22"/>
          <w:b w:val="1"/>
          <w:bCs w:val="1"/>
          <w:color w:val="auto"/>
        </w:rPr>
        <w:t>FORM 8-K</w:t>
      </w:r>
    </w:p>
    <w:p>
      <w:pPr>
        <w:spacing w:after="0" w:line="15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71"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Date of Report (Date of earliest event reported) June 4, 2009</w:t>
      </w:r>
    </w:p>
    <w:p>
      <w:pPr>
        <w:spacing w:after="0" w:line="165" w:lineRule="exact"/>
        <w:rPr>
          <w:sz w:val="24"/>
          <w:szCs w:val="24"/>
          <w:color w:val="auto"/>
        </w:rPr>
      </w:pPr>
    </w:p>
    <w:p>
      <w:pPr>
        <w:ind w:left="4500"/>
        <w:spacing w:after="0"/>
        <w:rPr>
          <w:sz w:val="20"/>
          <w:szCs w:val="20"/>
          <w:color w:val="auto"/>
        </w:rPr>
      </w:pPr>
      <w:r>
        <w:rPr>
          <w:rFonts w:ascii="Arial" w:cs="Arial" w:eastAsia="Arial" w:hAnsi="Arial"/>
          <w:sz w:val="18"/>
          <w:szCs w:val="18"/>
          <w:b w:val="1"/>
          <w:bCs w:val="1"/>
          <w:u w:val="single" w:color="auto"/>
          <w:color w:val="auto"/>
        </w:rPr>
        <w:t>Federal Realty Investment Trust</w:t>
      </w:r>
    </w:p>
    <w:p>
      <w:pPr>
        <w:spacing w:after="0" w:line="2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440" w:type="dxa"/>
        <w:tblCellMar>
          <w:top w:w="0" w:type="dxa"/>
          <w:left w:w="0" w:type="dxa"/>
          <w:bottom w:w="0" w:type="dxa"/>
          <w:right w:w="0" w:type="dxa"/>
        </w:tblCellMar>
      </w:tblPr>
      <w:tr>
        <w:trPr>
          <w:trHeight w:val="223"/>
        </w:trPr>
        <w:tc>
          <w:tcPr>
            <w:tcW w:w="3120" w:type="dxa"/>
            <w:vAlign w:val="bottom"/>
            <w:tcBorders>
              <w:bottom w:val="single" w:sz="8" w:color="auto"/>
            </w:tcBorders>
            <w:gridSpan w:val="2"/>
          </w:tcPr>
          <w:p>
            <w:pPr>
              <w:jc w:val="center"/>
              <w:ind w:right="372"/>
              <w:spacing w:after="0"/>
              <w:rPr>
                <w:sz w:val="20"/>
                <w:szCs w:val="20"/>
                <w:color w:val="auto"/>
              </w:rPr>
            </w:pPr>
            <w:r>
              <w:rPr>
                <w:rFonts w:ascii="Arial" w:cs="Arial" w:eastAsia="Arial" w:hAnsi="Arial"/>
                <w:sz w:val="18"/>
                <w:szCs w:val="18"/>
                <w:color w:val="auto"/>
                <w:w w:val="94"/>
              </w:rPr>
              <w:t>Maryland</w:t>
            </w:r>
          </w:p>
        </w:tc>
        <w:tc>
          <w:tcPr>
            <w:tcW w:w="222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color w:val="auto"/>
                <w:w w:val="87"/>
              </w:rPr>
              <w:t>1-07533</w:t>
            </w:r>
          </w:p>
        </w:tc>
        <w:tc>
          <w:tcPr>
            <w:tcW w:w="3200" w:type="dxa"/>
            <w:vAlign w:val="bottom"/>
            <w:tcBorders>
              <w:bottom w:val="single" w:sz="8" w:color="auto"/>
            </w:tcBorders>
            <w:gridSpan w:val="2"/>
          </w:tcPr>
          <w:p>
            <w:pPr>
              <w:jc w:val="center"/>
              <w:ind w:left="652"/>
              <w:spacing w:after="0"/>
              <w:rPr>
                <w:sz w:val="20"/>
                <w:szCs w:val="20"/>
                <w:color w:val="auto"/>
              </w:rPr>
            </w:pPr>
            <w:r>
              <w:rPr>
                <w:rFonts w:ascii="Arial" w:cs="Arial" w:eastAsia="Arial" w:hAnsi="Arial"/>
                <w:sz w:val="18"/>
                <w:szCs w:val="18"/>
                <w:color w:val="auto"/>
                <w:w w:val="89"/>
              </w:rPr>
              <w:t>52-0782497</w:t>
            </w:r>
          </w:p>
        </w:tc>
      </w:tr>
      <w:tr>
        <w:trPr>
          <w:trHeight w:val="216"/>
        </w:trPr>
        <w:tc>
          <w:tcPr>
            <w:tcW w:w="3120" w:type="dxa"/>
            <w:vAlign w:val="bottom"/>
            <w:gridSpan w:val="2"/>
          </w:tcPr>
          <w:p>
            <w:pPr>
              <w:jc w:val="center"/>
              <w:ind w:right="372"/>
              <w:spacing w:after="0"/>
              <w:rPr>
                <w:sz w:val="20"/>
                <w:szCs w:val="20"/>
                <w:color w:val="auto"/>
              </w:rPr>
            </w:pPr>
            <w:r>
              <w:rPr>
                <w:rFonts w:ascii="Arial" w:cs="Arial" w:eastAsia="Arial" w:hAnsi="Arial"/>
                <w:sz w:val="18"/>
                <w:szCs w:val="18"/>
                <w:color w:val="auto"/>
                <w:w w:val="89"/>
              </w:rPr>
              <w:t>(State or other jurisdiction of</w:t>
            </w:r>
          </w:p>
        </w:tc>
        <w:tc>
          <w:tcPr>
            <w:tcW w:w="2220" w:type="dxa"/>
            <w:vAlign w:val="bottom"/>
          </w:tcPr>
          <w:p>
            <w:pPr>
              <w:jc w:val="center"/>
              <w:ind w:left="192"/>
              <w:spacing w:after="0"/>
              <w:rPr>
                <w:sz w:val="20"/>
                <w:szCs w:val="20"/>
                <w:color w:val="auto"/>
              </w:rPr>
            </w:pPr>
            <w:r>
              <w:rPr>
                <w:rFonts w:ascii="Arial" w:cs="Arial" w:eastAsia="Arial" w:hAnsi="Arial"/>
                <w:sz w:val="18"/>
                <w:szCs w:val="18"/>
                <w:color w:val="auto"/>
                <w:w w:val="89"/>
              </w:rPr>
              <w:t>(Commission</w:t>
            </w:r>
          </w:p>
        </w:tc>
        <w:tc>
          <w:tcPr>
            <w:tcW w:w="3200" w:type="dxa"/>
            <w:vAlign w:val="bottom"/>
            <w:gridSpan w:val="2"/>
          </w:tcPr>
          <w:p>
            <w:pPr>
              <w:jc w:val="center"/>
              <w:ind w:left="652"/>
              <w:spacing w:after="0"/>
              <w:rPr>
                <w:sz w:val="20"/>
                <w:szCs w:val="20"/>
                <w:color w:val="auto"/>
              </w:rPr>
            </w:pPr>
            <w:r>
              <w:rPr>
                <w:rFonts w:ascii="Arial" w:cs="Arial" w:eastAsia="Arial" w:hAnsi="Arial"/>
                <w:sz w:val="18"/>
                <w:szCs w:val="18"/>
                <w:color w:val="auto"/>
                <w:w w:val="90"/>
              </w:rPr>
              <w:t>(IRS Employer</w:t>
            </w:r>
          </w:p>
        </w:tc>
      </w:tr>
      <w:tr>
        <w:trPr>
          <w:trHeight w:val="222"/>
        </w:trPr>
        <w:tc>
          <w:tcPr>
            <w:tcW w:w="3120" w:type="dxa"/>
            <w:vAlign w:val="bottom"/>
            <w:gridSpan w:val="2"/>
          </w:tcPr>
          <w:p>
            <w:pPr>
              <w:ind w:left="940"/>
              <w:spacing w:after="0"/>
              <w:rPr>
                <w:sz w:val="20"/>
                <w:szCs w:val="20"/>
                <w:color w:val="auto"/>
              </w:rPr>
            </w:pPr>
            <w:r>
              <w:rPr>
                <w:rFonts w:ascii="Arial" w:cs="Arial" w:eastAsia="Arial" w:hAnsi="Arial"/>
                <w:sz w:val="18"/>
                <w:szCs w:val="18"/>
                <w:color w:val="auto"/>
              </w:rPr>
              <w:t>incorporation)</w:t>
            </w:r>
          </w:p>
        </w:tc>
        <w:tc>
          <w:tcPr>
            <w:tcW w:w="2220" w:type="dxa"/>
            <w:vAlign w:val="bottom"/>
          </w:tcPr>
          <w:p>
            <w:pPr>
              <w:jc w:val="center"/>
              <w:ind w:left="212"/>
              <w:spacing w:after="0"/>
              <w:rPr>
                <w:sz w:val="20"/>
                <w:szCs w:val="20"/>
                <w:color w:val="auto"/>
              </w:rPr>
            </w:pPr>
            <w:r>
              <w:rPr>
                <w:rFonts w:ascii="Arial" w:cs="Arial" w:eastAsia="Arial" w:hAnsi="Arial"/>
                <w:sz w:val="18"/>
                <w:szCs w:val="18"/>
                <w:color w:val="auto"/>
                <w:w w:val="92"/>
              </w:rPr>
              <w:t>File Number)</w:t>
            </w:r>
          </w:p>
        </w:tc>
        <w:tc>
          <w:tcPr>
            <w:tcW w:w="3200" w:type="dxa"/>
            <w:vAlign w:val="bottom"/>
            <w:gridSpan w:val="2"/>
          </w:tcPr>
          <w:p>
            <w:pPr>
              <w:jc w:val="center"/>
              <w:ind w:left="652"/>
              <w:spacing w:after="0"/>
              <w:rPr>
                <w:sz w:val="20"/>
                <w:szCs w:val="20"/>
                <w:color w:val="auto"/>
              </w:rPr>
            </w:pPr>
            <w:r>
              <w:rPr>
                <w:rFonts w:ascii="Arial" w:cs="Arial" w:eastAsia="Arial" w:hAnsi="Arial"/>
                <w:sz w:val="18"/>
                <w:szCs w:val="18"/>
                <w:color w:val="auto"/>
                <w:w w:val="92"/>
              </w:rPr>
              <w:t>Identification No.)</w:t>
            </w:r>
          </w:p>
        </w:tc>
      </w:tr>
      <w:tr>
        <w:trPr>
          <w:trHeight w:val="433"/>
        </w:trPr>
        <w:tc>
          <w:tcPr>
            <w:tcW w:w="5340" w:type="dxa"/>
            <w:vAlign w:val="bottom"/>
            <w:gridSpan w:val="3"/>
          </w:tcPr>
          <w:p>
            <w:pPr>
              <w:jc w:val="center"/>
              <w:ind w:left="792"/>
              <w:spacing w:after="0"/>
              <w:rPr>
                <w:sz w:val="20"/>
                <w:szCs w:val="20"/>
                <w:color w:val="auto"/>
              </w:rPr>
            </w:pPr>
            <w:r>
              <w:rPr>
                <w:rFonts w:ascii="Arial" w:cs="Arial" w:eastAsia="Arial" w:hAnsi="Arial"/>
                <w:sz w:val="18"/>
                <w:szCs w:val="18"/>
                <w:color w:val="auto"/>
                <w:w w:val="89"/>
              </w:rPr>
              <w:t>1626 East Jefferson Street, Rockville, Maryland</w:t>
            </w:r>
          </w:p>
        </w:tc>
        <w:tc>
          <w:tcPr>
            <w:tcW w:w="1800" w:type="dxa"/>
            <w:vAlign w:val="bottom"/>
          </w:tcPr>
          <w:p>
            <w:pPr>
              <w:jc w:val="right"/>
              <w:ind w:right="372"/>
              <w:spacing w:after="0"/>
              <w:rPr>
                <w:sz w:val="20"/>
                <w:szCs w:val="20"/>
                <w:color w:val="auto"/>
              </w:rPr>
            </w:pPr>
            <w:r>
              <w:rPr>
                <w:rFonts w:ascii="Arial" w:cs="Arial" w:eastAsia="Arial" w:hAnsi="Arial"/>
                <w:sz w:val="18"/>
                <w:szCs w:val="18"/>
                <w:color w:val="auto"/>
              </w:rPr>
              <w:t>20852-4041</w:t>
            </w:r>
          </w:p>
        </w:tc>
        <w:tc>
          <w:tcPr>
            <w:tcW w:w="1400" w:type="dxa"/>
            <w:vAlign w:val="bottom"/>
          </w:tcPr>
          <w:p>
            <w:pPr>
              <w:spacing w:after="0"/>
              <w:rPr>
                <w:sz w:val="24"/>
                <w:szCs w:val="24"/>
                <w:color w:val="auto"/>
              </w:rPr>
            </w:pPr>
          </w:p>
        </w:tc>
      </w:tr>
      <w:tr>
        <w:trPr>
          <w:trHeight w:val="222"/>
        </w:trPr>
        <w:tc>
          <w:tcPr>
            <w:tcW w:w="1440" w:type="dxa"/>
            <w:vAlign w:val="bottom"/>
          </w:tcPr>
          <w:p>
            <w:pPr>
              <w:spacing w:after="0"/>
              <w:rPr>
                <w:sz w:val="19"/>
                <w:szCs w:val="19"/>
                <w:color w:val="auto"/>
              </w:rPr>
            </w:pPr>
          </w:p>
        </w:tc>
        <w:tc>
          <w:tcPr>
            <w:tcW w:w="3900" w:type="dxa"/>
            <w:vAlign w:val="bottom"/>
            <w:tcBorders>
              <w:top w:val="single" w:sz="8" w:color="auto"/>
            </w:tcBorders>
            <w:gridSpan w:val="2"/>
          </w:tcPr>
          <w:p>
            <w:pPr>
              <w:jc w:val="center"/>
              <w:ind w:right="472"/>
              <w:spacing w:after="0"/>
              <w:rPr>
                <w:sz w:val="20"/>
                <w:szCs w:val="20"/>
                <w:color w:val="auto"/>
              </w:rPr>
            </w:pPr>
            <w:r>
              <w:rPr>
                <w:rFonts w:ascii="Arial" w:cs="Arial" w:eastAsia="Arial" w:hAnsi="Arial"/>
                <w:sz w:val="18"/>
                <w:szCs w:val="18"/>
                <w:color w:val="auto"/>
                <w:w w:val="90"/>
              </w:rPr>
              <w:t>(Address of principal executive offices)</w:t>
            </w: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c>
          <w:tcPr>
            <w:tcW w:w="1400" w:type="dxa"/>
            <w:vAlign w:val="bottom"/>
          </w:tcPr>
          <w:p>
            <w:pPr>
              <w:spacing w:after="0"/>
              <w:rPr>
                <w:sz w:val="19"/>
                <w:szCs w:val="19"/>
                <w:color w:val="auto"/>
              </w:rPr>
            </w:pPr>
          </w:p>
        </w:tc>
      </w:tr>
    </w:tbl>
    <w:p>
      <w:pPr>
        <w:spacing w:after="0" w:line="200" w:lineRule="exact"/>
        <w:rPr>
          <w:sz w:val="24"/>
          <w:szCs w:val="24"/>
          <w:color w:val="auto"/>
        </w:rPr>
      </w:pPr>
    </w:p>
    <w:p>
      <w:pPr>
        <w:spacing w:after="0" w:line="212"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10795</wp:posOffset>
            </wp:positionV>
            <wp:extent cx="36188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3"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020"/>
          </w:cols>
          <w:pgMar w:left="240" w:top="220"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June 4, 2009, Federal Realty Investment Trust (the “Trust”) issued a press release announcing that it had accepted for purchase an aggregate of</w:t>
      </w:r>
    </w:p>
    <w:p>
      <w:pPr>
        <w:spacing w:after="0" w:line="38"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$40,266,000 principal amount of its outstanding 8.75% Senior Notes due 2009 (the “Notes”), which were validly tendered pursuant to its previously announced cash tender offer for such Notes (the “Tender Offer”). The Tender Offer expired at 5:00 p.m., New York City time, on Wednesday, June 3, 2009.</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press release issued by the Trust on June 4, 2009 is attached as Exhibit 99.1.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8"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Exhibits are included in the Form 8-K:</w:t>
      </w:r>
    </w:p>
    <w:p>
      <w:pPr>
        <w:spacing w:after="0" w:line="212" w:lineRule="exact"/>
        <w:rPr>
          <w:sz w:val="20"/>
          <w:szCs w:val="20"/>
          <w:color w:val="auto"/>
        </w:rPr>
      </w:pPr>
    </w:p>
    <w:tbl>
      <w:tblPr>
        <w:tblLayout w:type="fixed"/>
        <w:tblInd w:w="860" w:type="dxa"/>
        <w:tblCellMar>
          <w:top w:w="0" w:type="dxa"/>
          <w:left w:w="0" w:type="dxa"/>
          <w:bottom w:w="0" w:type="dxa"/>
          <w:right w:w="0" w:type="dxa"/>
        </w:tblCellMar>
      </w:tblPr>
      <w:tr>
        <w:trPr>
          <w:trHeight w:val="223"/>
        </w:trPr>
        <w:tc>
          <w:tcPr>
            <w:tcW w:w="520" w:type="dxa"/>
            <w:vAlign w:val="bottom"/>
          </w:tcPr>
          <w:p>
            <w:pPr>
              <w:spacing w:after="0"/>
              <w:rPr>
                <w:sz w:val="20"/>
                <w:szCs w:val="20"/>
                <w:color w:val="auto"/>
              </w:rPr>
            </w:pPr>
            <w:r>
              <w:rPr>
                <w:rFonts w:ascii="Arial" w:cs="Arial" w:eastAsia="Arial" w:hAnsi="Arial"/>
                <w:sz w:val="18"/>
                <w:szCs w:val="18"/>
                <w:color w:val="auto"/>
                <w:w w:val="92"/>
              </w:rPr>
              <w:t>Exhibit</w:t>
            </w:r>
          </w:p>
        </w:tc>
        <w:tc>
          <w:tcPr>
            <w:tcW w:w="3860" w:type="dxa"/>
            <w:vAlign w:val="bottom"/>
            <w:gridSpan w:val="3"/>
          </w:tcPr>
          <w:p>
            <w:pPr>
              <w:ind w:left="380"/>
              <w:spacing w:after="0"/>
              <w:rPr>
                <w:sz w:val="20"/>
                <w:szCs w:val="20"/>
                <w:color w:val="auto"/>
              </w:rPr>
            </w:pPr>
            <w:r>
              <w:rPr>
                <w:rFonts w:ascii="Arial" w:cs="Arial" w:eastAsia="Arial" w:hAnsi="Arial"/>
                <w:sz w:val="18"/>
                <w:szCs w:val="18"/>
                <w:color w:val="auto"/>
              </w:rPr>
              <w:t>Description of Exhibit</w:t>
            </w:r>
          </w:p>
        </w:tc>
      </w:tr>
      <w:tr>
        <w:trPr>
          <w:trHeight w:val="20"/>
        </w:trPr>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25"/>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3860" w:type="dxa"/>
            <w:vAlign w:val="bottom"/>
            <w:gridSpan w:val="3"/>
          </w:tcPr>
          <w:p>
            <w:pPr>
              <w:ind w:left="380"/>
              <w:spacing w:after="0"/>
              <w:rPr>
                <w:sz w:val="20"/>
                <w:szCs w:val="20"/>
                <w:color w:val="auto"/>
              </w:rPr>
            </w:pPr>
            <w:r>
              <w:rPr>
                <w:rFonts w:ascii="Arial" w:cs="Arial" w:eastAsia="Arial" w:hAnsi="Arial"/>
                <w:sz w:val="18"/>
                <w:szCs w:val="18"/>
                <w:color w:val="auto"/>
                <w:w w:val="84"/>
              </w:rPr>
              <w:t>Press Release issued by the Trust on June 4, 2009</w:t>
            </w:r>
          </w:p>
        </w:tc>
      </w:tr>
    </w:tbl>
    <w:p>
      <w:pPr>
        <w:sectPr>
          <w:pgSz w:w="11900" w:h="16838" w:orient="portrait"/>
          <w:cols w:equalWidth="0" w:num="1">
            <w:col w:w="11220"/>
          </w:cols>
          <w:pgMar w:left="240" w:top="274" w:right="4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Date: June 5, 2009</w:t>
      </w:r>
      <w:r>
        <w:rPr>
          <w:sz w:val="20"/>
          <w:szCs w:val="20"/>
          <w:color w:val="auto"/>
        </w:rPr>
        <w:tab/>
      </w:r>
      <w:r>
        <w:rPr>
          <w:rFonts w:ascii="Arial" w:cs="Arial" w:eastAsia="Arial" w:hAnsi="Arial"/>
          <w:sz w:val="16"/>
          <w:szCs w:val="16"/>
          <w:u w:val="single" w:color="auto"/>
          <w:color w:val="auto"/>
        </w:rPr>
        <w:t>/s/ Dawn M. Becker</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60325</wp:posOffset>
            </wp:positionV>
            <wp:extent cx="6037580" cy="130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37580" cy="130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5760" w:type="dxa"/>
            <w:vAlign w:val="bottom"/>
          </w:tcPr>
          <w:p>
            <w:pPr>
              <w:spacing w:after="0"/>
              <w:rPr>
                <w:sz w:val="20"/>
                <w:szCs w:val="20"/>
                <w:color w:val="auto"/>
              </w:rPr>
            </w:pPr>
          </w:p>
        </w:tc>
      </w:tr>
      <w:tr>
        <w:trPr>
          <w:trHeight w:val="394"/>
        </w:trPr>
        <w:tc>
          <w:tcPr>
            <w:tcW w:w="5520" w:type="dxa"/>
            <w:vAlign w:val="bottom"/>
            <w:gridSpan w:val="2"/>
          </w:tcPr>
          <w:p>
            <w:pPr>
              <w:spacing w:after="0"/>
              <w:rPr>
                <w:sz w:val="20"/>
                <w:szCs w:val="20"/>
                <w:color w:val="auto"/>
              </w:rPr>
            </w:pPr>
            <w:r>
              <w:rPr>
                <w:rFonts w:ascii="Arial" w:cs="Arial" w:eastAsia="Arial" w:hAnsi="Arial"/>
                <w:sz w:val="18"/>
                <w:szCs w:val="18"/>
                <w:i w:val="1"/>
                <w:iCs w:val="1"/>
                <w:color w:val="auto"/>
              </w:rPr>
              <w:t>Investor and Media Inquiries</w:t>
            </w:r>
          </w:p>
        </w:tc>
        <w:tc>
          <w:tcPr>
            <w:tcW w:w="5760" w:type="dxa"/>
            <w:vAlign w:val="bottom"/>
          </w:tcPr>
          <w:p>
            <w:pPr>
              <w:spacing w:after="0"/>
              <w:rPr>
                <w:sz w:val="24"/>
                <w:szCs w:val="24"/>
                <w:color w:val="auto"/>
              </w:rPr>
            </w:pPr>
          </w:p>
        </w:tc>
      </w:tr>
      <w:tr>
        <w:trPr>
          <w:trHeight w:val="199"/>
        </w:trPr>
        <w:tc>
          <w:tcPr>
            <w:tcW w:w="202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Gina Birdsall</w:t>
            </w:r>
          </w:p>
        </w:tc>
        <w:tc>
          <w:tcPr>
            <w:tcW w:w="3500" w:type="dxa"/>
            <w:vAlign w:val="bottom"/>
          </w:tcPr>
          <w:p>
            <w:pPr>
              <w:spacing w:after="0"/>
              <w:rPr>
                <w:sz w:val="17"/>
                <w:szCs w:val="17"/>
                <w:color w:val="auto"/>
              </w:rPr>
            </w:pPr>
          </w:p>
        </w:tc>
        <w:tc>
          <w:tcPr>
            <w:tcW w:w="5760" w:type="dxa"/>
            <w:vAlign w:val="bottom"/>
          </w:tcPr>
          <w:p>
            <w:pPr>
              <w:ind w:left="3260"/>
              <w:spacing w:after="0" w:line="200" w:lineRule="exact"/>
              <w:rPr>
                <w:sz w:val="20"/>
                <w:szCs w:val="20"/>
                <w:color w:val="auto"/>
              </w:rPr>
            </w:pPr>
            <w:r>
              <w:rPr>
                <w:rFonts w:ascii="Arial" w:cs="Arial" w:eastAsia="Arial" w:hAnsi="Arial"/>
                <w:sz w:val="18"/>
                <w:szCs w:val="18"/>
                <w:color w:val="auto"/>
              </w:rPr>
              <w:t>Janelle Stevenson</w:t>
            </w: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Investor Relations</w:t>
            </w:r>
          </w:p>
        </w:tc>
        <w:tc>
          <w:tcPr>
            <w:tcW w:w="5760" w:type="dxa"/>
            <w:vAlign w:val="bottom"/>
          </w:tcPr>
          <w:p>
            <w:pPr>
              <w:ind w:left="3260"/>
              <w:spacing w:after="0" w:line="202" w:lineRule="exact"/>
              <w:rPr>
                <w:sz w:val="20"/>
                <w:szCs w:val="20"/>
                <w:color w:val="auto"/>
              </w:rPr>
            </w:pPr>
            <w:r>
              <w:rPr>
                <w:rFonts w:ascii="Arial" w:cs="Arial" w:eastAsia="Arial" w:hAnsi="Arial"/>
                <w:sz w:val="18"/>
                <w:szCs w:val="18"/>
                <w:color w:val="auto"/>
              </w:rPr>
              <w:t>Corporate Communications</w:t>
            </w:r>
          </w:p>
        </w:tc>
      </w:tr>
      <w:tr>
        <w:trPr>
          <w:trHeight w:val="185"/>
        </w:trPr>
        <w:tc>
          <w:tcPr>
            <w:tcW w:w="2020" w:type="dxa"/>
            <w:vAlign w:val="bottom"/>
          </w:tcPr>
          <w:p>
            <w:pPr>
              <w:spacing w:after="0" w:line="185" w:lineRule="exact"/>
              <w:rPr>
                <w:sz w:val="20"/>
                <w:szCs w:val="20"/>
                <w:color w:val="auto"/>
              </w:rPr>
            </w:pPr>
            <w:r>
              <w:rPr>
                <w:rFonts w:ascii="Arial" w:cs="Arial" w:eastAsia="Arial" w:hAnsi="Arial"/>
                <w:sz w:val="18"/>
                <w:szCs w:val="18"/>
                <w:color w:val="auto"/>
              </w:rPr>
              <w:t>301/998-8265</w:t>
            </w:r>
          </w:p>
        </w:tc>
        <w:tc>
          <w:tcPr>
            <w:tcW w:w="3500" w:type="dxa"/>
            <w:vAlign w:val="bottom"/>
          </w:tcPr>
          <w:p>
            <w:pPr>
              <w:spacing w:after="0"/>
              <w:rPr>
                <w:sz w:val="16"/>
                <w:szCs w:val="16"/>
                <w:color w:val="auto"/>
              </w:rPr>
            </w:pPr>
          </w:p>
        </w:tc>
        <w:tc>
          <w:tcPr>
            <w:tcW w:w="5760" w:type="dxa"/>
            <w:vAlign w:val="bottom"/>
          </w:tcPr>
          <w:p>
            <w:pPr>
              <w:ind w:left="3260"/>
              <w:spacing w:after="0" w:line="185" w:lineRule="exact"/>
              <w:rPr>
                <w:sz w:val="20"/>
                <w:szCs w:val="20"/>
                <w:color w:val="auto"/>
              </w:rPr>
            </w:pPr>
            <w:r>
              <w:rPr>
                <w:rFonts w:ascii="Arial" w:cs="Arial" w:eastAsia="Arial" w:hAnsi="Arial"/>
                <w:sz w:val="18"/>
                <w:szCs w:val="18"/>
                <w:color w:val="auto"/>
              </w:rPr>
              <w:t>301/998-8185</w:t>
            </w:r>
          </w:p>
        </w:tc>
      </w:tr>
      <w:tr>
        <w:trPr>
          <w:trHeight w:val="229"/>
        </w:trPr>
        <w:tc>
          <w:tcPr>
            <w:tcW w:w="5520" w:type="dxa"/>
            <w:vAlign w:val="bottom"/>
            <w:gridSpan w:val="2"/>
          </w:tcPr>
          <w:p>
            <w:pPr>
              <w:spacing w:after="0"/>
              <w:rPr>
                <w:sz w:val="20"/>
                <w:szCs w:val="20"/>
                <w:color w:val="auto"/>
              </w:rPr>
            </w:pPr>
            <w:r>
              <w:rPr>
                <w:rFonts w:ascii="Arial" w:cs="Arial" w:eastAsia="Arial" w:hAnsi="Arial"/>
                <w:sz w:val="18"/>
                <w:szCs w:val="18"/>
                <w:i w:val="1"/>
                <w:iCs w:val="1"/>
                <w:color w:val="auto"/>
              </w:rPr>
              <w:t>gbirdsall@federalrealty.com</w:t>
            </w:r>
          </w:p>
        </w:tc>
        <w:tc>
          <w:tcPr>
            <w:tcW w:w="5760" w:type="dxa"/>
            <w:vAlign w:val="bottom"/>
          </w:tcPr>
          <w:p>
            <w:pPr>
              <w:ind w:left="3260"/>
              <w:spacing w:after="0"/>
              <w:rPr>
                <w:sz w:val="20"/>
                <w:szCs w:val="20"/>
                <w:color w:val="auto"/>
              </w:rPr>
            </w:pPr>
            <w:r>
              <w:rPr>
                <w:rFonts w:ascii="Arial" w:cs="Arial" w:eastAsia="Arial" w:hAnsi="Arial"/>
                <w:sz w:val="18"/>
                <w:szCs w:val="18"/>
                <w:i w:val="1"/>
                <w:iCs w:val="1"/>
                <w:color w:val="auto"/>
                <w:w w:val="96"/>
              </w:rPr>
              <w:t>jmstevenson@federalrealty.com</w:t>
            </w:r>
          </w:p>
        </w:tc>
      </w:tr>
    </w:tbl>
    <w:p>
      <w:pPr>
        <w:spacing w:after="0" w:line="213" w:lineRule="exact"/>
        <w:rPr>
          <w:sz w:val="20"/>
          <w:szCs w:val="20"/>
          <w:color w:val="auto"/>
        </w:rPr>
      </w:pPr>
    </w:p>
    <w:p>
      <w:pPr>
        <w:ind w:right="5340"/>
        <w:spacing w:after="0" w:line="264" w:lineRule="auto"/>
        <w:rPr>
          <w:sz w:val="20"/>
          <w:szCs w:val="20"/>
          <w:color w:val="auto"/>
        </w:rPr>
      </w:pPr>
      <w:r>
        <w:rPr>
          <w:rFonts w:ascii="Arial" w:cs="Arial" w:eastAsia="Arial" w:hAnsi="Arial"/>
          <w:sz w:val="18"/>
          <w:szCs w:val="18"/>
          <w:b w:val="1"/>
          <w:bCs w:val="1"/>
          <w:color w:val="auto"/>
        </w:rPr>
        <w:t>FEDERAL REALTY INVESTMENT TRUST ANNOUNCES COMPLETION OF CASH TENDER OFFER FOR ITS 8.75% NOTES DUE 2009</w:t>
      </w:r>
    </w:p>
    <w:p>
      <w:pPr>
        <w:spacing w:after="0" w:line="1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ROCKVILLE, Md. (June 4, 2009) – Federal Realty Investment Trust (NYSE: FRT) today announced that it has completed its previously announced cash tender offer for any and all of its $163,855,000 principal amount of outstanding 8.75% Notes due 2009 (CUSIP No.313747AG2) (the “Securities”).</w:t>
      </w:r>
    </w:p>
    <w:p>
      <w:pPr>
        <w:spacing w:after="0" w:line="15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tender for the Securities expired at 5:00 p.m., New York City time on Wednesday, June 3, 2009. Pursuant to the terms of the tender offer, the Trust purchased today an aggregate of $40,266,000 principal amount of the Securities (representing 24.6% of the outstanding Securities). Securities tendered have been retired.</w:t>
      </w:r>
    </w:p>
    <w:p>
      <w:pPr>
        <w:spacing w:after="0" w:line="154"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In accordance with the terms of the tender offer, the consideration paid for the Securities was $1,020 per $1,000 in principal amount of such Securities, plus accrued and unpaid interest to, but not including, June 4, 2009. The aggregate consideration paid for the Securities tendered, exclusive of accrued interest, was approximately $41.1 million.</w:t>
      </w:r>
    </w:p>
    <w:p>
      <w:pPr>
        <w:spacing w:after="0" w:line="154" w:lineRule="exact"/>
        <w:rPr>
          <w:sz w:val="20"/>
          <w:szCs w:val="20"/>
          <w:color w:val="auto"/>
        </w:rPr>
      </w:pPr>
    </w:p>
    <w:p>
      <w:pPr>
        <w:jc w:val="both"/>
        <w:ind w:right="100"/>
        <w:spacing w:after="0" w:line="264" w:lineRule="auto"/>
        <w:rPr>
          <w:sz w:val="20"/>
          <w:szCs w:val="20"/>
          <w:color w:val="auto"/>
        </w:rPr>
      </w:pPr>
      <w:r>
        <w:rPr>
          <w:rFonts w:ascii="Arial" w:cs="Arial" w:eastAsia="Arial" w:hAnsi="Arial"/>
          <w:sz w:val="16"/>
          <w:szCs w:val="16"/>
          <w:color w:val="auto"/>
        </w:rPr>
        <w:t>The tender offer was made pursuant to the Trust’s Offer to Purchase, dated May 26, 2009 and related Letter of Transmittal. The Trust retained Citi and Wachovia Securities to serve as Dealer Managers and retained Global Bondholder Services Corporation to serve as the information agent for the tender offer. Requests for documents may be directed to Global Bondholder Services Corporation by telephone at (212) 430-3774 or</w:t>
      </w:r>
    </w:p>
    <w:p>
      <w:pPr>
        <w:spacing w:after="0" w:line="1" w:lineRule="exact"/>
        <w:rPr>
          <w:sz w:val="20"/>
          <w:szCs w:val="20"/>
          <w:color w:val="auto"/>
        </w:rPr>
      </w:pPr>
    </w:p>
    <w:p>
      <w:pPr>
        <w:ind w:right="80" w:firstLine="8"/>
        <w:spacing w:after="0" w:line="239" w:lineRule="auto"/>
        <w:tabs>
          <w:tab w:leader="none" w:pos="459" w:val="left"/>
        </w:tabs>
        <w:numPr>
          <w:ilvl w:val="0"/>
          <w:numId w:val="3"/>
        </w:numPr>
        <w:rPr>
          <w:rFonts w:ascii="Arial" w:cs="Arial" w:eastAsia="Arial" w:hAnsi="Arial"/>
          <w:sz w:val="18"/>
          <w:szCs w:val="18"/>
          <w:color w:val="auto"/>
        </w:rPr>
      </w:pPr>
      <w:r>
        <w:rPr>
          <w:rFonts w:ascii="Arial" w:cs="Arial" w:eastAsia="Arial" w:hAnsi="Arial"/>
          <w:sz w:val="18"/>
          <w:szCs w:val="18"/>
          <w:color w:val="auto"/>
        </w:rPr>
        <w:t>470-3900, or in writing at 65 Broadway – Suite 723, New York, NY 10006, Attention: Corporate Actions. Questions regarding the tender offer may be directed to Citi at (800) 558-3745 (toll free) and Wachovia Securities at (704) 715-8341 (collect) or (866) 309-6316 (toll free).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is neither an offer to purchase nor a solicitation of an offer to sell the Securities or any other securities.</w:t>
      </w:r>
    </w:p>
    <w:p>
      <w:pPr>
        <w:spacing w:after="0" w:line="14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 COMPLETION OF</w:t>
      </w:r>
    </w:p>
    <w:p>
      <w:pPr>
        <w:spacing w:after="0" w:line="234" w:lineRule="auto"/>
        <w:rPr>
          <w:sz w:val="20"/>
          <w:szCs w:val="20"/>
          <w:color w:val="auto"/>
        </w:rPr>
      </w:pPr>
      <w:r>
        <w:rPr>
          <w:rFonts w:ascii="Arial" w:cs="Arial" w:eastAsia="Arial" w:hAnsi="Arial"/>
          <w:sz w:val="18"/>
          <w:szCs w:val="18"/>
          <w:color w:val="auto"/>
        </w:rPr>
        <w:t>CASH TENDER OFFER FOR ITS 8.75% NOTES DUE 2009</w:t>
      </w:r>
    </w:p>
    <w:p>
      <w:pPr>
        <w:spacing w:after="0" w:line="235" w:lineRule="auto"/>
        <w:rPr>
          <w:sz w:val="20"/>
          <w:szCs w:val="20"/>
          <w:color w:val="auto"/>
        </w:rPr>
      </w:pPr>
      <w:r>
        <w:rPr>
          <w:rFonts w:ascii="Arial" w:cs="Arial" w:eastAsia="Arial" w:hAnsi="Arial"/>
          <w:sz w:val="18"/>
          <w:szCs w:val="18"/>
          <w:color w:val="auto"/>
        </w:rPr>
        <w:t>June 4, 2009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and redevelopment of high quality retail assets. Federal Realty’s portfolio (excluding joint venture properties) contains approximately 18.1 million square feet located primarily in strategically selected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94.2% leased to national, regional, and local retailers as of March 31, 2009, with no single tenant accounting for more than approximately 2.6% of annualized base rent. Federal Realty has paid quarterly dividends to its shareholders continuously since its founding in 1962, and has increased its dividend rate for 41 consecutive years, the longest record in the REIT industry. Federal Realty is an S&amp;P MidCap 400 company and its shares are traded on the NYSE under the symbol FRT.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86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2019-12-10T00:09:13Z</dcterms:created>
  <dcterms:modified xsi:type="dcterms:W3CDTF">2019-12-10T00:09:13Z</dcterms:modified>
</cp:coreProperties>
</file>