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39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00" w:lineRule="exact"/>
        <w:rPr>
          <w:sz w:val="24"/>
          <w:szCs w:val="24"/>
          <w:color w:val="auto"/>
        </w:rPr>
      </w:pPr>
    </w:p>
    <w:p>
      <w:pPr>
        <w:ind w:left="3320"/>
        <w:spacing w:after="0"/>
        <w:rPr>
          <w:sz w:val="20"/>
          <w:szCs w:val="20"/>
          <w:color w:val="auto"/>
        </w:rPr>
      </w:pPr>
      <w:r>
        <w:rPr>
          <w:rFonts w:ascii="Arial" w:cs="Arial" w:eastAsia="Arial" w:hAnsi="Arial"/>
          <w:sz w:val="18"/>
          <w:szCs w:val="18"/>
          <w:b w:val="1"/>
          <w:bCs w:val="1"/>
          <w:color w:val="auto"/>
        </w:rPr>
        <w:t>Date of Report (Date of earliest event reported) January 1,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Federal Realty Investment Trust</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1-07533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52-0782497</w:t>
      </w:r>
    </w:p>
    <w:p>
      <w:pPr>
        <w:spacing w:after="0" w:line="46" w:lineRule="exact"/>
        <w:rPr>
          <w:sz w:val="24"/>
          <w:szCs w:val="24"/>
          <w:color w:val="auto"/>
        </w:rPr>
      </w:pPr>
    </w:p>
    <w:p>
      <w:pPr>
        <w:sectPr>
          <w:pgSz w:w="11900" w:h="16838" w:orient="portrait"/>
          <w:cols w:equalWidth="0" w:num="3">
            <w:col w:w="4820" w:space="720"/>
            <w:col w:w="2920" w:space="720"/>
            <w:col w:w="1840"/>
          </w:cols>
          <w:pgMar w:left="240" w:top="301"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340" w:space="720"/>
            <w:col w:w="3280" w:space="720"/>
            <w:col w:w="1960"/>
          </w:cols>
          <w:pgMar w:left="240" w:top="301" w:right="639" w:bottom="1440" w:gutter="0" w:footer="0" w:header="0"/>
          <w:type w:val="continuous"/>
        </w:sectPr>
      </w:pPr>
    </w:p>
    <w:p>
      <w:pPr>
        <w:ind w:left="1080"/>
        <w:spacing w:after="0"/>
        <w:rPr>
          <w:sz w:val="20"/>
          <w:szCs w:val="20"/>
          <w:color w:val="auto"/>
        </w:rPr>
      </w:pPr>
      <w:r>
        <w:rPr>
          <w:rFonts w:ascii="Arial" w:cs="Arial" w:eastAsia="Arial" w:hAnsi="Arial"/>
          <w:sz w:val="15"/>
          <w:szCs w:val="15"/>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20852-4041</w:t>
      </w:r>
    </w:p>
    <w:p>
      <w:pPr>
        <w:spacing w:after="0" w:line="56" w:lineRule="exact"/>
        <w:rPr>
          <w:sz w:val="24"/>
          <w:szCs w:val="24"/>
          <w:color w:val="auto"/>
        </w:rPr>
      </w:pPr>
    </w:p>
    <w:p>
      <w:pPr>
        <w:sectPr>
          <w:pgSz w:w="11900" w:h="16838" w:orient="portrait"/>
          <w:cols w:equalWidth="0" w:num="2">
            <w:col w:w="7540" w:space="720"/>
            <w:col w:w="2760"/>
          </w:cols>
          <w:pgMar w:left="240" w:top="301" w:right="63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40"/>
          </w:cols>
          <w:pgMar w:left="240" w:top="301" w:right="639" w:bottom="1440" w:gutter="0" w:footer="0" w:header="0"/>
          <w:type w:val="continuous"/>
        </w:sectPr>
      </w:pPr>
    </w:p>
    <w:p>
      <w:pPr>
        <w:ind w:left="326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type w:val="continuous"/>
        </w:sectPr>
      </w:pPr>
    </w:p>
    <w:bookmarkStart w:id="1" w:name="page2"/>
    <w:bookmarkEnd w:id="1"/>
    <w:p>
      <w:pPr>
        <w:ind w:left="1140" w:right="300" w:hanging="1133"/>
        <w:spacing w:after="0" w:line="275" w:lineRule="auto"/>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45" w:lineRule="exact"/>
        <w:rPr>
          <w:sz w:val="20"/>
          <w:szCs w:val="20"/>
          <w:color w:val="auto"/>
        </w:rPr>
      </w:pPr>
    </w:p>
    <w:p>
      <w:pPr>
        <w:jc w:val="both"/>
        <w:ind w:firstLine="456"/>
        <w:spacing w:after="0" w:line="305" w:lineRule="auto"/>
        <w:rPr>
          <w:sz w:val="20"/>
          <w:szCs w:val="20"/>
          <w:color w:val="auto"/>
        </w:rPr>
      </w:pPr>
      <w:r>
        <w:rPr>
          <w:rFonts w:ascii="Arial" w:cs="Arial" w:eastAsia="Arial" w:hAnsi="Arial"/>
          <w:sz w:val="15"/>
          <w:szCs w:val="15"/>
          <w:color w:val="auto"/>
        </w:rPr>
        <w:t>On January 1, 2009, the Trust entered into amendments to the following agreements with its executive officers (collectively, “Agreements”): (a) Executive Agreement, Severance Agreement and Health Coverage Continuation Agreement between the Trust and Donald C. Wood, President and Chief Executive Officer;</w:t>
      </w:r>
    </w:p>
    <w:p>
      <w:pPr>
        <w:ind w:firstLine="8"/>
        <w:spacing w:after="0" w:line="253" w:lineRule="auto"/>
        <w:tabs>
          <w:tab w:leader="none" w:pos="249" w:val="left"/>
        </w:tabs>
        <w:numPr>
          <w:ilvl w:val="0"/>
          <w:numId w:val="2"/>
        </w:numPr>
        <w:rPr>
          <w:rFonts w:ascii="Arial" w:cs="Arial" w:eastAsia="Arial" w:hAnsi="Arial"/>
          <w:sz w:val="18"/>
          <w:szCs w:val="18"/>
          <w:color w:val="auto"/>
        </w:rPr>
      </w:pPr>
      <w:r>
        <w:rPr>
          <w:rFonts w:ascii="Arial" w:cs="Arial" w:eastAsia="Arial" w:hAnsi="Arial"/>
          <w:sz w:val="18"/>
          <w:szCs w:val="18"/>
          <w:color w:val="auto"/>
        </w:rPr>
        <w:t>Severance Agreement between the Trust and Dawn M. Becker, Executive Vice President–General Counsel and Secretary; (c) Severance Agreement between the Trust and Jeffrey S. Berkes, Executive Vice President–Chief Investment Officer; and (d) Change in Control Agreement between the Trust and Andrew P. Blocher, Senior Vice President–Chief Financial Officer and Treasurer. The amendments to the Agreements were made for the sole purpose of incorporating, as necessary, the regulations promulgated under Section 409A of the Internal Revenue Code. No changes were made to the any of the payments required to be made under any of the Agreements.</w:t>
      </w:r>
    </w:p>
    <w:p>
      <w:pPr>
        <w:sectPr>
          <w:pgSz w:w="11900" w:h="16838" w:orient="portrait"/>
          <w:cols w:equalWidth="0" w:num="1">
            <w:col w:w="11360"/>
          </w:cols>
          <w:pgMar w:left="240" w:top="274" w:right="29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January 5, 2009</w:t>
      </w:r>
      <w:r>
        <w:rPr>
          <w:sz w:val="20"/>
          <w:szCs w:val="20"/>
          <w:color w:val="auto"/>
        </w:rPr>
        <w:tab/>
      </w:r>
      <w:r>
        <w:rPr>
          <w:rFonts w:ascii="Arial" w:cs="Arial" w:eastAsia="Arial" w:hAnsi="Arial"/>
          <w:sz w:val="16"/>
          <w:szCs w:val="16"/>
          <w:color w:val="auto"/>
        </w:rPr>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10795</wp:posOffset>
            </wp:positionV>
            <wp:extent cx="36188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President-General Counsel and Secretary</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2019-12-10T00:01:04Z</dcterms:created>
  <dcterms:modified xsi:type="dcterms:W3CDTF">2019-12-10T00:01:04Z</dcterms:modified>
</cp:coreProperties>
</file>