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8-K</w:t>
      </w:r>
    </w:p>
    <w:p>
      <w:pPr>
        <w:spacing w:after="0" w:line="16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CURRENT REPORT</w:t>
      </w:r>
    </w:p>
    <w:p>
      <w:pPr>
        <w:spacing w:after="0" w:line="344" w:lineRule="exact"/>
        <w:rPr>
          <w:sz w:val="24"/>
          <w:szCs w:val="24"/>
          <w:color w:val="auto"/>
        </w:rPr>
      </w:pPr>
    </w:p>
    <w:p>
      <w:pPr>
        <w:ind w:right="4059"/>
        <w:spacing w:after="0" w:line="235" w:lineRule="auto"/>
        <w:rPr>
          <w:sz w:val="20"/>
          <w:szCs w:val="20"/>
          <w:color w:val="auto"/>
        </w:rPr>
      </w:pPr>
      <w:r>
        <w:rPr>
          <w:rFonts w:ascii="Courier New" w:cs="Courier New" w:eastAsia="Courier New" w:hAnsi="Courier New"/>
          <w:sz w:val="15"/>
          <w:szCs w:val="15"/>
          <w:color w:val="auto"/>
        </w:rPr>
        <w:t>Pursuant to Section 13 or 15(d) of the Securities Exchange Act of 1934 Date of Report: September 26, 1997</w:t>
      </w:r>
    </w:p>
    <w:p>
      <w:pPr>
        <w:spacing w:after="0" w:line="340"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2100"/>
        <w:spacing w:after="0"/>
        <w:rPr>
          <w:sz w:val="20"/>
          <w:szCs w:val="20"/>
          <w:color w:val="auto"/>
        </w:rPr>
      </w:pPr>
      <w:r>
        <w:rPr>
          <w:rFonts w:ascii="Courier New" w:cs="Courier New" w:eastAsia="Courier New" w:hAnsi="Courier New"/>
          <w:sz w:val="15"/>
          <w:szCs w:val="15"/>
          <w:color w:val="auto"/>
        </w:rPr>
        <w:t>-------------------------------</w:t>
      </w: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tbl>
      <w:tblPr>
        <w:tblLayout w:type="fixed"/>
        <w:tblInd w:w="260"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District of Columbia</w:t>
            </w:r>
          </w:p>
        </w:tc>
        <w:tc>
          <w:tcPr>
            <w:tcW w:w="18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1-7533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52-0782497</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4"/>
          <w:szCs w:val="24"/>
          <w:color w:val="auto"/>
        </w:rPr>
      </w:pPr>
    </w:p>
    <w:p>
      <w:pPr>
        <w:ind w:left="340" w:right="3799" w:hanging="352"/>
        <w:spacing w:after="0" w:line="235" w:lineRule="auto"/>
        <w:rPr>
          <w:sz w:val="20"/>
          <w:szCs w:val="20"/>
          <w:color w:val="auto"/>
        </w:rPr>
      </w:pPr>
      <w:r>
        <w:rPr>
          <w:rFonts w:ascii="Courier New" w:cs="Courier New" w:eastAsia="Courier New" w:hAnsi="Courier New"/>
          <w:sz w:val="15"/>
          <w:szCs w:val="15"/>
          <w:color w:val="auto"/>
        </w:rPr>
        <w:t>(State or other jurisdiction</w:t>
      </w:r>
      <w:r>
        <w:rPr>
          <w:sz w:val="20"/>
          <w:szCs w:val="20"/>
          <w:color w:val="auto"/>
        </w:rPr>
        <w:t xml:space="preserve"> </w:t>
      </w:r>
      <w:r>
        <w:rPr>
          <w:rFonts w:ascii="Courier New" w:cs="Courier New" w:eastAsia="Courier New" w:hAnsi="Courier New"/>
          <w:sz w:val="15"/>
          <w:szCs w:val="15"/>
          <w:color w:val="auto"/>
        </w:rPr>
        <w:t>(Commission (I.R.S. Employer of incorporation) File Number) Identification No.)</w:t>
      </w:r>
    </w:p>
    <w:p>
      <w:pPr>
        <w:spacing w:after="0" w:line="340" w:lineRule="exact"/>
        <w:rPr>
          <w:sz w:val="24"/>
          <w:szCs w:val="24"/>
          <w:color w:val="auto"/>
        </w:rPr>
      </w:pPr>
    </w:p>
    <w:p>
      <w:pPr>
        <w:ind w:left="880"/>
        <w:spacing w:after="0"/>
        <w:tabs>
          <w:tab w:leader="none" w:pos="5180" w:val="left"/>
        </w:tabs>
        <w:rPr>
          <w:sz w:val="20"/>
          <w:szCs w:val="20"/>
          <w:color w:val="auto"/>
        </w:rPr>
      </w:pPr>
      <w:r>
        <w:rPr>
          <w:rFonts w:ascii="Courier New" w:cs="Courier New" w:eastAsia="Courier New" w:hAnsi="Courier New"/>
          <w:sz w:val="15"/>
          <w:szCs w:val="15"/>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ind w:left="880"/>
        <w:spacing w:after="0"/>
        <w:rPr>
          <w:sz w:val="20"/>
          <w:szCs w:val="20"/>
          <w:color w:val="auto"/>
        </w:rPr>
      </w:pPr>
      <w:r>
        <w:rPr>
          <w:rFonts w:ascii="Courier New" w:cs="Courier New" w:eastAsia="Courier New" w:hAnsi="Courier New"/>
          <w:sz w:val="15"/>
          <w:szCs w:val="15"/>
          <w:color w:val="auto"/>
        </w:rPr>
        <w:t>-----------------------------------------------------------</w:t>
      </w:r>
    </w:p>
    <w:p>
      <w:pPr>
        <w:ind w:left="1040"/>
        <w:spacing w:after="0"/>
        <w:tabs>
          <w:tab w:leader="none" w:pos="49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 301/998-8100</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Exhibit Index appears on page 4.</w:t>
      </w:r>
    </w:p>
    <w:p>
      <w:pPr>
        <w:sectPr>
          <w:pgSz w:w="11900" w:h="16838" w:orient="portrait"/>
          <w:cols w:equalWidth="0" w:num="1">
            <w:col w:w="10219"/>
          </w:cols>
          <w:pgMar w:left="240" w:top="565" w:right="1440" w:bottom="1440" w:gutter="0" w:footer="0" w:header="0"/>
        </w:sectPr>
      </w:pPr>
    </w:p>
    <w:bookmarkStart w:id="1" w:name="page2"/>
    <w:bookmarkEnd w:id="1"/>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During the four months from September 1, 1997 through December 31, 1997, Federal Realty Investment Trust (the "Trust") acquired seven operating properties and one property under development.</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On September 26, 1997 the Trust purchased the Uptown Shopping Center located in Portland, Oregon which consists of approximately 72,000 square feet of retail space and 47 apartment units for $15.7 million. The Trust funded the acquisition of the Uptown Shopping Center with proceeds from the sale of Town &amp; Country Shopping Center in Springfield, Illinois, sold on May 13, 1997, and with proceeds from the sale of Shillington Shopping Center, sold on May 30, 1997. On October 23, 1997 the Trust purchased, for $20.5 million, the 109,000 square foot mixed use retail/office building located at 150 Post Street in San Francisco, California. On December 5, 1997 the Trust purchased the retail portion of the Fresh Meadows complex in Queens, New York for $49.3 million. The retail component contains 417,000 square feet comprised of individual main street retail shops and two neighborhood strip shopping centers. The Trust funded the acquisition of 150 Post Street and Fresh Meadows with borrowings under its revolving credit facilities. On December 17, 1997 a limited partnership ("Federal Realty Partners, LP") organized by the Trust acquired the Magruder's Center and the Courthouse Center, both located in Rockville, Maryland for $12.6 million. The seller contributed the properties to the limited partnership and received 481,378 partnership units valued at $12.3 million and the Trust contributed $400,000 in cash. The partnership units are exchangeable, at the option of the Trust, for cash or shares of the Trust. On December 19, 1997 the Trust purchased the 295,000 square foot Peninsula Shopping Center located in the Los Angeles, California suburb of Palos Verdes at a cash purchase price of $43.5 million. The Trust funded this acquisition with borrowings under its revolving credit facilities. Financial statements and proforma financial information on these properties (the "Acquired Properties") are submitted in Item 7 of this report.</w:t>
      </w:r>
    </w:p>
    <w:p>
      <w:pPr>
        <w:spacing w:after="0" w:line="17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December 16, 1997 the Trust, through a Limited Liability Company (Street Retail Forest Hills II, LLC, "SRFHII") organized by the Trust, purchased a main street retail property in Forest Hills, New York for $3.4 million. The Trust contributed $3.1 million of the cost with the remaining cost of $300,000 being contributed by the minority interest. The Trust funded the acquisition of this property with borrowings under its revolving credit facilities. Financial statements for this property are not available, but it is not significant. On October 22, 1997 a Limited Liability Company ("Old Town Center LLC") organized by the Trust acquired the Old Town Center in Los Gatos, California for approximately $6.2 million. The property is currently being redeveloped. The Trust contributed all but $400,000 of the purchase price to the Old Town Center LLC and will contribute all amounts necessary to fund the development. The minority partner has an interest in the profits of the property after the Trust receives a stated return on its deemed investment in the property. Financial statements are not presented or available since the property is currently under redevelopment.</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2" w:right="1440" w:bottom="1440" w:gutter="0" w:footer="0" w:header="0"/>
        </w:sectPr>
      </w:pPr>
    </w:p>
    <w:bookmarkStart w:id="2" w:name="page3"/>
    <w:bookmarkEnd w:id="2"/>
    <w:p>
      <w:pPr>
        <w:ind w:left="10"/>
        <w:spacing w:after="0"/>
        <w:rPr>
          <w:sz w:val="20"/>
          <w:szCs w:val="20"/>
          <w:color w:val="auto"/>
        </w:rPr>
      </w:pPr>
      <w:r>
        <w:rPr>
          <w:rFonts w:ascii="Courier New" w:cs="Courier New" w:eastAsia="Courier New" w:hAnsi="Courier New"/>
          <w:sz w:val="15"/>
          <w:szCs w:val="15"/>
          <w:color w:val="auto"/>
        </w:rPr>
        <w:t>ITEM 7. FINANCIAL STATEMENTS AND EXHIBITS</w:t>
      </w:r>
    </w:p>
    <w:p>
      <w:pPr>
        <w:spacing w:after="0" w:line="175"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The following financial statements, pro forma financial information and exhibits are filed as part of this report:</w:t>
      </w:r>
    </w:p>
    <w:p>
      <w:pPr>
        <w:spacing w:after="0" w:line="176" w:lineRule="exact"/>
        <w:rPr>
          <w:sz w:val="20"/>
          <w:szCs w:val="20"/>
          <w:color w:val="auto"/>
        </w:rPr>
      </w:pPr>
    </w:p>
    <w:p>
      <w:pPr>
        <w:ind w:left="450" w:right="3699" w:hanging="450"/>
        <w:spacing w:after="0" w:line="235" w:lineRule="auto"/>
        <w:tabs>
          <w:tab w:leader="none" w:pos="45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of the real estate operations acquired, prepared pursuant to Rule 3.14 of Regulation S-X:</w:t>
      </w:r>
    </w:p>
    <w:p>
      <w:pPr>
        <w:spacing w:after="0" w:line="17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Page No.</w:t>
            </w:r>
          </w:p>
        </w:tc>
      </w:tr>
      <w:tr>
        <w:trPr>
          <w:trHeight w:val="170"/>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1.RREEF West-VI One, Inc. - Uptown Shopping Center</w:t>
            </w:r>
          </w:p>
        </w:tc>
        <w:tc>
          <w:tcPr>
            <w:tcW w:w="1020" w:type="dxa"/>
            <w:vAlign w:val="bottom"/>
          </w:tcPr>
          <w:p>
            <w:pPr>
              <w:spacing w:after="0"/>
              <w:rPr>
                <w:sz w:val="14"/>
                <w:szCs w:val="14"/>
                <w:color w:val="auto"/>
              </w:rPr>
            </w:pP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Independent Auditors'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Report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w:t>
            </w: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Statement of Revenues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w:t>
            </w: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Notes to Statement of</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Revenues 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2.150 Post Street, Inc.</w:t>
            </w:r>
          </w:p>
        </w:tc>
        <w:tc>
          <w:tcPr>
            <w:tcW w:w="3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Independent Auditors'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Report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w:t>
            </w: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Statement of Revenues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w:t>
            </w:r>
          </w:p>
        </w:tc>
      </w:tr>
      <w:tr>
        <w:trPr>
          <w:trHeight w:val="170"/>
        </w:trPr>
        <w:tc>
          <w:tcPr>
            <w:tcW w:w="5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Note to Statement of Revenues and Certain Expenses</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10-11</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3.Fresh Meadows Commercial</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Property</w:t>
            </w:r>
          </w:p>
        </w:tc>
        <w:tc>
          <w:tcPr>
            <w:tcW w:w="1020" w:type="dxa"/>
            <w:vAlign w:val="bottom"/>
          </w:tcPr>
          <w:p>
            <w:pPr>
              <w:spacing w:after="0"/>
              <w:rPr>
                <w:sz w:val="24"/>
                <w:szCs w:val="24"/>
                <w:color w:val="auto"/>
              </w:rPr>
            </w:pP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Report of Independent</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Accountants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w:t>
            </w:r>
          </w:p>
        </w:tc>
      </w:tr>
      <w:tr>
        <w:trPr>
          <w:trHeight w:val="170"/>
        </w:trPr>
        <w:tc>
          <w:tcPr>
            <w:tcW w:w="5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Statements of Revenues 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r>
      <w:tr>
        <w:trPr>
          <w:trHeight w:val="170"/>
        </w:trPr>
        <w:tc>
          <w:tcPr>
            <w:tcW w:w="5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Notes to Statements of Revenues 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4.The Magruder Center</w:t>
            </w:r>
          </w:p>
        </w:tc>
        <w:tc>
          <w:tcPr>
            <w:tcW w:w="3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Independent Auditor's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Report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Statement of Revenues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Notes to Statement of</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Revenues 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w:t>
            </w:r>
          </w:p>
        </w:tc>
      </w:tr>
      <w:tr>
        <w:trPr>
          <w:trHeight w:val="509"/>
        </w:trPr>
        <w:tc>
          <w:tcPr>
            <w:tcW w:w="2320" w:type="dxa"/>
            <w:vAlign w:val="bottom"/>
          </w:tcPr>
          <w:p>
            <w:pPr>
              <w:spacing w:after="0"/>
              <w:rPr>
                <w:sz w:val="20"/>
                <w:szCs w:val="20"/>
                <w:color w:val="auto"/>
              </w:rPr>
            </w:pPr>
            <w:r>
              <w:rPr>
                <w:rFonts w:ascii="Courier New" w:cs="Courier New" w:eastAsia="Courier New" w:hAnsi="Courier New"/>
                <w:sz w:val="15"/>
                <w:szCs w:val="15"/>
                <w:color w:val="auto"/>
              </w:rPr>
              <w:t>5.The Courthouse Center</w:t>
            </w:r>
          </w:p>
        </w:tc>
        <w:tc>
          <w:tcPr>
            <w:tcW w:w="3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Independent Auditor's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Report</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Statement of Revenues</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w:t>
            </w: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Notes to Statement of</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Revenues and Certain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w:t>
            </w:r>
          </w:p>
        </w:tc>
      </w:tr>
      <w:tr>
        <w:trPr>
          <w:trHeight w:val="339"/>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6.The Peninsula Shopping Center</w:t>
            </w:r>
          </w:p>
        </w:tc>
        <w:tc>
          <w:tcPr>
            <w:tcW w:w="1020" w:type="dxa"/>
            <w:vAlign w:val="bottom"/>
          </w:tcPr>
          <w:p>
            <w:pPr>
              <w:spacing w:after="0"/>
              <w:rPr>
                <w:sz w:val="24"/>
                <w:szCs w:val="24"/>
                <w:color w:val="auto"/>
              </w:rPr>
            </w:pP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Report of Independent</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Certified Public Accountants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w:t>
            </w:r>
          </w:p>
        </w:tc>
      </w:t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w w:val="98"/>
              </w:rPr>
              <w:t>Historical Summary of</w:t>
            </w:r>
          </w:p>
        </w:tc>
        <w:tc>
          <w:tcPr>
            <w:tcW w:w="3000" w:type="dxa"/>
            <w:vAlign w:val="bottom"/>
          </w:tcPr>
          <w:p>
            <w:pPr>
              <w:ind w:left="60"/>
              <w:spacing w:after="0"/>
              <w:rPr>
                <w:sz w:val="20"/>
                <w:szCs w:val="20"/>
                <w:color w:val="auto"/>
              </w:rPr>
            </w:pPr>
            <w:r>
              <w:rPr>
                <w:rFonts w:ascii="Courier New" w:cs="Courier New" w:eastAsia="Courier New" w:hAnsi="Courier New"/>
                <w:sz w:val="15"/>
                <w:szCs w:val="15"/>
                <w:color w:val="auto"/>
              </w:rPr>
              <w:t>Gross Income</w:t>
            </w:r>
          </w:p>
        </w:tc>
        <w:tc>
          <w:tcPr>
            <w:tcW w:w="1020" w:type="dxa"/>
            <w:vAlign w:val="bottom"/>
          </w:tcPr>
          <w:p>
            <w:pPr>
              <w:spacing w:after="0"/>
              <w:rPr>
                <w:sz w:val="14"/>
                <w:szCs w:val="14"/>
                <w:color w:val="auto"/>
              </w:rPr>
            </w:pPr>
          </w:p>
        </w:tc>
      </w:tr>
      <w:tr>
        <w:trPr>
          <w:trHeight w:val="170"/>
        </w:trPr>
        <w:tc>
          <w:tcPr>
            <w:tcW w:w="53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and Direct Operating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r>
      <w:tr>
        <w:trPr>
          <w:trHeight w:val="170"/>
        </w:trPr>
        <w:tc>
          <w:tcPr>
            <w:tcW w:w="53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Notes to Historical Summary of Gross Income</w:t>
            </w:r>
          </w:p>
        </w:tc>
        <w:tc>
          <w:tcPr>
            <w:tcW w:w="1020" w:type="dxa"/>
            <w:vAlign w:val="bottom"/>
          </w:tcPr>
          <w:p>
            <w:pPr>
              <w:spacing w:after="0"/>
              <w:rPr>
                <w:sz w:val="14"/>
                <w:szCs w:val="14"/>
                <w:color w:val="auto"/>
              </w:rPr>
            </w:pPr>
          </w:p>
        </w:tc>
      </w:tr>
      <w:tr>
        <w:trPr>
          <w:trHeight w:val="170"/>
        </w:trPr>
        <w:tc>
          <w:tcPr>
            <w:tcW w:w="532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and Direct Operating Expenses</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w:t>
            </w:r>
          </w:p>
        </w:tc>
      </w:tr>
    </w:tbl>
    <w:p>
      <w:pPr>
        <w:spacing w:after="0" w:line="17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(b)Pro forma financial information required pursuant to Article 11 of Regulation S-X:</w:t>
      </w:r>
    </w:p>
    <w:p>
      <w:pPr>
        <w:spacing w:after="0" w:line="176" w:lineRule="exact"/>
        <w:rPr>
          <w:sz w:val="20"/>
          <w:szCs w:val="20"/>
          <w:color w:val="auto"/>
        </w:rPr>
      </w:pPr>
    </w:p>
    <w:p>
      <w:pPr>
        <w:ind w:left="710" w:right="4319" w:hanging="269"/>
        <w:spacing w:after="0" w:line="265" w:lineRule="auto"/>
        <w:tabs>
          <w:tab w:leader="none" w:pos="71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Condensed Financial Statements (unaudited) of Federal Realty Investment Trust and the Acquired Properties</w:t>
      </w:r>
    </w:p>
    <w:p>
      <w:pPr>
        <w:spacing w:after="0" w:line="153"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Pro Forma Condensed</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Balance Sheet - September 30, 1997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Pro Forma Condensed</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Statement of Operations</w:t>
            </w:r>
          </w:p>
        </w:tc>
        <w:tc>
          <w:tcPr>
            <w:tcW w:w="700" w:type="dxa"/>
            <w:vAlign w:val="bottom"/>
          </w:tcPr>
          <w:p>
            <w:pPr>
              <w:spacing w:after="0"/>
              <w:rPr>
                <w:sz w:val="14"/>
                <w:szCs w:val="14"/>
                <w:color w:val="auto"/>
              </w:rPr>
            </w:pPr>
          </w:p>
        </w:tc>
      </w:t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Year ended December</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31, 1996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9"/>
        </w:trPr>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Pro Forma Condensed</w:t>
            </w:r>
          </w:p>
        </w:tc>
        <w:tc>
          <w:tcPr>
            <w:tcW w:w="3580" w:type="dxa"/>
            <w:vAlign w:val="bottom"/>
          </w:tcPr>
          <w:p>
            <w:pPr>
              <w:ind w:left="60"/>
              <w:spacing w:after="0"/>
              <w:rPr>
                <w:sz w:val="20"/>
                <w:szCs w:val="20"/>
                <w:color w:val="auto"/>
              </w:rPr>
            </w:pPr>
            <w:r>
              <w:rPr>
                <w:rFonts w:ascii="Courier New" w:cs="Courier New" w:eastAsia="Courier New" w:hAnsi="Courier New"/>
                <w:sz w:val="15"/>
                <w:szCs w:val="15"/>
                <w:color w:val="auto"/>
              </w:rPr>
              <w:t>Statement of Operations</w:t>
            </w:r>
          </w:p>
        </w:tc>
        <w:tc>
          <w:tcPr>
            <w:tcW w:w="700" w:type="dxa"/>
            <w:vAlign w:val="bottom"/>
          </w:tcPr>
          <w:p>
            <w:pPr>
              <w:spacing w:after="0"/>
              <w:rPr>
                <w:sz w:val="24"/>
                <w:szCs w:val="24"/>
                <w:color w:val="auto"/>
              </w:rPr>
            </w:pPr>
          </w:p>
        </w:tc>
      </w:tr>
      <w:tr>
        <w:trPr>
          <w:trHeight w:val="170"/>
        </w:trPr>
        <w:tc>
          <w:tcPr>
            <w:tcW w:w="5280" w:type="dxa"/>
            <w:vAlign w:val="bottom"/>
            <w:gridSpan w:val="2"/>
          </w:tcPr>
          <w:p>
            <w:pPr>
              <w:spacing w:after="0"/>
              <w:rPr>
                <w:sz w:val="20"/>
                <w:szCs w:val="20"/>
                <w:color w:val="auto"/>
              </w:rPr>
            </w:pPr>
            <w:r>
              <w:rPr>
                <w:rFonts w:ascii="Courier New" w:cs="Courier New" w:eastAsia="Courier New" w:hAnsi="Courier New"/>
                <w:sz w:val="15"/>
                <w:szCs w:val="15"/>
                <w:color w:val="auto"/>
              </w:rPr>
              <w:t>Nine months ended September 30, 1997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39"/>
        </w:trPr>
        <w:tc>
          <w:tcPr>
            <w:tcW w:w="1700" w:type="dxa"/>
            <w:vAlign w:val="bottom"/>
          </w:tcPr>
          <w:p>
            <w:pPr>
              <w:spacing w:after="0"/>
              <w:rPr>
                <w:sz w:val="24"/>
                <w:szCs w:val="24"/>
                <w:color w:val="auto"/>
              </w:rPr>
            </w:pPr>
          </w:p>
        </w:tc>
        <w:tc>
          <w:tcPr>
            <w:tcW w:w="3580" w:type="dxa"/>
            <w:vAlign w:val="bottom"/>
          </w:tcPr>
          <w:p>
            <w:pPr>
              <w:ind w:left="1280"/>
              <w:spacing w:after="0"/>
              <w:rPr>
                <w:sz w:val="20"/>
                <w:szCs w:val="20"/>
                <w:color w:val="auto"/>
              </w:rPr>
            </w:pPr>
            <w:r>
              <w:rPr>
                <w:rFonts w:ascii="Courier New" w:cs="Courier New" w:eastAsia="Courier New" w:hAnsi="Courier New"/>
                <w:sz w:val="15"/>
                <w:szCs w:val="15"/>
                <w:color w:val="auto"/>
              </w:rPr>
              <w:t>3</w:t>
            </w:r>
          </w:p>
        </w:tc>
        <w:tc>
          <w:tcPr>
            <w:tcW w:w="70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3" w:name="page4"/>
    <w:bookmarkEnd w:id="3"/>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Pro Forma Condensed Statement of Operations for the year ended December 31, 1996 is based on audited historical financial statements of operations of the Acquired Properties and the Trust after giving effect to the acquisition of the Acquired Properties and the adjustments as described in the accompanying notes to the pro forma financial statements.</w:t>
      </w:r>
    </w:p>
    <w:p>
      <w:pPr>
        <w:spacing w:after="0" w:line="178" w:lineRule="exact"/>
        <w:rPr>
          <w:sz w:val="20"/>
          <w:szCs w:val="20"/>
          <w:color w:val="auto"/>
        </w:rPr>
      </w:pPr>
    </w:p>
    <w:p>
      <w:pPr>
        <w:ind w:left="10" w:right="3259" w:firstLine="441"/>
        <w:spacing w:after="0" w:line="237" w:lineRule="auto"/>
        <w:rPr>
          <w:sz w:val="20"/>
          <w:szCs w:val="20"/>
          <w:color w:val="auto"/>
        </w:rPr>
      </w:pPr>
      <w:r>
        <w:rPr>
          <w:rFonts w:ascii="Courier New" w:cs="Courier New" w:eastAsia="Courier New" w:hAnsi="Courier New"/>
          <w:sz w:val="15"/>
          <w:szCs w:val="15"/>
          <w:color w:val="auto"/>
        </w:rPr>
        <w:t>The Pro Forma Condensed Balance Sheet and Statement of Operations for the nine months ended September 30, 1997 is based on unaudited historical financial statements of the Acquired Properties and the Trust after giving effect to the acquisition of the Acquired Properties and the adjustments as described in the accompanying notes to the pro forma financial statements.</w:t>
      </w:r>
    </w:p>
    <w:p>
      <w:pPr>
        <w:spacing w:after="0" w:line="178" w:lineRule="exact"/>
        <w:rPr>
          <w:sz w:val="20"/>
          <w:szCs w:val="20"/>
          <w:color w:val="auto"/>
        </w:rPr>
      </w:pPr>
    </w:p>
    <w:p>
      <w:pPr>
        <w:ind w:left="10" w:right="3179" w:firstLine="441"/>
        <w:spacing w:after="0" w:line="257" w:lineRule="auto"/>
        <w:rPr>
          <w:sz w:val="20"/>
          <w:szCs w:val="20"/>
          <w:color w:val="auto"/>
        </w:rPr>
      </w:pPr>
      <w:r>
        <w:rPr>
          <w:rFonts w:ascii="Courier New" w:cs="Courier New" w:eastAsia="Courier New" w:hAnsi="Courier New"/>
          <w:sz w:val="14"/>
          <w:szCs w:val="14"/>
          <w:color w:val="auto"/>
        </w:rPr>
        <w:t>The Proforma Condensed Statements of Operations have been prepared by the Trust based upon the financial statements of the Acquired Properties. These pro forma financial statements may not be indicative of the results that actually would have occurred if the acquisitions had been in effect on the dates indicated or which may be obtained in the future. The pro forma financial statements should be read in conjunction with the audited financial statements and notes of the Acquired Properties filed herein, the audited consolidated financial statements of the Trust in its Annual Report on Form 10-K for the year ended December 31, 1996 and the unaudited financial statements of the Trust on Form 10-Q for the nine months ended September 30, 1997</w:t>
      </w:r>
    </w:p>
    <w:p>
      <w:pPr>
        <w:spacing w:after="0" w:line="166" w:lineRule="exact"/>
        <w:rPr>
          <w:sz w:val="20"/>
          <w:szCs w:val="20"/>
          <w:color w:val="auto"/>
        </w:rPr>
      </w:pPr>
    </w:p>
    <w:p>
      <w:pPr>
        <w:ind w:left="450" w:right="3359" w:hanging="450"/>
        <w:spacing w:after="0" w:line="235" w:lineRule="auto"/>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in accordance with the provisions of Item 601 of Regulation S-K: Item 23. Independent Auditors' Consents</w:t>
      </w:r>
    </w:p>
    <w:p>
      <w:pPr>
        <w:spacing w:after="0" w:line="170"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439" w:firstLine="441"/>
        <w:spacing w:after="0" w:line="237"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hereto duly authorized.</w:t>
      </w:r>
    </w:p>
    <w:p>
      <w:pPr>
        <w:spacing w:after="0" w:line="169" w:lineRule="exact"/>
        <w:rPr>
          <w:sz w:val="20"/>
          <w:szCs w:val="20"/>
          <w:color w:val="auto"/>
        </w:rPr>
      </w:pPr>
    </w:p>
    <w:p>
      <w:pPr>
        <w:ind w:left="2650"/>
        <w:spacing w:after="0"/>
        <w:rPr>
          <w:sz w:val="20"/>
          <w:szCs w:val="20"/>
          <w:color w:val="auto"/>
        </w:rPr>
      </w:pPr>
      <w:r>
        <w:rPr>
          <w:rFonts w:ascii="Courier New" w:cs="Courier New" w:eastAsia="Courier New" w:hAnsi="Courier New"/>
          <w:sz w:val="15"/>
          <w:szCs w:val="15"/>
          <w:color w:val="auto"/>
        </w:rPr>
        <w:t>Federal Realty Investment Trust</w:t>
      </w:r>
    </w:p>
    <w:p>
      <w:pPr>
        <w:ind w:left="2650"/>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29"/>
          </w:cols>
          <w:pgMar w:left="230" w:top="627" w:right="1440" w:bottom="1440" w:gutter="0" w:footer="0" w:header="0"/>
        </w:sectPr>
      </w:pP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Cecily A. Ward</w:t>
      </w:r>
    </w:p>
    <w:p>
      <w:pPr>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Cecily A. Ward</w:t>
      </w:r>
    </w:p>
    <w:p>
      <w:pPr>
        <w:spacing w:after="0" w:line="238" w:lineRule="auto"/>
        <w:rPr>
          <w:sz w:val="20"/>
          <w:szCs w:val="20"/>
          <w:color w:val="auto"/>
        </w:rPr>
      </w:pPr>
      <w:r>
        <w:rPr>
          <w:rFonts w:ascii="Courier New" w:cs="Courier New" w:eastAsia="Courier New" w:hAnsi="Courier New"/>
          <w:sz w:val="15"/>
          <w:szCs w:val="15"/>
          <w:color w:val="auto"/>
        </w:rPr>
        <w:t>Vice President - Controller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Accounting Officer)</w:t>
      </w:r>
    </w:p>
    <w:p>
      <w:pPr>
        <w:spacing w:after="0" w:line="180" w:lineRule="exact"/>
        <w:rPr>
          <w:sz w:val="20"/>
          <w:szCs w:val="20"/>
          <w:color w:val="auto"/>
        </w:rPr>
      </w:pPr>
    </w:p>
    <w:p>
      <w:pPr>
        <w:sectPr>
          <w:pgSz w:w="11900" w:h="16838" w:orient="portrait"/>
          <w:cols w:equalWidth="0" w:num="2">
            <w:col w:w="1930" w:space="720"/>
            <w:col w:w="7579"/>
          </w:cols>
          <w:pgMar w:left="230" w:top="627" w:right="1440" w:bottom="1440" w:gutter="0" w:footer="0" w:header="0"/>
          <w:type w:val="continuous"/>
        </w:sectPr>
      </w:pPr>
    </w:p>
    <w:p>
      <w:pPr>
        <w:ind w:left="291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9"/>
          </w:cols>
          <w:pgMar w:left="230" w:top="627" w:right="1440" w:bottom="1440"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NO.</w:t>
      </w: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(23) Independent Auditors' Consents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sectPr>
          <w:pgSz w:w="11900" w:h="16838" w:orient="portrait"/>
          <w:cols w:equalWidth="0" w:num="2">
            <w:col w:w="4650" w:space="720"/>
            <w:col w:w="4859"/>
          </w:cols>
          <w:pgMar w:left="230" w:top="627" w:right="1440" w:bottom="1440" w:gutter="0" w:footer="0" w:header="0"/>
          <w:type w:val="continuous"/>
        </w:sectPr>
      </w:pPr>
    </w:p>
    <w:p>
      <w:pPr>
        <w:ind w:left="34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7"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 RREEF West-VI One, Inc. -</w:t>
      </w:r>
    </w:p>
    <w:p>
      <w:pPr>
        <w:spacing w:after="0"/>
        <w:rPr>
          <w:sz w:val="20"/>
          <w:szCs w:val="20"/>
          <w:color w:val="auto"/>
        </w:rPr>
      </w:pPr>
      <w:r>
        <w:rPr>
          <w:rFonts w:ascii="Courier New" w:cs="Courier New" w:eastAsia="Courier New" w:hAnsi="Courier New"/>
          <w:sz w:val="15"/>
          <w:szCs w:val="15"/>
          <w:color w:val="auto"/>
        </w:rPr>
        <w:t>Uptown Shopping Center:</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have audited the statement of revenues and certain expenses of RREEF West-VI One, Inc. - Uptown Shopping Center for the year ended December 31, 1996. This financial statement is the responsibility of RREEF West-VI One, Inc. - Uptown Shopping Center's management. Our responsibility is to express an opinion on the financial statement based on our audit.</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 is free of material misstatement. An audit includes examining, on a test basis, evidence supporting the amount and disclosures in the financial statement. An audit also includes assessing the accounting principles used and the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accompanying statement of revenues and certain expenses was prepared for the purpose of complying with the rules and regulations of the Securities and Exchange Commission (for inclusion in the filing of Form 8-K of Federal Realty Investment Trust as a result of the acquisition of this property). Material amounts, described in Note 1 to the statement of revenues and certain expenses, that would not be comparable to those resulting from future operations of the acquired property are excluded and the statement is not intended to be a complete presentation of the acquired property's revenues and expenses.</w:t>
      </w:r>
    </w:p>
    <w:p>
      <w:pPr>
        <w:spacing w:after="0" w:line="167"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4"/>
          <w:szCs w:val="14"/>
          <w:color w:val="auto"/>
        </w:rPr>
        <w:t>In our opinion, the financial statement referred to above presents fairly, in all material respects, the revenues and certain expenses, described in Note 1, of RREEF West-VI One, Inc. - Uptown Shopping Center for the year ended December 31, 1996 in conformity with generally accepted accounting principles.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rPr>
          <w:sz w:val="20"/>
          <w:szCs w:val="20"/>
          <w:color w:val="auto"/>
        </w:rPr>
      </w:pPr>
      <w:r>
        <w:rPr>
          <w:rFonts w:ascii="Courier New" w:cs="Courier New" w:eastAsia="Courier New" w:hAnsi="Courier New"/>
          <w:sz w:val="15"/>
          <w:szCs w:val="15"/>
          <w:color w:val="auto"/>
        </w:rPr>
        <w:t>October 17, 1997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RREEF WEST-VI ONE, INC.-UPTOWN SHOPPING CENTER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REVENUES AND CERTAIN EXPENSES</w:t>
      </w:r>
    </w:p>
    <w:p>
      <w:pPr>
        <w:spacing w:after="0"/>
        <w:rPr>
          <w:sz w:val="20"/>
          <w:szCs w:val="20"/>
          <w:color w:val="auto"/>
        </w:rPr>
      </w:pPr>
      <w:r>
        <w:rPr>
          <w:rFonts w:ascii="Courier New" w:cs="Courier New" w:eastAsia="Courier New" w:hAnsi="Courier New"/>
          <w:sz w:val="15"/>
          <w:szCs w:val="15"/>
          <w:color w:val="auto"/>
        </w:rPr>
        <w:t>YEAR ENDED DECEMBER 31, 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80" w:type="dxa"/>
            <w:vAlign w:val="bottom"/>
          </w:tcPr>
          <w:p>
            <w:pPr>
              <w:spacing w:after="0"/>
              <w:rPr>
                <w:sz w:val="14"/>
                <w:szCs w:val="1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Rental income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$1,289,107</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Recoverable expenses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307,985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Other income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115,665</w:t>
            </w:r>
          </w:p>
        </w:tc>
      </w:tr>
      <w:tr>
        <w:trPr>
          <w:trHeight w:val="170"/>
        </w:trPr>
        <w:tc>
          <w:tcPr>
            <w:tcW w:w="3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ind w:left="880"/>
              <w:spacing w:after="0"/>
              <w:rPr>
                <w:sz w:val="20"/>
                <w:szCs w:val="20"/>
                <w:color w:val="auto"/>
              </w:rPr>
            </w:pPr>
            <w:r>
              <w:rPr>
                <w:rFonts w:ascii="Courier New" w:cs="Courier New" w:eastAsia="Courier New" w:hAnsi="Courier New"/>
                <w:sz w:val="15"/>
                <w:szCs w:val="15"/>
                <w:color w:val="auto"/>
              </w:rPr>
              <w:t>Total revenues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1,712,757</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CERTAIN EXPENSES:</w:t>
            </w:r>
          </w:p>
        </w:tc>
        <w:tc>
          <w:tcPr>
            <w:tcW w:w="1380" w:type="dxa"/>
            <w:vAlign w:val="bottom"/>
          </w:tcPr>
          <w:p>
            <w:pPr>
              <w:spacing w:after="0"/>
              <w:rPr>
                <w:sz w:val="24"/>
                <w:szCs w:val="24"/>
                <w:color w:val="auto"/>
              </w:rPr>
            </w:pP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Property operating</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256,821</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Real estate taxes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149,755</w:t>
            </w:r>
          </w:p>
        </w:tc>
      </w:t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Management fees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74,135</w:t>
            </w:r>
          </w:p>
        </w:tc>
      </w:tr>
      <w:tr>
        <w:trPr>
          <w:trHeight w:val="170"/>
        </w:trPr>
        <w:tc>
          <w:tcPr>
            <w:tcW w:w="3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ind w:left="880"/>
              <w:spacing w:after="0"/>
              <w:rPr>
                <w:sz w:val="20"/>
                <w:szCs w:val="20"/>
                <w:color w:val="auto"/>
              </w:rPr>
            </w:pPr>
            <w:r>
              <w:rPr>
                <w:rFonts w:ascii="Courier New" w:cs="Courier New" w:eastAsia="Courier New" w:hAnsi="Courier New"/>
                <w:sz w:val="15"/>
                <w:szCs w:val="15"/>
                <w:color w:val="auto"/>
              </w:rPr>
              <w:t>Total certain expenses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480,711</w:t>
            </w:r>
          </w:p>
        </w:tc>
      </w:tr>
      <w:tr>
        <w:trPr>
          <w:trHeight w:val="170"/>
        </w:trPr>
        <w:tc>
          <w:tcPr>
            <w:tcW w:w="3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REVENUES IN EXCESS OF CERTAIN EXPENSES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$1,232,046</w:t>
            </w:r>
          </w:p>
        </w:tc>
      </w:tr>
      <w:tr>
        <w:trPr>
          <w:trHeight w:val="170"/>
        </w:trPr>
        <w:tc>
          <w:tcPr>
            <w:tcW w:w="38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statement of revenues and certain expenses.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791" w:right="1440" w:bottom="1440" w:gutter="0" w:footer="0" w:header="0"/>
        </w:sectPr>
      </w:pPr>
    </w:p>
    <w:bookmarkStart w:id="6" w:name="page7"/>
    <w:bookmarkEnd w:id="6"/>
    <w:p>
      <w:pPr>
        <w:ind w:left="10"/>
        <w:spacing w:after="0"/>
        <w:rPr>
          <w:sz w:val="20"/>
          <w:szCs w:val="20"/>
          <w:color w:val="auto"/>
        </w:rPr>
      </w:pPr>
      <w:r>
        <w:rPr>
          <w:rFonts w:ascii="Courier New" w:cs="Courier New" w:eastAsia="Courier New" w:hAnsi="Courier New"/>
          <w:sz w:val="15"/>
          <w:szCs w:val="15"/>
          <w:color w:val="auto"/>
        </w:rPr>
        <w:t>RREEF WEST-VI ONE, INC.-UPTOWN SHOPPING CENTER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STATEMENT OF REVENUES AND CERTAIN EXPENSES</w:t>
      </w:r>
    </w:p>
    <w:p>
      <w:pPr>
        <w:ind w:left="10"/>
        <w:spacing w:after="0"/>
        <w:rPr>
          <w:sz w:val="20"/>
          <w:szCs w:val="20"/>
          <w:color w:val="auto"/>
        </w:rPr>
      </w:pPr>
      <w:r>
        <w:rPr>
          <w:rFonts w:ascii="Courier New" w:cs="Courier New" w:eastAsia="Courier New" w:hAnsi="Courier New"/>
          <w:sz w:val="15"/>
          <w:szCs w:val="15"/>
          <w:color w:val="auto"/>
        </w:rPr>
        <w:t>YEAR ENDED DECEMBER 31, 1996</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50" w:hanging="350"/>
        <w:spacing w:after="0"/>
        <w:tabs>
          <w:tab w:leader="none" w:pos="3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w:t>
      </w:r>
    </w:p>
    <w:p>
      <w:pPr>
        <w:spacing w:after="0" w:line="175" w:lineRule="exact"/>
        <w:rPr>
          <w:sz w:val="20"/>
          <w:szCs w:val="20"/>
          <w:color w:val="auto"/>
        </w:rPr>
      </w:pPr>
    </w:p>
    <w:p>
      <w:pPr>
        <w:ind w:left="450" w:right="3179"/>
        <w:spacing w:after="0" w:line="238" w:lineRule="auto"/>
        <w:rPr>
          <w:sz w:val="20"/>
          <w:szCs w:val="20"/>
          <w:color w:val="auto"/>
        </w:rPr>
      </w:pPr>
      <w:r>
        <w:rPr>
          <w:rFonts w:ascii="Courier New" w:cs="Courier New" w:eastAsia="Courier New" w:hAnsi="Courier New"/>
          <w:sz w:val="15"/>
          <w:szCs w:val="15"/>
          <w:color w:val="auto"/>
        </w:rPr>
        <w:t>Uptown Shopping Center, a shopping center which includes residential units, located in Portland, Oregon was acquired by Federal Realty Investment Trust September 26, 1997. The statement of revenues and certain expenses includes information related to the operations of Uptown Shopping Center for the period from January 1, 1996 through December 31, 1996 as recorded by the property's building's previous owner, RREEF West-VI One, Inc., a Delaware corporation.</w:t>
      </w:r>
    </w:p>
    <w:p>
      <w:pPr>
        <w:spacing w:after="0" w:line="177" w:lineRule="exact"/>
        <w:rPr>
          <w:sz w:val="20"/>
          <w:szCs w:val="20"/>
          <w:color w:val="auto"/>
        </w:rPr>
      </w:pPr>
    </w:p>
    <w:p>
      <w:pPr>
        <w:ind w:left="450" w:right="3179"/>
        <w:spacing w:after="0" w:line="238" w:lineRule="auto"/>
        <w:rPr>
          <w:sz w:val="20"/>
          <w:szCs w:val="20"/>
          <w:color w:val="auto"/>
        </w:rPr>
      </w:pPr>
      <w:r>
        <w:rPr>
          <w:rFonts w:ascii="Courier New" w:cs="Courier New" w:eastAsia="Courier New" w:hAnsi="Courier New"/>
          <w:sz w:val="15"/>
          <w:szCs w:val="15"/>
          <w:color w:val="auto"/>
        </w:rPr>
        <w:t>The accompanying historical financial statement information is presented to comply with the rules and regulations of the Securities and Exchange Commission. Accordingly, the financial statement is not representative of the actual operations for the year ended December 31, 1996 as certain expenses, which may not be comparable to the expenses expected to be incurred in the future operations of the acquired property, have been excluded. Expenses excluded consist of interest, depreciation and amortization, and other costs not directly related to the future operations of the acquired property.</w:t>
      </w:r>
    </w:p>
    <w:p>
      <w:pPr>
        <w:spacing w:after="0" w:line="179"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MANAGEMENT'S USE OF ESTIMATES - The preparation of financial statements in conformity with generally accepted accounting principles requires management to make estimates and assumptions that affect the reported amounts of revenues and expenses during the reporting period. Actual results could differ from those estimates.</w:t>
      </w:r>
    </w:p>
    <w:p>
      <w:pPr>
        <w:spacing w:after="0" w:line="178" w:lineRule="exact"/>
        <w:rPr>
          <w:sz w:val="20"/>
          <w:szCs w:val="20"/>
          <w:color w:val="auto"/>
        </w:rPr>
      </w:pPr>
    </w:p>
    <w:p>
      <w:pPr>
        <w:ind w:left="450" w:right="3359"/>
        <w:spacing w:after="0" w:line="235" w:lineRule="auto"/>
        <w:rPr>
          <w:sz w:val="20"/>
          <w:szCs w:val="20"/>
          <w:color w:val="auto"/>
        </w:rPr>
      </w:pPr>
      <w:r>
        <w:rPr>
          <w:rFonts w:ascii="Courier New" w:cs="Courier New" w:eastAsia="Courier New" w:hAnsi="Courier New"/>
          <w:sz w:val="15"/>
          <w:szCs w:val="15"/>
          <w:color w:val="auto"/>
        </w:rPr>
        <w:t>RENTAL INCOME - Rental income is recognized on a straight-line basis over the terms of the related leases.</w:t>
      </w:r>
    </w:p>
    <w:p>
      <w:pPr>
        <w:spacing w:after="0" w:line="176" w:lineRule="exact"/>
        <w:rPr>
          <w:sz w:val="20"/>
          <w:szCs w:val="20"/>
          <w:color w:val="auto"/>
        </w:rPr>
      </w:pPr>
    </w:p>
    <w:p>
      <w:pPr>
        <w:ind w:left="450" w:right="3179"/>
        <w:spacing w:after="0" w:line="237" w:lineRule="auto"/>
        <w:rPr>
          <w:sz w:val="20"/>
          <w:szCs w:val="20"/>
          <w:color w:val="auto"/>
        </w:rPr>
      </w:pPr>
      <w:r>
        <w:rPr>
          <w:rFonts w:ascii="Courier New" w:cs="Courier New" w:eastAsia="Courier New" w:hAnsi="Courier New"/>
          <w:sz w:val="15"/>
          <w:szCs w:val="15"/>
          <w:color w:val="auto"/>
        </w:rPr>
        <w:t>PROPERTY OPERATING EXPENSES - Property operating expenses consist primarily of utilities, insurance, repairs and maintenance, security and safety, cleaning and other administrative expenses.</w:t>
      </w:r>
    </w:p>
    <w:p>
      <w:pPr>
        <w:spacing w:after="0" w:line="175"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MANAGEMENT AND LEASING FEES - The property was managed by RREEF Management Company for a property management fee paid monthly in arrears based on an annual rate of 4.5% of retail tenant cash receipts and 5.5% of residential tenant cash receipts.</w:t>
      </w:r>
    </w:p>
    <w:p>
      <w:pPr>
        <w:spacing w:after="0" w:line="171" w:lineRule="exact"/>
        <w:rPr>
          <w:sz w:val="20"/>
          <w:szCs w:val="20"/>
          <w:color w:val="auto"/>
        </w:rPr>
      </w:pPr>
    </w:p>
    <w:p>
      <w:pPr>
        <w:ind w:left="350" w:hanging="350"/>
        <w:spacing w:after="0"/>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w:t>
      </w:r>
    </w:p>
    <w:p>
      <w:pPr>
        <w:spacing w:after="0" w:line="175" w:lineRule="exact"/>
        <w:rPr>
          <w:sz w:val="20"/>
          <w:szCs w:val="20"/>
          <w:color w:val="auto"/>
        </w:rPr>
      </w:pPr>
    </w:p>
    <w:p>
      <w:pPr>
        <w:ind w:left="450" w:right="3439"/>
        <w:spacing w:after="0" w:line="237" w:lineRule="auto"/>
        <w:rPr>
          <w:sz w:val="20"/>
          <w:szCs w:val="20"/>
          <w:color w:val="auto"/>
        </w:rPr>
      </w:pPr>
      <w:r>
        <w:rPr>
          <w:rFonts w:ascii="Courier New" w:cs="Courier New" w:eastAsia="Courier New" w:hAnsi="Courier New"/>
          <w:sz w:val="15"/>
          <w:szCs w:val="15"/>
          <w:color w:val="auto"/>
        </w:rPr>
        <w:t>Operating revenue is obtained principally from residential and retail tenant rentals under noncancelable operating leases. Residential tenant leases are renewed annually. Future minimum rentals under noncancelable operating leases of retail tenants as of December 31, 1996 are approximately as follows:</w:t>
      </w:r>
    </w:p>
    <w:p>
      <w:pPr>
        <w:spacing w:after="0" w:line="200" w:lineRule="exact"/>
        <w:rPr>
          <w:sz w:val="20"/>
          <w:szCs w:val="20"/>
          <w:color w:val="auto"/>
        </w:rPr>
      </w:pPr>
    </w:p>
    <w:p>
      <w:pPr>
        <w:spacing w:after="0" w:line="312"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992,006</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962,882</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859,928</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792,121</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663,512</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3,124,794</w:t>
            </w:r>
          </w:p>
        </w:tc>
      </w:tr>
      <w:tr>
        <w:trPr>
          <w:trHeight w:val="170"/>
        </w:trPr>
        <w:tc>
          <w:tcPr>
            <w:tcW w:w="1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$7,395,243</w:t>
            </w:r>
          </w:p>
        </w:tc>
      </w:tr>
      <w:tr>
        <w:trPr>
          <w:trHeight w:val="170"/>
        </w:trPr>
        <w:tc>
          <w:tcPr>
            <w:tcW w:w="1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2" w:right="1440" w:bottom="1440" w:gutter="0" w:footer="0" w:header="0"/>
        </w:sectPr>
      </w:pPr>
    </w:p>
    <w:bookmarkStart w:id="7" w:name="page8"/>
    <w:bookmarkEnd w:id="7"/>
    <w:p>
      <w:pPr>
        <w:ind w:left="2280"/>
        <w:spacing w:after="0"/>
        <w:rPr>
          <w:sz w:val="20"/>
          <w:szCs w:val="20"/>
          <w:color w:val="auto"/>
        </w:rPr>
      </w:pPr>
      <w:r>
        <w:rPr>
          <w:rFonts w:ascii="Courier New" w:cs="Courier New" w:eastAsia="Courier New" w:hAnsi="Courier New"/>
          <w:sz w:val="15"/>
          <w:szCs w:val="15"/>
          <w:color w:val="auto"/>
        </w:rPr>
        <w:t>INDEPENDENT AUDITORS' REPORT</w:t>
      </w:r>
    </w:p>
    <w:p>
      <w:pPr>
        <w:ind w:left="22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Trustees</w:t>
      </w: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We have audited the accompanying statement of revenues and certain expenses of 150 Post Street for the year ended December 31, 1996. This financial statement is the responsibility of 150 Post Street, Inc.'s management. Our responsibility is to express an opinion on this financial statement based on our audit.</w:t>
      </w:r>
    </w:p>
    <w:p>
      <w:pPr>
        <w:spacing w:after="0" w:line="16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statement of revenues and certain expenses is free of material misstatement. An audit includes examining, on a test basis, evidence supporting the amounts and disclosures in the statement of revenues and certain expenses. An audit also includes assessing the accounting principles used and significant estimates made by management, as well as evaluating the overall presentation of the statement of revenues and certain expenses. We believe that our audit provides a reasonable basis for our opinion.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statement of revenues and certain expenses was prepared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complying with the rules and regulations of the Securities and</w:t>
      </w:r>
    </w:p>
    <w:p>
      <w:pPr>
        <w:spacing w:after="0"/>
        <w:rPr>
          <w:sz w:val="20"/>
          <w:szCs w:val="20"/>
          <w:color w:val="auto"/>
        </w:rPr>
      </w:pPr>
      <w:r>
        <w:rPr>
          <w:rFonts w:ascii="Courier New" w:cs="Courier New" w:eastAsia="Courier New" w:hAnsi="Courier New"/>
          <w:sz w:val="15"/>
          <w:szCs w:val="15"/>
          <w:color w:val="auto"/>
        </w:rPr>
        <w:t>Exchange Commission and for inclusion in a Form 8-K of Federal Realty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Trust, as described in note 1. The presentation is not intended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complete presentation of 150 Post Street's revenues and expenses.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our opinion, the statement of revenues and certain expenses referred to above presents fairly, in all material respects, the revenues and certain expenses, described in note 1, of 150 Post Street for the year ended December 31, 1996 in conformity with generally accepted accounting principles.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 Peat Marwick LLP</w:t>
      </w:r>
    </w:p>
    <w:p>
      <w:pPr>
        <w:spacing w:after="0"/>
        <w:rPr>
          <w:sz w:val="20"/>
          <w:szCs w:val="20"/>
          <w:color w:val="auto"/>
        </w:rPr>
      </w:pPr>
      <w:r>
        <w:rPr>
          <w:rFonts w:ascii="Courier New" w:cs="Courier New" w:eastAsia="Courier New" w:hAnsi="Courier New"/>
          <w:sz w:val="15"/>
          <w:szCs w:val="15"/>
          <w:color w:val="auto"/>
        </w:rPr>
        <w:t>March 14, 1997</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2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536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150 POST STREET</w:t>
            </w:r>
          </w:p>
        </w:tc>
      </w:tr>
      <w:tr>
        <w:trPr>
          <w:trHeight w:val="339"/>
        </w:trPr>
        <w:tc>
          <w:tcPr>
            <w:tcW w:w="5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 of Revenues and Certain Expenses</w:t>
            </w:r>
          </w:p>
        </w:tc>
      </w:tr>
      <w:tr>
        <w:trPr>
          <w:trHeight w:val="339"/>
        </w:trPr>
        <w:tc>
          <w:tcPr>
            <w:tcW w:w="5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For the year ended December 31, 1996</w:t>
            </w:r>
          </w:p>
        </w:tc>
      </w:tr>
      <w:tr>
        <w:trPr>
          <w:trHeight w:val="848"/>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20" w:type="dxa"/>
            <w:vAlign w:val="bottom"/>
          </w:tcPr>
          <w:p>
            <w:pPr>
              <w:spacing w:after="0"/>
              <w:rPr>
                <w:sz w:val="24"/>
                <w:szCs w:val="24"/>
                <w:color w:val="auto"/>
              </w:rPr>
            </w:pPr>
          </w:p>
        </w:tc>
      </w:tr>
      <w:tr>
        <w:trPr>
          <w:trHeight w:val="339"/>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Rental income</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$2,087,006</w:t>
            </w: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Expense recoveries</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272,499</w:t>
            </w: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Other income</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18,546</w:t>
            </w:r>
          </w:p>
        </w:tc>
      </w:tr>
      <w:tr>
        <w:trPr>
          <w:trHeight w:val="170"/>
        </w:trPr>
        <w:tc>
          <w:tcPr>
            <w:tcW w:w="36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2,378,051</w:t>
            </w:r>
          </w:p>
        </w:tc>
      </w:tr>
      <w:tr>
        <w:trPr>
          <w:trHeight w:val="170"/>
        </w:trPr>
        <w:tc>
          <w:tcPr>
            <w:tcW w:w="36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Certain expenses:</w:t>
            </w:r>
          </w:p>
        </w:tc>
        <w:tc>
          <w:tcPr>
            <w:tcW w:w="1720" w:type="dxa"/>
            <w:vAlign w:val="bottom"/>
          </w:tcPr>
          <w:p>
            <w:pPr>
              <w:spacing w:after="0"/>
              <w:rPr>
                <w:sz w:val="24"/>
                <w:szCs w:val="24"/>
                <w:color w:val="auto"/>
              </w:rPr>
            </w:pP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Real estate taxes and insurance</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349,977</w:t>
            </w: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Repairs and maintenance</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157,345</w:t>
            </w: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Utilities</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154,007</w:t>
            </w: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111,076</w:t>
            </w: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Cleaning</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89,063</w:t>
            </w:r>
          </w:p>
        </w:tc>
      </w:tr>
      <w:tr>
        <w:trPr>
          <w:trHeight w:val="170"/>
        </w:trPr>
        <w:tc>
          <w:tcPr>
            <w:tcW w:w="3640" w:type="dxa"/>
            <w:vAlign w:val="bottom"/>
          </w:tcPr>
          <w:p>
            <w:pPr>
              <w:ind w:left="440"/>
              <w:spacing w:after="0"/>
              <w:rPr>
                <w:sz w:val="20"/>
                <w:szCs w:val="20"/>
                <w:color w:val="auto"/>
              </w:rPr>
            </w:pPr>
            <w:r>
              <w:rPr>
                <w:rFonts w:ascii="Courier New" w:cs="Courier New" w:eastAsia="Courier New" w:hAnsi="Courier New"/>
                <w:sz w:val="15"/>
                <w:szCs w:val="15"/>
                <w:color w:val="auto"/>
              </w:rPr>
              <w:t>Grounds and security</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27,306</w:t>
            </w:r>
          </w:p>
        </w:tc>
      </w:tr>
      <w:tr>
        <w:trPr>
          <w:trHeight w:val="170"/>
        </w:trPr>
        <w:tc>
          <w:tcPr>
            <w:tcW w:w="36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70"/>
        </w:trPr>
        <w:tc>
          <w:tcPr>
            <w:tcW w:w="36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888,774</w:t>
            </w:r>
          </w:p>
        </w:tc>
      </w:tr>
      <w:tr>
        <w:trPr>
          <w:trHeight w:val="170"/>
        </w:trPr>
        <w:tc>
          <w:tcPr>
            <w:tcW w:w="36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339"/>
        </w:trPr>
        <w:tc>
          <w:tcPr>
            <w:tcW w:w="3640" w:type="dxa"/>
            <w:vAlign w:val="bottom"/>
          </w:tcPr>
          <w:p>
            <w:pPr>
              <w:spacing w:after="0"/>
              <w:rPr>
                <w:sz w:val="20"/>
                <w:szCs w:val="20"/>
                <w:color w:val="auto"/>
              </w:rPr>
            </w:pPr>
            <w:r>
              <w:rPr>
                <w:rFonts w:ascii="Courier New" w:cs="Courier New" w:eastAsia="Courier New" w:hAnsi="Courier New"/>
                <w:sz w:val="15"/>
                <w:szCs w:val="15"/>
                <w:color w:val="auto"/>
              </w:rPr>
              <w:t>Revenues in excess of certain expenses</w:t>
            </w: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$1,489,277</w:t>
            </w:r>
          </w:p>
        </w:tc>
      </w:tr>
      <w:tr>
        <w:trPr>
          <w:trHeight w:val="170"/>
        </w:trPr>
        <w:tc>
          <w:tcPr>
            <w:tcW w:w="3640" w:type="dxa"/>
            <w:vAlign w:val="bottom"/>
          </w:tcPr>
          <w:p>
            <w:pPr>
              <w:spacing w:after="0"/>
              <w:rPr>
                <w:sz w:val="14"/>
                <w:szCs w:val="14"/>
                <w:color w:val="auto"/>
              </w:rPr>
            </w:pPr>
          </w:p>
        </w:tc>
        <w:tc>
          <w:tcPr>
            <w:tcW w:w="17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 to statement of revenues and certain expenses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1440" w:gutter="0" w:footer="0" w:header="0"/>
        </w:sectPr>
      </w:pPr>
    </w:p>
    <w:bookmarkStart w:id="9" w:name="page10"/>
    <w:bookmarkEnd w:id="9"/>
    <w:p>
      <w:pPr>
        <w:jc w:val="center"/>
        <w:ind w:right="3250"/>
        <w:spacing w:after="0"/>
        <w:rPr>
          <w:sz w:val="20"/>
          <w:szCs w:val="20"/>
          <w:color w:val="auto"/>
        </w:rPr>
      </w:pPr>
      <w:r>
        <w:rPr>
          <w:rFonts w:ascii="Courier New" w:cs="Courier New" w:eastAsia="Courier New" w:hAnsi="Courier New"/>
          <w:sz w:val="15"/>
          <w:szCs w:val="15"/>
          <w:color w:val="auto"/>
        </w:rPr>
        <w:t>150 POST STREET</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 to Statement of Revenues and Certain Expenses</w:t>
      </w:r>
    </w:p>
    <w:p>
      <w:pPr>
        <w:spacing w:after="0" w:line="169" w:lineRule="exact"/>
        <w:rPr>
          <w:sz w:val="20"/>
          <w:szCs w:val="20"/>
          <w:color w:val="auto"/>
        </w:rPr>
      </w:pPr>
    </w:p>
    <w:p>
      <w:pPr>
        <w:ind w:left="1930"/>
        <w:spacing w:after="0"/>
        <w:rPr>
          <w:sz w:val="20"/>
          <w:szCs w:val="20"/>
          <w:color w:val="auto"/>
        </w:rPr>
      </w:pPr>
      <w:r>
        <w:rPr>
          <w:rFonts w:ascii="Courier New" w:cs="Courier New" w:eastAsia="Courier New" w:hAnsi="Courier New"/>
          <w:sz w:val="15"/>
          <w:szCs w:val="15"/>
          <w:color w:val="auto"/>
        </w:rPr>
        <w:t>For the year ended December 31, 1996</w:t>
      </w:r>
    </w:p>
    <w:p>
      <w:pPr>
        <w:spacing w:after="0" w:line="169" w:lineRule="exact"/>
        <w:rPr>
          <w:sz w:val="20"/>
          <w:szCs w:val="20"/>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and Summary of Significant Accounting Policies</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8" w:lineRule="exact"/>
        <w:rPr>
          <w:rFonts w:ascii="Courier New" w:cs="Courier New" w:eastAsia="Courier New" w:hAnsi="Courier New"/>
          <w:sz w:val="15"/>
          <w:szCs w:val="15"/>
          <w:color w:val="auto"/>
        </w:rPr>
      </w:pPr>
    </w:p>
    <w:p>
      <w:pPr>
        <w:ind w:left="450" w:hanging="361"/>
        <w:spacing w:after="0"/>
        <w:tabs>
          <w:tab w:leader="none" w:pos="45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(unaudited)</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150 Post Street, is a combination retail and office building located in San Francisco, California. As of December 31, 1996, the property was approximately 88% occupied.</w:t>
      </w:r>
    </w:p>
    <w:p>
      <w:pPr>
        <w:spacing w:after="0" w:line="174" w:lineRule="exact"/>
        <w:rPr>
          <w:rFonts w:ascii="Courier New" w:cs="Courier New" w:eastAsia="Courier New" w:hAnsi="Courier New"/>
          <w:sz w:val="15"/>
          <w:szCs w:val="15"/>
          <w:color w:val="auto"/>
        </w:rPr>
      </w:pPr>
    </w:p>
    <w:p>
      <w:pPr>
        <w:ind w:left="450" w:right="33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Federal Realty Investment Trust purchased 150 Post Street from 150 Post Street, Inc., a wholly-owned subsidiary of RL(America), Inc., on October 23, 1997. The accompanying statement of revenues and certain expenses includes information related to the operations of 150 Post Street for the period from January 1, 1996 through December 31, 1996 as recorded by the property's previous owner.</w:t>
      </w:r>
    </w:p>
    <w:p>
      <w:pPr>
        <w:spacing w:after="0" w:line="169" w:lineRule="exact"/>
        <w:rPr>
          <w:rFonts w:ascii="Courier New" w:cs="Courier New" w:eastAsia="Courier New" w:hAnsi="Courier New"/>
          <w:sz w:val="15"/>
          <w:szCs w:val="15"/>
          <w:color w:val="auto"/>
        </w:rPr>
      </w:pPr>
    </w:p>
    <w:p>
      <w:pPr>
        <w:ind w:left="450" w:hanging="361"/>
        <w:spacing w:after="0"/>
        <w:tabs>
          <w:tab w:leader="none" w:pos="45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accompanying statement of revenues and certain expenses is presented on the accrual basis of accounting. The statement of revenues and certain expenses has been prepared for the purpose of complying with the rules and regulations of the Securities and Exchange Commission and for inclusion in a Form 8-K of Federal Realty Investment Trust and is not intended to be a complete presentation of 150 Post Street's revenues and expenses for the period presented. Certain expenses, which may not be comparable to the expenses expected to be incurred in the future operations of 150 Post Street, have been excluded. Expenses excluded consist of interest, depreciation and amortization, advisory and management fees and other costs not directly related to the future operations of the property.</w:t>
      </w:r>
    </w:p>
    <w:p>
      <w:pPr>
        <w:spacing w:after="0" w:line="160" w:lineRule="exact"/>
        <w:rPr>
          <w:rFonts w:ascii="Courier New" w:cs="Courier New" w:eastAsia="Courier New" w:hAnsi="Courier New"/>
          <w:sz w:val="15"/>
          <w:szCs w:val="15"/>
          <w:color w:val="auto"/>
        </w:rPr>
      </w:pPr>
    </w:p>
    <w:p>
      <w:pPr>
        <w:ind w:left="450" w:hanging="361"/>
        <w:spacing w:after="0"/>
        <w:tabs>
          <w:tab w:leader="none" w:pos="45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Use of Estimates</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450" w:right="34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effect the reported amounts of revenues and expenses during the reporting period. Actual results could differ from those estimates.</w:t>
      </w:r>
    </w:p>
    <w:p>
      <w:pPr>
        <w:spacing w:after="0" w:line="172" w:lineRule="exact"/>
        <w:rPr>
          <w:rFonts w:ascii="Courier New" w:cs="Courier New" w:eastAsia="Courier New" w:hAnsi="Courier New"/>
          <w:sz w:val="15"/>
          <w:szCs w:val="15"/>
          <w:color w:val="auto"/>
        </w:rPr>
      </w:pPr>
    </w:p>
    <w:p>
      <w:pPr>
        <w:ind w:left="450" w:hanging="361"/>
        <w:spacing w:after="0"/>
        <w:tabs>
          <w:tab w:leader="none" w:pos="45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Rental Income</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50" w:right="3259"/>
        <w:spacing w:after="0" w:line="235" w:lineRule="auto"/>
        <w:rPr>
          <w:sz w:val="20"/>
          <w:szCs w:val="20"/>
          <w:color w:val="auto"/>
        </w:rPr>
      </w:pPr>
      <w:r>
        <w:rPr>
          <w:rFonts w:ascii="Courier New" w:cs="Courier New" w:eastAsia="Courier New" w:hAnsi="Courier New"/>
          <w:sz w:val="15"/>
          <w:szCs w:val="15"/>
          <w:color w:val="auto"/>
        </w:rPr>
        <w:t>Rental income is recognized on a straight-line basis over the terms of the related leases.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622" w:right="1440" w:bottom="1440" w:gutter="0" w:footer="0" w:header="0"/>
        </w:sectPr>
      </w:pPr>
    </w:p>
    <w:bookmarkStart w:id="10" w:name="page11"/>
    <w:bookmarkEnd w:id="10"/>
    <w:p>
      <w:pPr>
        <w:jc w:val="center"/>
        <w:ind w:right="3358"/>
        <w:spacing w:after="0"/>
        <w:rPr>
          <w:sz w:val="20"/>
          <w:szCs w:val="20"/>
          <w:color w:val="auto"/>
        </w:rPr>
      </w:pPr>
      <w:r>
        <w:rPr>
          <w:rFonts w:ascii="Courier New" w:cs="Courier New" w:eastAsia="Courier New" w:hAnsi="Courier New"/>
          <w:sz w:val="15"/>
          <w:szCs w:val="15"/>
          <w:color w:val="auto"/>
        </w:rPr>
        <w:t>150 POST STREET</w:t>
      </w:r>
    </w:p>
    <w:p>
      <w:pPr>
        <w:spacing w:after="0" w:line="169" w:lineRule="exact"/>
        <w:rPr>
          <w:sz w:val="20"/>
          <w:szCs w:val="20"/>
          <w:color w:val="auto"/>
        </w:rPr>
      </w:pPr>
    </w:p>
    <w:p>
      <w:pPr>
        <w:jc w:val="center"/>
        <w:ind w:right="3358"/>
        <w:spacing w:after="0"/>
        <w:rPr>
          <w:sz w:val="20"/>
          <w:szCs w:val="20"/>
          <w:color w:val="auto"/>
        </w:rPr>
      </w:pPr>
      <w:r>
        <w:rPr>
          <w:rFonts w:ascii="Courier New" w:cs="Courier New" w:eastAsia="Courier New" w:hAnsi="Courier New"/>
          <w:sz w:val="15"/>
          <w:szCs w:val="15"/>
          <w:color w:val="auto"/>
        </w:rPr>
        <w:t>Note to Statement of Revenues and Certain Expenses, continued</w:t>
      </w:r>
    </w:p>
    <w:p>
      <w:pPr>
        <w:spacing w:after="0" w:line="169" w:lineRule="exact"/>
        <w:rPr>
          <w:sz w:val="20"/>
          <w:szCs w:val="20"/>
          <w:color w:val="auto"/>
        </w:rPr>
      </w:pPr>
    </w:p>
    <w:p>
      <w:pPr>
        <w:ind w:left="1841"/>
        <w:spacing w:after="0"/>
        <w:rPr>
          <w:sz w:val="20"/>
          <w:szCs w:val="20"/>
          <w:color w:val="auto"/>
        </w:rPr>
      </w:pPr>
      <w:r>
        <w:rPr>
          <w:rFonts w:ascii="Courier New" w:cs="Courier New" w:eastAsia="Courier New" w:hAnsi="Courier New"/>
          <w:sz w:val="15"/>
          <w:szCs w:val="15"/>
          <w:color w:val="auto"/>
        </w:rPr>
        <w:t>For the year ended December 31, 1996</w:t>
      </w:r>
    </w:p>
    <w:p>
      <w:pPr>
        <w:spacing w:after="0" w:line="169" w:lineRule="exact"/>
        <w:rPr>
          <w:sz w:val="20"/>
          <w:szCs w:val="20"/>
          <w:color w:val="auto"/>
        </w:rPr>
      </w:pPr>
    </w:p>
    <w:p>
      <w:pPr>
        <w:ind w:left="361" w:hanging="361"/>
        <w:spacing w:after="0"/>
        <w:tabs>
          <w:tab w:leader="none" w:pos="361"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ind w:left="361"/>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361"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revenues consisted primarily of tenant rentals under noncancelable operating leases. Future minimum rental under these leases as of December 31, 1996 are approximately as follows: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801"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$2,007,793</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1,519,096</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215,671</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94,551</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46,669</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Total</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$3,883,780</w:t>
            </w:r>
          </w:p>
        </w:tc>
      </w:tr>
      <w:tr>
        <w:trPr>
          <w:trHeight w:val="170"/>
        </w:trPr>
        <w:tc>
          <w:tcPr>
            <w:tcW w:w="1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341"/>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41"/>
          </w:cols>
          <w:pgMar w:left="319" w:top="62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Owners of the</w:t>
      </w:r>
    </w:p>
    <w:p>
      <w:pPr>
        <w:ind w:left="80"/>
        <w:spacing w:after="0"/>
        <w:rPr>
          <w:sz w:val="20"/>
          <w:szCs w:val="20"/>
          <w:color w:val="auto"/>
        </w:rPr>
      </w:pPr>
      <w:r>
        <w:rPr>
          <w:rFonts w:ascii="Courier New" w:cs="Courier New" w:eastAsia="Courier New" w:hAnsi="Courier New"/>
          <w:sz w:val="15"/>
          <w:szCs w:val="15"/>
          <w:color w:val="auto"/>
        </w:rPr>
        <w:t>Fresh Meadows Property</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We have audited the accompanying statement of revenues and certain expenses of the Fresh Meadows Commercial Property (the "Property") as described in Note 1 for the year ended December 31, 1996. This financial statement is the responsibility of the Property's management. Our responsibility is to express an opinion on this financial statement based on our audit.</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 is free of material misstatement. An audit includes examining, on a test basis, evidence supporting the amounts and disclosures in the financial statement. An audit also includes assessing the accounting principles used and the significant estimates made by management, as well as evaluating the overall financial statement presentation. We believe that our audit provides a reasonable basis for our opinion.</w:t>
      </w:r>
    </w:p>
    <w:p>
      <w:pPr>
        <w:spacing w:after="0" w:line="167"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accompanying statement of revenues and certain expenses was prepared for the purpose of complying with the rules and regulations of the Securities and Exchange Commission and is not intended to be a complete presentation of the Property's revenues and expenses.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our opinion, the financial statement referred to above presents fairly, in all material respects, the revenues and certain expenses of the Property for the year ended December 31, 1996 in conformity with generally accepted accounting principles.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November 26, 1997</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Fresh Meadows Commercial Property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of Revenues and Certain Expenses</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For the Nine</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For the Year</w:t>
            </w:r>
          </w:p>
        </w:tc>
      </w:tr>
      <w:tr>
        <w:trPr>
          <w:trHeight w:val="170"/>
        </w:trPr>
        <w:tc>
          <w:tcPr>
            <w:tcW w:w="360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Months Ended</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3600" w:type="dxa"/>
            <w:vAlign w:val="bottom"/>
          </w:tcPr>
          <w:p>
            <w:pPr>
              <w:spacing w:after="0"/>
              <w:rPr>
                <w:sz w:val="14"/>
                <w:szCs w:val="14"/>
                <w:color w:val="auto"/>
              </w:rPr>
            </w:pPr>
          </w:p>
        </w:tc>
        <w:tc>
          <w:tcPr>
            <w:tcW w:w="1720" w:type="dxa"/>
            <w:vAlign w:val="bottom"/>
          </w:tcPr>
          <w:p>
            <w:pPr>
              <w:ind w:left="260"/>
              <w:spacing w:after="0"/>
              <w:rPr>
                <w:sz w:val="20"/>
                <w:szCs w:val="20"/>
                <w:color w:val="auto"/>
              </w:rPr>
            </w:pPr>
            <w:r>
              <w:rPr>
                <w:rFonts w:ascii="Courier New" w:cs="Courier New" w:eastAsia="Courier New" w:hAnsi="Courier New"/>
                <w:sz w:val="15"/>
                <w:szCs w:val="15"/>
                <w:color w:val="auto"/>
              </w:rPr>
              <w:t>September 30,</w:t>
            </w:r>
          </w:p>
        </w:tc>
        <w:tc>
          <w:tcPr>
            <w:tcW w:w="14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600" w:type="dxa"/>
            <w:vAlign w:val="bottom"/>
          </w:tcPr>
          <w:p>
            <w:pPr>
              <w:spacing w:after="0"/>
              <w:rPr>
                <w:sz w:val="14"/>
                <w:szCs w:val="14"/>
                <w:color w:val="auto"/>
              </w:rPr>
            </w:pPr>
          </w:p>
        </w:tc>
        <w:tc>
          <w:tcPr>
            <w:tcW w:w="17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600" w:type="dxa"/>
            <w:vAlign w:val="bottom"/>
          </w:tcPr>
          <w:p>
            <w:pPr>
              <w:spacing w:after="0"/>
              <w:rPr>
                <w:sz w:val="14"/>
                <w:szCs w:val="14"/>
                <w:color w:val="auto"/>
              </w:rPr>
            </w:pPr>
          </w:p>
        </w:tc>
        <w:tc>
          <w:tcPr>
            <w:tcW w:w="318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600" w:type="dxa"/>
            <w:vAlign w:val="bottom"/>
          </w:tcPr>
          <w:p>
            <w:pPr>
              <w:spacing w:after="0"/>
              <w:rPr>
                <w:sz w:val="14"/>
                <w:szCs w:val="14"/>
                <w:color w:val="auto"/>
              </w:rPr>
            </w:pP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(Unaudited)</w:t>
            </w:r>
          </w:p>
        </w:tc>
        <w:tc>
          <w:tcPr>
            <w:tcW w:w="1460" w:type="dxa"/>
            <w:vAlign w:val="bottom"/>
          </w:tcPr>
          <w:p>
            <w:pPr>
              <w:spacing w:after="0"/>
              <w:rPr>
                <w:sz w:val="14"/>
                <w:szCs w:val="14"/>
                <w:color w:val="auto"/>
              </w:rPr>
            </w:pP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Rental income</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$5,498</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$7,452</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Tenant recoveries and other income</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1,345</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1,693</w:t>
            </w:r>
          </w:p>
        </w:tc>
      </w:tr>
      <w:tr>
        <w:trPr>
          <w:trHeight w:val="170"/>
        </w:trPr>
        <w:tc>
          <w:tcPr>
            <w:tcW w:w="3600" w:type="dxa"/>
            <w:vAlign w:val="bottom"/>
          </w:tcPr>
          <w:p>
            <w:pPr>
              <w:spacing w:after="0"/>
              <w:rPr>
                <w:sz w:val="14"/>
                <w:szCs w:val="14"/>
                <w:color w:val="auto"/>
              </w:rPr>
            </w:pPr>
          </w:p>
        </w:tc>
        <w:tc>
          <w:tcPr>
            <w:tcW w:w="31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ind w:left="1140"/>
              <w:spacing w:after="0"/>
              <w:rPr>
                <w:sz w:val="20"/>
                <w:szCs w:val="20"/>
                <w:color w:val="auto"/>
              </w:rPr>
            </w:pPr>
            <w:r>
              <w:rPr>
                <w:rFonts w:ascii="Courier New" w:cs="Courier New" w:eastAsia="Courier New" w:hAnsi="Courier New"/>
                <w:sz w:val="15"/>
                <w:szCs w:val="15"/>
                <w:color w:val="auto"/>
              </w:rPr>
              <w:t>Total revenues</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6,843</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9,145</w:t>
            </w:r>
          </w:p>
        </w:tc>
      </w:tr>
      <w:tr>
        <w:trPr>
          <w:trHeight w:val="170"/>
        </w:trPr>
        <w:tc>
          <w:tcPr>
            <w:tcW w:w="3600" w:type="dxa"/>
            <w:vAlign w:val="bottom"/>
          </w:tcPr>
          <w:p>
            <w:pPr>
              <w:spacing w:after="0"/>
              <w:rPr>
                <w:sz w:val="14"/>
                <w:szCs w:val="14"/>
                <w:color w:val="auto"/>
              </w:rPr>
            </w:pPr>
          </w:p>
        </w:tc>
        <w:tc>
          <w:tcPr>
            <w:tcW w:w="31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7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Real estate taxes</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740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1,054</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Repairs and maintenance</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470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616</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Property management</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157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201</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Utilities</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189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374</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Insurance</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57</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146</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Janitorial</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369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392</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Marketing/Leasing</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133</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254</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Security</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110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178</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Payroll</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90</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360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159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431</w:t>
            </w:r>
          </w:p>
        </w:tc>
      </w:tr>
      <w:tr>
        <w:trPr>
          <w:trHeight w:val="170"/>
        </w:trPr>
        <w:tc>
          <w:tcPr>
            <w:tcW w:w="3600" w:type="dxa"/>
            <w:vAlign w:val="bottom"/>
          </w:tcPr>
          <w:p>
            <w:pPr>
              <w:spacing w:after="0"/>
              <w:rPr>
                <w:sz w:val="14"/>
                <w:szCs w:val="14"/>
                <w:color w:val="auto"/>
              </w:rPr>
            </w:pPr>
          </w:p>
        </w:tc>
        <w:tc>
          <w:tcPr>
            <w:tcW w:w="31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ind w:left="1140"/>
              <w:spacing w:after="0"/>
              <w:rPr>
                <w:sz w:val="20"/>
                <w:szCs w:val="20"/>
                <w:color w:val="auto"/>
              </w:rPr>
            </w:pPr>
            <w:r>
              <w:rPr>
                <w:rFonts w:ascii="Courier New" w:cs="Courier New" w:eastAsia="Courier New" w:hAnsi="Courier New"/>
                <w:sz w:val="15"/>
                <w:szCs w:val="15"/>
                <w:color w:val="auto"/>
              </w:rPr>
              <w:t>Total expenses</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2,474</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3,766</w:t>
            </w:r>
          </w:p>
        </w:tc>
      </w:tr>
      <w:tr>
        <w:trPr>
          <w:trHeight w:val="170"/>
        </w:trPr>
        <w:tc>
          <w:tcPr>
            <w:tcW w:w="3600" w:type="dxa"/>
            <w:vAlign w:val="bottom"/>
          </w:tcPr>
          <w:p>
            <w:pPr>
              <w:spacing w:after="0"/>
              <w:rPr>
                <w:sz w:val="14"/>
                <w:szCs w:val="14"/>
                <w:color w:val="auto"/>
              </w:rPr>
            </w:pPr>
          </w:p>
        </w:tc>
        <w:tc>
          <w:tcPr>
            <w:tcW w:w="31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339"/>
        </w:trPr>
        <w:tc>
          <w:tcPr>
            <w:tcW w:w="3600" w:type="dxa"/>
            <w:vAlign w:val="bottom"/>
          </w:tcPr>
          <w:p>
            <w:pPr>
              <w:spacing w:after="0"/>
              <w:rPr>
                <w:sz w:val="20"/>
                <w:szCs w:val="20"/>
                <w:color w:val="auto"/>
              </w:rPr>
            </w:pPr>
            <w:r>
              <w:rPr>
                <w:rFonts w:ascii="Courier New" w:cs="Courier New" w:eastAsia="Courier New" w:hAnsi="Courier New"/>
                <w:sz w:val="15"/>
                <w:szCs w:val="15"/>
                <w:color w:val="auto"/>
              </w:rPr>
              <w:t>Revenues in excess of certain expenses</w:t>
            </w:r>
          </w:p>
        </w:tc>
        <w:tc>
          <w:tcPr>
            <w:tcW w:w="17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$4,369</w:t>
            </w:r>
          </w:p>
        </w:tc>
        <w:tc>
          <w:tcPr>
            <w:tcW w:w="14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$5,379</w:t>
            </w:r>
          </w:p>
        </w:tc>
      </w:tr>
      <w:tr>
        <w:trPr>
          <w:trHeight w:val="170"/>
        </w:trPr>
        <w:tc>
          <w:tcPr>
            <w:tcW w:w="3600" w:type="dxa"/>
            <w:vAlign w:val="bottom"/>
          </w:tcPr>
          <w:p>
            <w:pPr>
              <w:spacing w:after="0"/>
              <w:rPr>
                <w:sz w:val="14"/>
                <w:szCs w:val="14"/>
                <w:color w:val="auto"/>
              </w:rPr>
            </w:pPr>
          </w:p>
        </w:tc>
        <w:tc>
          <w:tcPr>
            <w:tcW w:w="31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791" w:right="1440" w:bottom="1440" w:gutter="0" w:footer="0" w:header="0"/>
        </w:sectPr>
      </w:pPr>
    </w:p>
    <w:bookmarkStart w:id="13" w:name="page14"/>
    <w:bookmarkEnd w:id="13"/>
    <w:p>
      <w:pPr>
        <w:ind w:left="10"/>
        <w:spacing w:after="0"/>
        <w:rPr>
          <w:sz w:val="20"/>
          <w:szCs w:val="20"/>
          <w:color w:val="auto"/>
        </w:rPr>
      </w:pPr>
      <w:r>
        <w:rPr>
          <w:rFonts w:ascii="Courier New" w:cs="Courier New" w:eastAsia="Courier New" w:hAnsi="Courier New"/>
          <w:sz w:val="15"/>
          <w:szCs w:val="15"/>
          <w:color w:val="auto"/>
        </w:rPr>
        <w:t>FRESH MEADOWS COMMERCIAL PROPERTY</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NOTES TO STATEMENTS OF REVENUES AND CERTAIN EXPENSES</w:t>
      </w:r>
    </w:p>
    <w:p>
      <w:pPr>
        <w:spacing w:after="0" w:line="169" w:lineRule="exact"/>
        <w:rPr>
          <w:sz w:val="20"/>
          <w:szCs w:val="20"/>
          <w:color w:val="auto"/>
        </w:rPr>
      </w:pPr>
    </w:p>
    <w:p>
      <w:pPr>
        <w:ind w:left="350" w:hanging="350"/>
        <w:spacing w:after="0"/>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450" w:right="3359"/>
        <w:spacing w:after="0" w:line="238" w:lineRule="auto"/>
        <w:rPr>
          <w:sz w:val="20"/>
          <w:szCs w:val="20"/>
          <w:color w:val="auto"/>
        </w:rPr>
      </w:pPr>
      <w:r>
        <w:rPr>
          <w:rFonts w:ascii="Courier New" w:cs="Courier New" w:eastAsia="Courier New" w:hAnsi="Courier New"/>
          <w:sz w:val="15"/>
          <w:szCs w:val="15"/>
          <w:color w:val="auto"/>
        </w:rPr>
        <w:t>The Fresh Meadows Commercial Property (the "Property") is located in the borough of Queens, New York. During the period under audit, the Property was owned by the John D. and Catherine T. MacArthur Foundation (the "Foundation")and MacArthur Holding B, Inc., a controlled affiliated corporation of the Foundation. Thus, the Foundation, directly and indirectly, controls the Property.</w:t>
      </w:r>
    </w:p>
    <w:p>
      <w:pPr>
        <w:spacing w:after="0" w:line="176"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The Statements of Revenues and Certain Expenses (the"Statements") combined the results of operations of three commercial shopping centers as of December 31, 1996 and September 30, 1997.</w:t>
      </w:r>
    </w:p>
    <w:p>
      <w:pPr>
        <w:spacing w:after="0" w:line="175" w:lineRule="exact"/>
        <w:rPr>
          <w:sz w:val="20"/>
          <w:szCs w:val="20"/>
          <w:color w:val="auto"/>
        </w:rPr>
      </w:pPr>
    </w:p>
    <w:p>
      <w:pPr>
        <w:ind w:left="450" w:right="3179"/>
        <w:spacing w:after="0" w:line="237" w:lineRule="auto"/>
        <w:rPr>
          <w:sz w:val="20"/>
          <w:szCs w:val="20"/>
          <w:color w:val="auto"/>
        </w:rPr>
      </w:pPr>
      <w:r>
        <w:rPr>
          <w:rFonts w:ascii="Courier New" w:cs="Courier New" w:eastAsia="Courier New" w:hAnsi="Courier New"/>
          <w:sz w:val="15"/>
          <w:szCs w:val="15"/>
          <w:color w:val="auto"/>
        </w:rPr>
        <w:t>The unaudited Statement of Revenues and Certain Expenses for the nine months ended September 30, 1997 reflects, in the opinion of management, all adjustments necessary for a fair presentation of the interim statement. All such adjustments are of a normal and recurring nature.</w:t>
      </w:r>
    </w:p>
    <w:p>
      <w:pPr>
        <w:spacing w:after="0" w:line="171" w:lineRule="exact"/>
        <w:rPr>
          <w:sz w:val="20"/>
          <w:szCs w:val="20"/>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5" w:lineRule="exact"/>
        <w:rPr>
          <w:sz w:val="20"/>
          <w:szCs w:val="20"/>
          <w:color w:val="auto"/>
        </w:rPr>
      </w:pPr>
    </w:p>
    <w:p>
      <w:pPr>
        <w:ind w:left="450" w:right="3259"/>
        <w:spacing w:after="0" w:line="257" w:lineRule="auto"/>
        <w:rPr>
          <w:sz w:val="20"/>
          <w:szCs w:val="20"/>
          <w:color w:val="auto"/>
        </w:rPr>
      </w:pPr>
      <w:r>
        <w:rPr>
          <w:rFonts w:ascii="Courier New" w:cs="Courier New" w:eastAsia="Courier New" w:hAnsi="Courier New"/>
          <w:sz w:val="14"/>
          <w:szCs w:val="14"/>
          <w:color w:val="auto"/>
        </w:rPr>
        <w:t>The Statements exclude certain expenses such as interest, depreciation and amortization, professional fees, and other costs not directly related to the future operations of the Property that may not be comparable to the expenses expected to be incurred in their proposed future operations. Management is not aware of any material factors relating to these properties which would cause the reported financial information not to be necessarily indicative of future operating results.</w:t>
      </w:r>
    </w:p>
    <w:p>
      <w:pPr>
        <w:spacing w:after="0" w:line="167" w:lineRule="exact"/>
        <w:rPr>
          <w:sz w:val="20"/>
          <w:szCs w:val="20"/>
          <w:color w:val="auto"/>
        </w:rPr>
      </w:pPr>
    </w:p>
    <w:p>
      <w:pPr>
        <w:ind w:left="450" w:right="3179"/>
        <w:spacing w:after="0" w:line="237" w:lineRule="auto"/>
        <w:rPr>
          <w:sz w:val="20"/>
          <w:szCs w:val="20"/>
          <w:color w:val="auto"/>
        </w:rPr>
      </w:pPr>
      <w:r>
        <w:rPr>
          <w:rFonts w:ascii="Courier New" w:cs="Courier New" w:eastAsia="Courier New" w:hAnsi="Courier New"/>
          <w:sz w:val="15"/>
          <w:szCs w:val="15"/>
          <w:color w:val="auto"/>
        </w:rPr>
        <w:t>In order to conform with generally accepted accounting principles, management, in preparation of the Statements, is required to make estimates and assumptions that affect the reported amounts of revenues and certain expenses during the reporting period. Actual results could differ from these estimates.</w:t>
      </w:r>
    </w:p>
    <w:p>
      <w:pPr>
        <w:spacing w:after="0" w:line="173"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REVENUE AND EXPENSE RECOGNITION</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The Statements have been prepared on the accrual basis of accounting.</w:t>
      </w:r>
    </w:p>
    <w:p>
      <w:pPr>
        <w:spacing w:after="0" w:line="175"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Rental income is recorded when due from tenants. The effects of scheduled rent increases and rental concessions, if any, are recognized on a straight-line basis over the term of the tenant's lease.</w:t>
      </w:r>
    </w:p>
    <w:p>
      <w:pPr>
        <w:spacing w:after="0" w:line="169" w:lineRule="exact"/>
        <w:rPr>
          <w:sz w:val="20"/>
          <w:szCs w:val="20"/>
          <w:color w:val="auto"/>
        </w:rPr>
      </w:pPr>
    </w:p>
    <w:p>
      <w:pPr>
        <w:ind w:left="350" w:hanging="350"/>
        <w:spacing w:after="0"/>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RENTAL REVENUES</w:t>
      </w:r>
    </w:p>
    <w:p>
      <w:pPr>
        <w:spacing w:after="0" w:line="175" w:lineRule="exact"/>
        <w:rPr>
          <w:sz w:val="20"/>
          <w:szCs w:val="20"/>
          <w:color w:val="auto"/>
        </w:rPr>
      </w:pPr>
    </w:p>
    <w:p>
      <w:pPr>
        <w:ind w:left="450" w:right="3359"/>
        <w:spacing w:after="0" w:line="265" w:lineRule="auto"/>
        <w:rPr>
          <w:sz w:val="20"/>
          <w:szCs w:val="20"/>
          <w:color w:val="auto"/>
        </w:rPr>
      </w:pPr>
      <w:r>
        <w:rPr>
          <w:rFonts w:ascii="Courier New" w:cs="Courier New" w:eastAsia="Courier New" w:hAnsi="Courier New"/>
          <w:sz w:val="14"/>
          <w:szCs w:val="14"/>
          <w:color w:val="auto"/>
        </w:rPr>
        <w:t>Future minimum base rentals due from commercial tenants on non-cancelable operating leases as of December 31, 1996 are approximately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$ 6,392</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6,386</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5,915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5,560</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5,130</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52,647</w:t>
            </w:r>
          </w:p>
        </w:tc>
      </w:tr>
      <w:tr>
        <w:trPr>
          <w:trHeight w:val="170"/>
        </w:trPr>
        <w:tc>
          <w:tcPr>
            <w:tcW w:w="1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$82,030</w:t>
            </w:r>
          </w:p>
        </w:tc>
      </w:tr>
      <w:tr>
        <w:trPr>
          <w:trHeight w:val="170"/>
        </w:trPr>
        <w:tc>
          <w:tcPr>
            <w:tcW w:w="1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3359"/>
        <w:spacing w:after="0" w:line="235" w:lineRule="auto"/>
        <w:rPr>
          <w:sz w:val="20"/>
          <w:szCs w:val="20"/>
          <w:color w:val="auto"/>
        </w:rPr>
      </w:pPr>
      <w:r>
        <w:rPr>
          <w:rFonts w:ascii="Courier New" w:cs="Courier New" w:eastAsia="Courier New" w:hAnsi="Courier New"/>
          <w:sz w:val="15"/>
          <w:szCs w:val="15"/>
          <w:color w:val="auto"/>
        </w:rPr>
        <w:t>For the year ended December 31, 1996, one tenants' rent was approximately 11.3% of total revenues.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9"/>
          </w:cols>
          <w:pgMar w:left="230" w:top="622" w:right="1440" w:bottom="1440" w:gutter="0" w:footer="0" w:header="0"/>
        </w:sectPr>
      </w:pPr>
    </w:p>
    <w:bookmarkStart w:id="14" w:name="page15"/>
    <w:bookmarkEnd w:id="14"/>
    <w:p>
      <w:pPr>
        <w:ind w:left="2280"/>
        <w:spacing w:after="0"/>
        <w:rPr>
          <w:sz w:val="20"/>
          <w:szCs w:val="20"/>
          <w:color w:val="auto"/>
        </w:rPr>
      </w:pPr>
      <w:r>
        <w:rPr>
          <w:rFonts w:ascii="Courier New" w:cs="Courier New" w:eastAsia="Courier New" w:hAnsi="Courier New"/>
          <w:sz w:val="15"/>
          <w:szCs w:val="15"/>
          <w:color w:val="auto"/>
        </w:rPr>
        <w:t>Independent Auditor's Report</w:t>
      </w:r>
    </w:p>
    <w:p>
      <w:pPr>
        <w:ind w:left="22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 Richard Kimmel</w:t>
      </w:r>
    </w:p>
    <w:p>
      <w:pPr>
        <w:spacing w:after="0"/>
        <w:rPr>
          <w:sz w:val="20"/>
          <w:szCs w:val="20"/>
          <w:color w:val="auto"/>
        </w:rPr>
      </w:pPr>
      <w:r>
        <w:rPr>
          <w:rFonts w:ascii="Courier New" w:cs="Courier New" w:eastAsia="Courier New" w:hAnsi="Courier New"/>
          <w:sz w:val="15"/>
          <w:szCs w:val="15"/>
          <w:color w:val="auto"/>
        </w:rPr>
        <w:t>15821 Crabbs Branch Way</w:t>
      </w:r>
    </w:p>
    <w:p>
      <w:pPr>
        <w:spacing w:after="0"/>
        <w:rPr>
          <w:sz w:val="20"/>
          <w:szCs w:val="20"/>
          <w:color w:val="auto"/>
        </w:rPr>
      </w:pPr>
      <w:r>
        <w:rPr>
          <w:rFonts w:ascii="Courier New" w:cs="Courier New" w:eastAsia="Courier New" w:hAnsi="Courier New"/>
          <w:sz w:val="15"/>
          <w:szCs w:val="15"/>
          <w:color w:val="auto"/>
        </w:rPr>
        <w:t>Rockville, MD 20855-2635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Kimmel:</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have audited the accompanying Statement of Revenues and Certain Expenses of the Magruder Center (the "Property") as described in Note 1 for the year ended December 31, 1996. This financial statement is the responsibility of you and your management company. Our responsibility is to express an opinion on this financial statement based on our audit.</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Statement of Revenues and Certain Expenses is free of material misstatement. An audit includes examining, on a test basis, evidence supporting the amounts and disclosures in the Statement of Revenues and Certain Expenses. An audit also includes assessing the accounting principles used and significant estimates made by you and your management company, as well as evaluating the overall Statement of Revenues and Certain Expenses presentation. We believe that our audit of the Statement of Revenues and Certain Expenses provides a reasonable basis for our opinion.</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accompanying Statement of Revenues and Certain Expenses was prepared for the purpose of complying with the rules and regulations of the Securities and Exchange Commission and is not intended to be a complete presentation of the Property's revenues and expenses.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our opinion, the financial statement referred to above presents fairly, in all material respects, the revenues and certain expenses of the Property for the year ended December 31, 1996, in conformity with generally accepted accounting principles.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Fangmeyer and Fangmeyer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Silver Spring, Maryland</w:t>
      </w:r>
    </w:p>
    <w:p>
      <w:pPr>
        <w:spacing w:after="0"/>
        <w:rPr>
          <w:sz w:val="20"/>
          <w:szCs w:val="20"/>
          <w:color w:val="auto"/>
        </w:rPr>
      </w:pPr>
      <w:r>
        <w:rPr>
          <w:rFonts w:ascii="Courier New" w:cs="Courier New" w:eastAsia="Courier New" w:hAnsi="Courier New"/>
          <w:sz w:val="15"/>
          <w:szCs w:val="15"/>
          <w:color w:val="auto"/>
        </w:rPr>
        <w:t>January 9,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15" w:name="page16"/>
    <w:bookmarkEnd w:id="15"/>
    <w:p>
      <w:pPr>
        <w:ind w:left="2640"/>
        <w:spacing w:after="0"/>
        <w:rPr>
          <w:sz w:val="20"/>
          <w:szCs w:val="20"/>
          <w:color w:val="auto"/>
        </w:rPr>
      </w:pPr>
      <w:r>
        <w:rPr>
          <w:rFonts w:ascii="Courier New" w:cs="Courier New" w:eastAsia="Courier New" w:hAnsi="Courier New"/>
          <w:sz w:val="15"/>
          <w:szCs w:val="15"/>
          <w:color w:val="auto"/>
        </w:rPr>
        <w:t>THE MAGRUDER CENTER</w:t>
      </w:r>
    </w:p>
    <w:p>
      <w:pPr>
        <w:ind w:left="2640"/>
        <w:spacing w:after="0"/>
        <w:rPr>
          <w:sz w:val="20"/>
          <w:szCs w:val="20"/>
          <w:color w:val="auto"/>
        </w:rPr>
      </w:pPr>
      <w:r>
        <w:rPr>
          <w:rFonts w:ascii="Courier New" w:cs="Courier New" w:eastAsia="Courier New" w:hAnsi="Courier New"/>
          <w:sz w:val="15"/>
          <w:szCs w:val="15"/>
          <w:color w:val="auto"/>
        </w:rPr>
        <w:t>-------------------</w:t>
      </w:r>
    </w:p>
    <w:p>
      <w:pPr>
        <w:ind w:left="1660"/>
        <w:spacing w:after="0"/>
        <w:rPr>
          <w:sz w:val="20"/>
          <w:szCs w:val="20"/>
          <w:color w:val="auto"/>
        </w:rPr>
      </w:pPr>
      <w:r>
        <w:rPr>
          <w:rFonts w:ascii="Courier New" w:cs="Courier New" w:eastAsia="Courier New" w:hAnsi="Courier New"/>
          <w:sz w:val="15"/>
          <w:szCs w:val="15"/>
          <w:color w:val="auto"/>
        </w:rPr>
        <w:t>STATEMENT OF REVENUES AND CERTAIN EXPENSES</w:t>
      </w:r>
    </w:p>
    <w:p>
      <w:pPr>
        <w:ind w:left="1660"/>
        <w:spacing w:after="0" w:line="238" w:lineRule="auto"/>
        <w:rPr>
          <w:sz w:val="20"/>
          <w:szCs w:val="20"/>
          <w:color w:val="auto"/>
        </w:rPr>
      </w:pPr>
      <w:r>
        <w:rPr>
          <w:rFonts w:ascii="Courier New" w:cs="Courier New" w:eastAsia="Courier New" w:hAnsi="Courier New"/>
          <w:sz w:val="15"/>
          <w:szCs w:val="15"/>
          <w:color w:val="auto"/>
        </w:rPr>
        <w:t>------------------------------------------</w:t>
      </w:r>
    </w:p>
    <w:p>
      <w:pPr>
        <w:ind w:left="1920"/>
        <w:spacing w:after="0"/>
        <w:rPr>
          <w:sz w:val="20"/>
          <w:szCs w:val="20"/>
          <w:color w:val="auto"/>
        </w:rPr>
      </w:pPr>
      <w:r>
        <w:rPr>
          <w:rFonts w:ascii="Courier New" w:cs="Courier New" w:eastAsia="Courier New" w:hAnsi="Courier New"/>
          <w:sz w:val="15"/>
          <w:szCs w:val="15"/>
          <w:color w:val="auto"/>
        </w:rPr>
        <w:t>FOR THE YEAR ENDED DECEMBER 31, 1996</w:t>
      </w:r>
    </w:p>
    <w:p>
      <w:pPr>
        <w:ind w:left="19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380" w:type="dxa"/>
            <w:vAlign w:val="bottom"/>
          </w:tcPr>
          <w:p>
            <w:pPr>
              <w:spacing w:after="0"/>
              <w:rPr>
                <w:sz w:val="14"/>
                <w:szCs w:val="14"/>
                <w:color w:val="auto"/>
              </w:rPr>
            </w:pP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Rental Income - Base</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  760,995</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Rental Income - Overage</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131,382</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Tenant Recoveries</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120,784</w:t>
            </w:r>
          </w:p>
        </w:tc>
      </w:tr>
      <w:tr>
        <w:trPr>
          <w:trHeight w:val="170"/>
        </w:trPr>
        <w:tc>
          <w:tcPr>
            <w:tcW w:w="3700" w:type="dxa"/>
            <w:vAlign w:val="bottom"/>
          </w:tcPr>
          <w:p>
            <w:pPr>
              <w:spacing w:after="0"/>
              <w:rPr>
                <w:sz w:val="14"/>
                <w:szCs w:val="14"/>
                <w:color w:val="auto"/>
              </w:rPr>
            </w:pP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$1,013,161</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Certain Expenses:</w:t>
            </w:r>
          </w:p>
        </w:tc>
        <w:tc>
          <w:tcPr>
            <w:tcW w:w="2380" w:type="dxa"/>
            <w:vAlign w:val="bottom"/>
          </w:tcPr>
          <w:p>
            <w:pPr>
              <w:spacing w:after="0"/>
              <w:rPr>
                <w:sz w:val="24"/>
                <w:szCs w:val="24"/>
                <w:color w:val="auto"/>
              </w:rPr>
            </w:pPr>
          </w:p>
        </w:tc>
      </w:tr>
      <w:tr>
        <w:trPr>
          <w:trHeight w:val="339"/>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Real Estate Taxes</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160,789</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Repairs and Maintenance - Labor</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23,121</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Repairs and Maintenance - Other</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17,579</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16,980</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Utilities</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12,140</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Common Area Expenses</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2,624</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rPr>
              <w:t>Security</w:t>
            </w: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9,779</w:t>
            </w:r>
          </w:p>
        </w:tc>
      </w:tr>
      <w:tr>
        <w:trPr>
          <w:trHeight w:val="170"/>
        </w:trPr>
        <w:tc>
          <w:tcPr>
            <w:tcW w:w="3700" w:type="dxa"/>
            <w:vAlign w:val="bottom"/>
          </w:tcPr>
          <w:p>
            <w:pPr>
              <w:spacing w:after="0"/>
              <w:rPr>
                <w:sz w:val="14"/>
                <w:szCs w:val="14"/>
                <w:color w:val="auto"/>
              </w:rPr>
            </w:pPr>
          </w:p>
        </w:tc>
        <w:tc>
          <w:tcPr>
            <w:tcW w:w="238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Certain Expenses</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243,012</w:t>
            </w:r>
          </w:p>
        </w:tc>
      </w:tr>
      <w:tr>
        <w:trPr>
          <w:trHeight w:val="170"/>
        </w:trPr>
        <w:tc>
          <w:tcPr>
            <w:tcW w:w="3700" w:type="dxa"/>
            <w:vAlign w:val="bottom"/>
          </w:tcPr>
          <w:p>
            <w:pPr>
              <w:spacing w:after="0"/>
              <w:rPr>
                <w:sz w:val="14"/>
                <w:szCs w:val="14"/>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EXCESS OF REVENUES OVER CERTAIN</w:t>
            </w:r>
          </w:p>
        </w:tc>
        <w:tc>
          <w:tcPr>
            <w:tcW w:w="23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38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EXPENSES</w:t>
            </w:r>
          </w:p>
        </w:tc>
        <w:tc>
          <w:tcPr>
            <w:tcW w:w="2380" w:type="dxa"/>
            <w:vAlign w:val="bottom"/>
          </w:tcPr>
          <w:p>
            <w:pPr>
              <w:jc w:val="right"/>
              <w:spacing w:after="0"/>
              <w:rPr>
                <w:sz w:val="20"/>
                <w:szCs w:val="20"/>
                <w:color w:val="auto"/>
              </w:rPr>
            </w:pPr>
            <w:r>
              <w:rPr>
                <w:rFonts w:ascii="Courier New" w:cs="Courier New" w:eastAsia="Courier New" w:hAnsi="Courier New"/>
                <w:sz w:val="15"/>
                <w:szCs w:val="15"/>
                <w:color w:val="auto"/>
              </w:rPr>
              <w:t>$  770,149</w:t>
            </w:r>
          </w:p>
        </w:tc>
      </w:tr>
    </w:tbl>
    <w:p>
      <w:pPr>
        <w:spacing w:after="0"/>
        <w:tabs>
          <w:tab w:leader="none" w:pos="53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See Accompanying Notes To This Statement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2" w:right="1440" w:bottom="1440" w:gutter="0" w:footer="0" w:header="0"/>
        </w:sectPr>
      </w:pPr>
    </w:p>
    <w:bookmarkStart w:id="16" w:name="page17"/>
    <w:bookmarkEnd w:id="16"/>
    <w:p>
      <w:pPr>
        <w:ind w:left="2650"/>
        <w:spacing w:after="0"/>
        <w:rPr>
          <w:sz w:val="20"/>
          <w:szCs w:val="20"/>
          <w:color w:val="auto"/>
        </w:rPr>
      </w:pPr>
      <w:r>
        <w:rPr>
          <w:rFonts w:ascii="Courier New" w:cs="Courier New" w:eastAsia="Courier New" w:hAnsi="Courier New"/>
          <w:sz w:val="15"/>
          <w:szCs w:val="15"/>
          <w:color w:val="auto"/>
        </w:rPr>
        <w:t>THE MAGRUDER CENTER</w:t>
      </w:r>
    </w:p>
    <w:p>
      <w:pPr>
        <w:ind w:left="2650"/>
        <w:spacing w:after="0"/>
        <w:rPr>
          <w:sz w:val="20"/>
          <w:szCs w:val="20"/>
          <w:color w:val="auto"/>
        </w:rPr>
      </w:pPr>
      <w:r>
        <w:rPr>
          <w:rFonts w:ascii="Courier New" w:cs="Courier New" w:eastAsia="Courier New" w:hAnsi="Courier New"/>
          <w:sz w:val="15"/>
          <w:szCs w:val="15"/>
          <w:color w:val="auto"/>
        </w:rPr>
        <w:t>-------------------</w:t>
      </w:r>
    </w:p>
    <w:p>
      <w:pPr>
        <w:ind w:left="1230"/>
        <w:spacing w:after="0"/>
        <w:rPr>
          <w:sz w:val="20"/>
          <w:szCs w:val="20"/>
          <w:color w:val="auto"/>
        </w:rPr>
      </w:pPr>
      <w:r>
        <w:rPr>
          <w:rFonts w:ascii="Courier New" w:cs="Courier New" w:eastAsia="Courier New" w:hAnsi="Courier New"/>
          <w:sz w:val="15"/>
          <w:szCs w:val="15"/>
          <w:color w:val="auto"/>
        </w:rPr>
        <w:t>NOTES TO STATEMENT OF REVENUES AND CERTAIN EXPENSES</w:t>
      </w:r>
    </w:p>
    <w:p>
      <w:pPr>
        <w:ind w:left="1230"/>
        <w:spacing w:after="0" w:line="238" w:lineRule="auto"/>
        <w:rPr>
          <w:sz w:val="20"/>
          <w:szCs w:val="20"/>
          <w:color w:val="auto"/>
        </w:rPr>
      </w:pPr>
      <w:r>
        <w:rPr>
          <w:rFonts w:ascii="Courier New" w:cs="Courier New" w:eastAsia="Courier New" w:hAnsi="Courier New"/>
          <w:sz w:val="15"/>
          <w:szCs w:val="15"/>
          <w:color w:val="auto"/>
        </w:rPr>
        <w:t>---------------------------------------------------</w:t>
      </w:r>
    </w:p>
    <w:p>
      <w:pPr>
        <w:ind w:left="1930"/>
        <w:spacing w:after="0"/>
        <w:rPr>
          <w:sz w:val="20"/>
          <w:szCs w:val="20"/>
          <w:color w:val="auto"/>
        </w:rPr>
      </w:pPr>
      <w:r>
        <w:rPr>
          <w:rFonts w:ascii="Courier New" w:cs="Courier New" w:eastAsia="Courier New" w:hAnsi="Courier New"/>
          <w:sz w:val="15"/>
          <w:szCs w:val="15"/>
          <w:color w:val="auto"/>
        </w:rPr>
        <w:t>FOR THE YEAR ENDED DECEMBER 31, 1996</w:t>
      </w:r>
    </w:p>
    <w:p>
      <w:pPr>
        <w:ind w:left="193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50" w:hanging="350"/>
        <w:spacing w:after="0"/>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Property</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50" w:right="3179" w:firstLine="176"/>
        <w:spacing w:after="0" w:line="237" w:lineRule="auto"/>
        <w:rPr>
          <w:sz w:val="20"/>
          <w:szCs w:val="20"/>
          <w:color w:val="auto"/>
        </w:rPr>
      </w:pPr>
      <w:r>
        <w:rPr>
          <w:rFonts w:ascii="Courier New" w:cs="Courier New" w:eastAsia="Courier New" w:hAnsi="Courier New"/>
          <w:sz w:val="15"/>
          <w:szCs w:val="15"/>
          <w:color w:val="auto"/>
        </w:rPr>
        <w:t>The Magruder Center (the "Property") is a commercial shopping center located in Rockville, Maryland. It was owned during the period under audit by Mr. N. Richard Kimmel.</w:t>
      </w:r>
    </w:p>
    <w:p>
      <w:pPr>
        <w:spacing w:after="0" w:line="169" w:lineRule="exact"/>
        <w:rPr>
          <w:sz w:val="20"/>
          <w:szCs w:val="20"/>
          <w:color w:val="auto"/>
        </w:rPr>
      </w:pPr>
    </w:p>
    <w:p>
      <w:pPr>
        <w:ind w:left="350" w:hanging="350"/>
        <w:spacing w:after="0"/>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General - The Statement excludes certain expenses such as depreciation,</w:t>
      </w:r>
    </w:p>
    <w:p>
      <w:pPr>
        <w:ind w:left="4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 w:right="3179"/>
        <w:spacing w:after="0" w:line="238" w:lineRule="auto"/>
        <w:rPr>
          <w:sz w:val="20"/>
          <w:szCs w:val="20"/>
          <w:color w:val="auto"/>
        </w:rPr>
      </w:pPr>
      <w:r>
        <w:rPr>
          <w:rFonts w:ascii="Courier New" w:cs="Courier New" w:eastAsia="Courier New" w:hAnsi="Courier New"/>
          <w:sz w:val="15"/>
          <w:szCs w:val="15"/>
          <w:color w:val="auto"/>
        </w:rPr>
        <w:t>amortization, management and professional fees, and other expenses not directly related to the future operation of the Property that may not be comparable to expenses expected to be incurred in the future operation of the property under new owners. Management is not aware of any material factors relating to the property which will cause the reported financial information not to be necessarily indicative of future revenues and certain expenses.</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Estimates - The preparation of financial statements in conformity with</w:t>
      </w:r>
    </w:p>
    <w:p>
      <w:pPr>
        <w:ind w:left="4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generally accepted accounting principles requires management to make estimates and assumptions that affect the reported amount of revenues and certain expenditures. Accordingly, actual results could differ from those estimates.</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Revenue and Expenses Recognition - The financial statement has been</w:t>
      </w:r>
    </w:p>
    <w:p>
      <w:pPr>
        <w:ind w:left="4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50" w:right="3439"/>
        <w:spacing w:after="0" w:line="237" w:lineRule="auto"/>
        <w:rPr>
          <w:sz w:val="20"/>
          <w:szCs w:val="20"/>
          <w:color w:val="auto"/>
        </w:rPr>
      </w:pPr>
      <w:r>
        <w:rPr>
          <w:rFonts w:ascii="Courier New" w:cs="Courier New" w:eastAsia="Courier New" w:hAnsi="Courier New"/>
          <w:sz w:val="15"/>
          <w:szCs w:val="15"/>
          <w:color w:val="auto"/>
        </w:rPr>
        <w:t>prepared on the accrual basis of accounting. Accordingly, rental income and tenant recoveries are recognized when due from the tenant. Expenses are recognized when incurred.</w:t>
      </w:r>
    </w:p>
    <w:p>
      <w:pPr>
        <w:spacing w:after="0" w:line="169" w:lineRule="exact"/>
        <w:rPr>
          <w:sz w:val="20"/>
          <w:szCs w:val="20"/>
          <w:color w:val="auto"/>
        </w:rPr>
      </w:pPr>
    </w:p>
    <w:p>
      <w:pPr>
        <w:ind w:left="350" w:hanging="350"/>
        <w:spacing w:after="0"/>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Rental Revenues</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50" w:right="3259" w:firstLine="176"/>
        <w:spacing w:after="0" w:line="235" w:lineRule="auto"/>
        <w:rPr>
          <w:sz w:val="20"/>
          <w:szCs w:val="20"/>
          <w:color w:val="auto"/>
        </w:rPr>
      </w:pPr>
      <w:r>
        <w:rPr>
          <w:rFonts w:ascii="Courier New" w:cs="Courier New" w:eastAsia="Courier New" w:hAnsi="Courier New"/>
          <w:sz w:val="15"/>
          <w:szCs w:val="15"/>
          <w:color w:val="auto"/>
        </w:rPr>
        <w:t>Future minimum base rentals due from tenants on non-cancelable operating leases as of December 17, 1997 are approximately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$832,810</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768,985</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646,336</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644,880</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590,063</w:t>
            </w:r>
          </w:p>
        </w:tc>
      </w:tr>
      <w:tr>
        <w:trPr>
          <w:trHeight w:val="170"/>
        </w:trPr>
        <w:tc>
          <w:tcPr>
            <w:tcW w:w="11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448,490</w:t>
            </w:r>
          </w:p>
        </w:tc>
      </w:tr>
      <w:tr>
        <w:trPr>
          <w:trHeight w:val="170"/>
        </w:trPr>
        <w:tc>
          <w:tcPr>
            <w:tcW w:w="1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2210"/>
        <w:spacing w:after="0"/>
        <w:rPr>
          <w:sz w:val="20"/>
          <w:szCs w:val="20"/>
          <w:color w:val="auto"/>
        </w:rPr>
      </w:pPr>
      <w:r>
        <w:rPr>
          <w:rFonts w:ascii="Courier New" w:cs="Courier New" w:eastAsia="Courier New" w:hAnsi="Courier New"/>
          <w:sz w:val="15"/>
          <w:szCs w:val="15"/>
          <w:color w:val="auto"/>
        </w:rPr>
        <w:t>$ 3,931,564</w:t>
      </w:r>
    </w:p>
    <w:p>
      <w:pPr>
        <w:ind w:left="221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622" w:right="1440" w:bottom="1440" w:gutter="0" w:footer="0" w:header="0"/>
        </w:sectPr>
      </w:pPr>
    </w:p>
    <w:bookmarkStart w:id="17" w:name="page18"/>
    <w:bookmarkEnd w:id="17"/>
    <w:p>
      <w:pPr>
        <w:ind w:left="2280"/>
        <w:spacing w:after="0"/>
        <w:rPr>
          <w:sz w:val="20"/>
          <w:szCs w:val="20"/>
          <w:color w:val="auto"/>
        </w:rPr>
      </w:pPr>
      <w:r>
        <w:rPr>
          <w:rFonts w:ascii="Courier New" w:cs="Courier New" w:eastAsia="Courier New" w:hAnsi="Courier New"/>
          <w:sz w:val="15"/>
          <w:szCs w:val="15"/>
          <w:color w:val="auto"/>
        </w:rPr>
        <w:t>Independent Auditor's Report</w:t>
      </w:r>
    </w:p>
    <w:p>
      <w:pPr>
        <w:ind w:left="22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N. Richard Kimmel</w:t>
      </w:r>
    </w:p>
    <w:p>
      <w:pPr>
        <w:spacing w:after="0"/>
        <w:rPr>
          <w:sz w:val="20"/>
          <w:szCs w:val="20"/>
          <w:color w:val="auto"/>
        </w:rPr>
      </w:pPr>
      <w:r>
        <w:rPr>
          <w:rFonts w:ascii="Courier New" w:cs="Courier New" w:eastAsia="Courier New" w:hAnsi="Courier New"/>
          <w:sz w:val="15"/>
          <w:szCs w:val="15"/>
          <w:color w:val="auto"/>
        </w:rPr>
        <w:t>RKR Limited Partnership</w:t>
      </w:r>
    </w:p>
    <w:p>
      <w:pPr>
        <w:spacing w:after="0"/>
        <w:rPr>
          <w:sz w:val="20"/>
          <w:szCs w:val="20"/>
          <w:color w:val="auto"/>
        </w:rPr>
      </w:pPr>
      <w:r>
        <w:rPr>
          <w:rFonts w:ascii="Courier New" w:cs="Courier New" w:eastAsia="Courier New" w:hAnsi="Courier New"/>
          <w:sz w:val="15"/>
          <w:szCs w:val="15"/>
          <w:color w:val="auto"/>
        </w:rPr>
        <w:t>15821 Crabbs Branch Way</w:t>
      </w:r>
    </w:p>
    <w:p>
      <w:pPr>
        <w:spacing w:after="0" w:line="238" w:lineRule="auto"/>
        <w:rPr>
          <w:sz w:val="20"/>
          <w:szCs w:val="20"/>
          <w:color w:val="auto"/>
        </w:rPr>
      </w:pPr>
      <w:r>
        <w:rPr>
          <w:rFonts w:ascii="Courier New" w:cs="Courier New" w:eastAsia="Courier New" w:hAnsi="Courier New"/>
          <w:sz w:val="15"/>
          <w:szCs w:val="15"/>
          <w:color w:val="auto"/>
        </w:rPr>
        <w:t>Rockville, MD 20855-2635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Kimmel:</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We have audited the accompanying Statement of Revenues and Certain Expenses of the Courthouse Center (the "Property") as described in Note 1 for the year ended December 31, 1996. This financial statement is the responsibility of the Partnership's management. Our responsibility is to express an opinion on this financial statement based on our audit.</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Statement of Revenues and Certain Expenses is free of material misstatement. An audit includes examining, on a test basis, evidence supporting the amounts and disclosures in the Statement of Revenues and Certain Expenses. An audit also includes assessing the accounting principles used and significant estimates made by the Partnership's management, as well as evaluating the overall Statement of Revenues and Certain Expenses presentation. We believe that our audit of the Statement of Revenues and Certain Expenses provides a reasonable basis for our opinion.</w:t>
      </w:r>
    </w:p>
    <w:p>
      <w:pPr>
        <w:spacing w:after="0" w:line="16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accompanying Statement of Revenues and Certain Expenses was prepared for the purpose of complying with the rules and regulations of the Securities and Exchange Commission and is not intended to be a complete presentation of the Property's revenues and expenses.</w:t>
      </w:r>
    </w:p>
    <w:p>
      <w:pPr>
        <w:spacing w:after="0" w:line="176"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our opinion, the financial statement referred to above presents fairly, in all material respects, the revenues and certain expenses of the Property for the year ended December 31, 1996, in conformity with generally accepted accounting principles.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Fangmeyer and Fangmeyer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Silver Spring, Maryland</w:t>
      </w:r>
    </w:p>
    <w:p>
      <w:pPr>
        <w:spacing w:after="0"/>
        <w:rPr>
          <w:sz w:val="20"/>
          <w:szCs w:val="20"/>
          <w:color w:val="auto"/>
        </w:rPr>
      </w:pPr>
      <w:r>
        <w:rPr>
          <w:rFonts w:ascii="Courier New" w:cs="Courier New" w:eastAsia="Courier New" w:hAnsi="Courier New"/>
          <w:sz w:val="15"/>
          <w:szCs w:val="15"/>
          <w:color w:val="auto"/>
        </w:rPr>
        <w:t>January 9,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2" w:right="1440" w:bottom="1440" w:gutter="0" w:footer="0" w:header="0"/>
        </w:sectPr>
      </w:pPr>
    </w:p>
    <w:bookmarkStart w:id="18" w:name="page19"/>
    <w:bookmarkEnd w:id="18"/>
    <w:p>
      <w:pPr>
        <w:ind w:left="2540"/>
        <w:spacing w:after="0"/>
        <w:rPr>
          <w:sz w:val="20"/>
          <w:szCs w:val="20"/>
          <w:color w:val="auto"/>
        </w:rPr>
      </w:pPr>
      <w:r>
        <w:rPr>
          <w:rFonts w:ascii="Courier New" w:cs="Courier New" w:eastAsia="Courier New" w:hAnsi="Courier New"/>
          <w:sz w:val="15"/>
          <w:szCs w:val="15"/>
          <w:color w:val="auto"/>
        </w:rPr>
        <w:t>THE COURTHOUSE CENTER</w:t>
      </w:r>
    </w:p>
    <w:p>
      <w:pPr>
        <w:ind w:left="2540"/>
        <w:spacing w:after="0"/>
        <w:rPr>
          <w:sz w:val="20"/>
          <w:szCs w:val="20"/>
          <w:color w:val="auto"/>
        </w:rPr>
      </w:pPr>
      <w:r>
        <w:rPr>
          <w:rFonts w:ascii="Courier New" w:cs="Courier New" w:eastAsia="Courier New" w:hAnsi="Courier New"/>
          <w:sz w:val="15"/>
          <w:szCs w:val="15"/>
          <w:color w:val="auto"/>
        </w:rPr>
        <w:t>---------------------</w:t>
      </w:r>
    </w:p>
    <w:p>
      <w:pPr>
        <w:ind w:left="1660"/>
        <w:spacing w:after="0"/>
        <w:rPr>
          <w:sz w:val="20"/>
          <w:szCs w:val="20"/>
          <w:color w:val="auto"/>
        </w:rPr>
      </w:pPr>
      <w:r>
        <w:rPr>
          <w:rFonts w:ascii="Courier New" w:cs="Courier New" w:eastAsia="Courier New" w:hAnsi="Courier New"/>
          <w:sz w:val="15"/>
          <w:szCs w:val="15"/>
          <w:color w:val="auto"/>
        </w:rPr>
        <w:t>STATEMENT OF REVENUES AND CERTAIN EXPENSES</w:t>
      </w:r>
    </w:p>
    <w:p>
      <w:pPr>
        <w:ind w:left="1660"/>
        <w:spacing w:after="0" w:line="238" w:lineRule="auto"/>
        <w:rPr>
          <w:sz w:val="20"/>
          <w:szCs w:val="20"/>
          <w:color w:val="auto"/>
        </w:rPr>
      </w:pPr>
      <w:r>
        <w:rPr>
          <w:rFonts w:ascii="Courier New" w:cs="Courier New" w:eastAsia="Courier New" w:hAnsi="Courier New"/>
          <w:sz w:val="15"/>
          <w:szCs w:val="15"/>
          <w:color w:val="auto"/>
        </w:rPr>
        <w:t>------------------------------------------</w:t>
      </w:r>
    </w:p>
    <w:p>
      <w:pPr>
        <w:ind w:left="1920"/>
        <w:spacing w:after="0"/>
        <w:rPr>
          <w:sz w:val="20"/>
          <w:szCs w:val="20"/>
          <w:color w:val="auto"/>
        </w:rPr>
      </w:pPr>
      <w:r>
        <w:rPr>
          <w:rFonts w:ascii="Courier New" w:cs="Courier New" w:eastAsia="Courier New" w:hAnsi="Courier New"/>
          <w:sz w:val="15"/>
          <w:szCs w:val="15"/>
          <w:color w:val="auto"/>
        </w:rPr>
        <w:t>FOR THE YEAR ENDED DECEMBER 31, 1996</w:t>
      </w:r>
    </w:p>
    <w:p>
      <w:pPr>
        <w:ind w:left="19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420" w:type="dxa"/>
            <w:vAlign w:val="bottom"/>
          </w:tcPr>
          <w:p>
            <w:pPr>
              <w:spacing w:after="0"/>
              <w:rPr>
                <w:sz w:val="14"/>
                <w:szCs w:val="14"/>
                <w:color w:val="auto"/>
              </w:rPr>
            </w:pP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Rental Income - Base</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$411,358</w:t>
            </w: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Tenant Recoveries</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84,644</w:t>
            </w:r>
          </w:p>
        </w:tc>
      </w:tr>
      <w:tr>
        <w:trPr>
          <w:trHeight w:val="170"/>
        </w:trPr>
        <w:tc>
          <w:tcPr>
            <w:tcW w:w="3480" w:type="dxa"/>
            <w:vAlign w:val="bottom"/>
          </w:tcPr>
          <w:p>
            <w:pPr>
              <w:spacing w:after="0"/>
              <w:rPr>
                <w:sz w:val="14"/>
                <w:szCs w:val="14"/>
                <w:color w:val="auto"/>
              </w:rPr>
            </w:pP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$496,002</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Certain Expenses:</w:t>
            </w:r>
          </w:p>
        </w:tc>
        <w:tc>
          <w:tcPr>
            <w:tcW w:w="2420" w:type="dxa"/>
            <w:vAlign w:val="bottom"/>
          </w:tcPr>
          <w:p>
            <w:pPr>
              <w:spacing w:after="0"/>
              <w:rPr>
                <w:sz w:val="24"/>
                <w:szCs w:val="24"/>
                <w:color w:val="auto"/>
              </w:rPr>
            </w:pPr>
          </w:p>
        </w:tc>
      </w:tr>
      <w:tr>
        <w:trPr>
          <w:trHeight w:val="339"/>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Real Estate Taxes</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61,576</w:t>
            </w: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Repairs and Maintenance - Labor</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10,144</w:t>
            </w: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Repairs and Maintenance - Other</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5,371</w:t>
            </w: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7,187</w:t>
            </w: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Utilities</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30,716</w:t>
            </w: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Common Area Expenses</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1,165</w:t>
            </w:r>
          </w:p>
        </w:tc>
      </w:tr>
      <w:tr>
        <w:trPr>
          <w:trHeight w:val="170"/>
        </w:trPr>
        <w:tc>
          <w:tcPr>
            <w:tcW w:w="3480" w:type="dxa"/>
            <w:vAlign w:val="bottom"/>
          </w:tcPr>
          <w:p>
            <w:pPr>
              <w:ind w:left="440"/>
              <w:spacing w:after="0"/>
              <w:rPr>
                <w:sz w:val="20"/>
                <w:szCs w:val="20"/>
                <w:color w:val="auto"/>
              </w:rPr>
            </w:pPr>
            <w:r>
              <w:rPr>
                <w:rFonts w:ascii="Courier New" w:cs="Courier New" w:eastAsia="Courier New" w:hAnsi="Courier New"/>
                <w:sz w:val="15"/>
                <w:szCs w:val="15"/>
                <w:color w:val="auto"/>
              </w:rPr>
              <w:t>Security</w:t>
            </w: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11,825</w:t>
            </w:r>
          </w:p>
        </w:tc>
      </w:tr>
      <w:tr>
        <w:trPr>
          <w:trHeight w:val="170"/>
        </w:trPr>
        <w:tc>
          <w:tcPr>
            <w:tcW w:w="3480" w:type="dxa"/>
            <w:vAlign w:val="bottom"/>
          </w:tcPr>
          <w:p>
            <w:pPr>
              <w:spacing w:after="0"/>
              <w:rPr>
                <w:sz w:val="14"/>
                <w:szCs w:val="14"/>
                <w:color w:val="auto"/>
              </w:rPr>
            </w:pPr>
          </w:p>
        </w:tc>
        <w:tc>
          <w:tcPr>
            <w:tcW w:w="2420" w:type="dxa"/>
            <w:vAlign w:val="bottom"/>
          </w:tcPr>
          <w:p>
            <w:pPr>
              <w:jc w:val="right"/>
              <w:ind w:right="1347"/>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Certain Expenses</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127,984</w:t>
            </w:r>
          </w:p>
        </w:tc>
      </w:tr>
      <w:tr>
        <w:trPr>
          <w:trHeight w:val="170"/>
        </w:trPr>
        <w:tc>
          <w:tcPr>
            <w:tcW w:w="348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EXCESS OF REVENUES OVER CERTAIN</w:t>
            </w:r>
          </w:p>
        </w:tc>
        <w:tc>
          <w:tcPr>
            <w:tcW w:w="2420" w:type="dxa"/>
            <w:vAlign w:val="bottom"/>
          </w:tcPr>
          <w:p>
            <w:pPr>
              <w:spacing w:after="0"/>
              <w:rPr>
                <w:sz w:val="24"/>
                <w:szCs w:val="24"/>
                <w:color w:val="auto"/>
              </w:rPr>
            </w:pPr>
          </w:p>
        </w:tc>
      </w:tr>
      <w:tr>
        <w:trPr>
          <w:trHeight w:val="170"/>
        </w:trPr>
        <w:tc>
          <w:tcPr>
            <w:tcW w:w="34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$368,018</w:t>
            </w:r>
          </w:p>
        </w:tc>
      </w:tr>
      <w:tr>
        <w:trPr>
          <w:trHeight w:val="170"/>
        </w:trPr>
        <w:tc>
          <w:tcPr>
            <w:tcW w:w="3480" w:type="dxa"/>
            <w:vAlign w:val="bottom"/>
          </w:tcPr>
          <w:p>
            <w:pPr>
              <w:spacing w:after="0"/>
              <w:rPr>
                <w:sz w:val="14"/>
                <w:szCs w:val="14"/>
                <w:color w:val="auto"/>
              </w:rPr>
            </w:pP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 to This Statement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2" w:right="1440" w:bottom="1440" w:gutter="0" w:footer="0" w:header="0"/>
        </w:sectPr>
      </w:pPr>
    </w:p>
    <w:bookmarkStart w:id="19" w:name="page20"/>
    <w:bookmarkEnd w:id="19"/>
    <w:p>
      <w:pPr>
        <w:ind w:left="2550"/>
        <w:spacing w:after="0"/>
        <w:rPr>
          <w:sz w:val="20"/>
          <w:szCs w:val="20"/>
          <w:color w:val="auto"/>
        </w:rPr>
      </w:pPr>
      <w:r>
        <w:rPr>
          <w:rFonts w:ascii="Courier New" w:cs="Courier New" w:eastAsia="Courier New" w:hAnsi="Courier New"/>
          <w:sz w:val="15"/>
          <w:szCs w:val="15"/>
          <w:color w:val="auto"/>
        </w:rPr>
        <w:t>THE COURTHOUSE CENTER</w:t>
      </w:r>
    </w:p>
    <w:p>
      <w:pPr>
        <w:ind w:left="2550"/>
        <w:spacing w:after="0"/>
        <w:rPr>
          <w:sz w:val="20"/>
          <w:szCs w:val="20"/>
          <w:color w:val="auto"/>
        </w:rPr>
      </w:pPr>
      <w:r>
        <w:rPr>
          <w:rFonts w:ascii="Courier New" w:cs="Courier New" w:eastAsia="Courier New" w:hAnsi="Courier New"/>
          <w:sz w:val="15"/>
          <w:szCs w:val="15"/>
          <w:color w:val="auto"/>
        </w:rPr>
        <w:t>---------------------</w:t>
      </w:r>
    </w:p>
    <w:p>
      <w:pPr>
        <w:ind w:left="1230"/>
        <w:spacing w:after="0"/>
        <w:rPr>
          <w:sz w:val="20"/>
          <w:szCs w:val="20"/>
          <w:color w:val="auto"/>
        </w:rPr>
      </w:pPr>
      <w:r>
        <w:rPr>
          <w:rFonts w:ascii="Courier New" w:cs="Courier New" w:eastAsia="Courier New" w:hAnsi="Courier New"/>
          <w:sz w:val="15"/>
          <w:szCs w:val="15"/>
          <w:color w:val="auto"/>
        </w:rPr>
        <w:t>NOTES TO STATEMENT OF REVENUES AND CERTAIN EXPENSES</w:t>
      </w:r>
    </w:p>
    <w:p>
      <w:pPr>
        <w:ind w:left="1230"/>
        <w:spacing w:after="0" w:line="238" w:lineRule="auto"/>
        <w:rPr>
          <w:sz w:val="20"/>
          <w:szCs w:val="20"/>
          <w:color w:val="auto"/>
        </w:rPr>
      </w:pPr>
      <w:r>
        <w:rPr>
          <w:rFonts w:ascii="Courier New" w:cs="Courier New" w:eastAsia="Courier New" w:hAnsi="Courier New"/>
          <w:sz w:val="15"/>
          <w:szCs w:val="15"/>
          <w:color w:val="auto"/>
        </w:rPr>
        <w:t>---------------------------------------------------</w:t>
      </w:r>
    </w:p>
    <w:p>
      <w:pPr>
        <w:ind w:left="1930"/>
        <w:spacing w:after="0"/>
        <w:rPr>
          <w:sz w:val="20"/>
          <w:szCs w:val="20"/>
          <w:color w:val="auto"/>
        </w:rPr>
      </w:pPr>
      <w:r>
        <w:rPr>
          <w:rFonts w:ascii="Courier New" w:cs="Courier New" w:eastAsia="Courier New" w:hAnsi="Courier New"/>
          <w:sz w:val="15"/>
          <w:szCs w:val="15"/>
          <w:color w:val="auto"/>
        </w:rPr>
        <w:t>FOR THE YEAR ENDED DECEMBER 31, 1996</w:t>
      </w:r>
    </w:p>
    <w:p>
      <w:pPr>
        <w:ind w:left="193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350" w:hanging="350"/>
        <w:spacing w:after="0"/>
        <w:tabs>
          <w:tab w:leader="none" w:pos="3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Property</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50" w:right="3179" w:firstLine="176"/>
        <w:spacing w:after="0" w:line="237" w:lineRule="auto"/>
        <w:rPr>
          <w:sz w:val="20"/>
          <w:szCs w:val="20"/>
          <w:color w:val="auto"/>
        </w:rPr>
      </w:pPr>
      <w:r>
        <w:rPr>
          <w:rFonts w:ascii="Courier New" w:cs="Courier New" w:eastAsia="Courier New" w:hAnsi="Courier New"/>
          <w:sz w:val="15"/>
          <w:szCs w:val="15"/>
          <w:color w:val="auto"/>
        </w:rPr>
        <w:t>The Courthouse Center (the "Property") is a commercial shopping center located in Rockville, Maryland. It was owned during the period under audit by the RKR Limited Partnership. Mr. N. Richard Kimmel was the general partner and was also a limited partner along with an irrevocable children's trust.</w:t>
      </w:r>
    </w:p>
    <w:p>
      <w:pPr>
        <w:spacing w:after="0" w:line="173" w:lineRule="exact"/>
        <w:rPr>
          <w:sz w:val="20"/>
          <w:szCs w:val="20"/>
          <w:color w:val="auto"/>
        </w:rPr>
      </w:pPr>
    </w:p>
    <w:p>
      <w:pPr>
        <w:ind w:left="350" w:hanging="350"/>
        <w:spacing w:after="0"/>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General - The Statement excludes certain expenses such as depreciation,</w:t>
      </w:r>
    </w:p>
    <w:p>
      <w:pPr>
        <w:ind w:left="4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 w:right="3179"/>
        <w:spacing w:after="0" w:line="238" w:lineRule="auto"/>
        <w:rPr>
          <w:sz w:val="20"/>
          <w:szCs w:val="20"/>
          <w:color w:val="auto"/>
        </w:rPr>
      </w:pPr>
      <w:r>
        <w:rPr>
          <w:rFonts w:ascii="Courier New" w:cs="Courier New" w:eastAsia="Courier New" w:hAnsi="Courier New"/>
          <w:sz w:val="15"/>
          <w:szCs w:val="15"/>
          <w:color w:val="auto"/>
        </w:rPr>
        <w:t>amortization, management and professional fees, and other expenses not directly related to the future operation of the Property that may not be comparable to expenses expected to be incurred in the future operation of the property under new owners. Management is not aware of any material factors relating to the property which will cause the reported financial information not to be necessarily indicative of future revenues and certain expenses.</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Estimates - The preparation of financial statements in conformity with</w:t>
      </w:r>
    </w:p>
    <w:p>
      <w:pPr>
        <w:ind w:left="4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 w:right="3259"/>
        <w:spacing w:after="0" w:line="237" w:lineRule="auto"/>
        <w:rPr>
          <w:sz w:val="20"/>
          <w:szCs w:val="20"/>
          <w:color w:val="auto"/>
        </w:rPr>
      </w:pPr>
      <w:r>
        <w:rPr>
          <w:rFonts w:ascii="Courier New" w:cs="Courier New" w:eastAsia="Courier New" w:hAnsi="Courier New"/>
          <w:sz w:val="15"/>
          <w:szCs w:val="15"/>
          <w:color w:val="auto"/>
        </w:rPr>
        <w:t>generally accepted accounting principles requires management to make estimates and assumptions that affect the reported amount of revenues and certain expenditures. Accordingly, actual results could differ from those estimates.</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Revenue and Expenses Recognition - The financial statement has been</w:t>
      </w:r>
    </w:p>
    <w:p>
      <w:pPr>
        <w:ind w:left="45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both"/>
        <w:ind w:left="450" w:right="3439"/>
        <w:spacing w:after="0" w:line="237" w:lineRule="auto"/>
        <w:rPr>
          <w:sz w:val="20"/>
          <w:szCs w:val="20"/>
          <w:color w:val="auto"/>
        </w:rPr>
      </w:pPr>
      <w:r>
        <w:rPr>
          <w:rFonts w:ascii="Courier New" w:cs="Courier New" w:eastAsia="Courier New" w:hAnsi="Courier New"/>
          <w:sz w:val="15"/>
          <w:szCs w:val="15"/>
          <w:color w:val="auto"/>
        </w:rPr>
        <w:t>prepared on the accrual basis of accounting. Accordingly, rental income and tenant recoveries are recognized when due from the tenant. Expenses are recognized when incurred.</w:t>
      </w:r>
    </w:p>
    <w:p>
      <w:pPr>
        <w:spacing w:after="0" w:line="169" w:lineRule="exact"/>
        <w:rPr>
          <w:sz w:val="20"/>
          <w:szCs w:val="20"/>
          <w:color w:val="auto"/>
        </w:rPr>
      </w:pPr>
    </w:p>
    <w:p>
      <w:pPr>
        <w:ind w:left="350" w:hanging="350"/>
        <w:spacing w:after="0"/>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Rental Revenues</w:t>
      </w: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50" w:right="3259" w:firstLine="176"/>
        <w:spacing w:after="0" w:line="235" w:lineRule="auto"/>
        <w:rPr>
          <w:sz w:val="20"/>
          <w:szCs w:val="20"/>
          <w:color w:val="auto"/>
        </w:rPr>
      </w:pPr>
      <w:r>
        <w:rPr>
          <w:rFonts w:ascii="Courier New" w:cs="Courier New" w:eastAsia="Courier New" w:hAnsi="Courier New"/>
          <w:sz w:val="15"/>
          <w:szCs w:val="15"/>
          <w:color w:val="auto"/>
        </w:rPr>
        <w:t>Future minimum base rentals due from tenants on non-cancelable operating leases as of December 17, 1997 are approximately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890"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422,993</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290,579</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224,229</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187,698</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187,698</w:t>
            </w:r>
          </w:p>
        </w:tc>
      </w:t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118,582</w:t>
            </w:r>
          </w:p>
        </w:tc>
      </w:tr>
      <w:tr>
        <w:trPr>
          <w:trHeight w:val="170"/>
        </w:trPr>
        <w:tc>
          <w:tcPr>
            <w:tcW w:w="10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0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$ 1,431,779</w:t>
            </w:r>
          </w:p>
        </w:tc>
      </w:tr>
      <w:tr>
        <w:trPr>
          <w:trHeight w:val="170"/>
        </w:trPr>
        <w:tc>
          <w:tcPr>
            <w:tcW w:w="10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622" w:right="1440" w:bottom="1440" w:gutter="0" w:footer="0" w:header="0"/>
        </w:sectPr>
      </w:pPr>
    </w:p>
    <w:bookmarkStart w:id="20" w:name="page21"/>
    <w:bookmarkEnd w:id="20"/>
    <w:p>
      <w:pPr>
        <w:ind w:left="1320"/>
        <w:spacing w:after="0"/>
        <w:rPr>
          <w:sz w:val="20"/>
          <w:szCs w:val="20"/>
          <w:color w:val="auto"/>
        </w:rPr>
      </w:pPr>
      <w:r>
        <w:rPr>
          <w:rFonts w:ascii="Courier New" w:cs="Courier New" w:eastAsia="Courier New" w:hAnsi="Courier New"/>
          <w:sz w:val="15"/>
          <w:szCs w:val="15"/>
          <w:color w:val="auto"/>
        </w:rPr>
        <w:t>REPORT OF INDEPENDENT CERTIFIED PUBLIC ACCOUNTANTS</w:t>
      </w:r>
    </w:p>
    <w:p>
      <w:pPr>
        <w:ind w:left="13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Trustees</w:t>
      </w: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We have audited the accompanying Historical Summary of Gross Income and Direct Operating Expenses ("Historical Summary") of The Peninsula Shopping Center for the year ended December 31, 1996. The Historical Summary is the responsibility of the Center's management. Our responsibility is to express an opinion on the Historical Summary based on our audit.</w:t>
      </w:r>
    </w:p>
    <w:p>
      <w:pPr>
        <w:spacing w:after="0" w:line="178"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Historical Summary is free of material misstatement. An audit includes examining, on a test basis, evidence supporting the amounts and disclosures in the Historical Summary. An audit also includes assessing the accounting principles used and significant estimates made by management, as well as evaluating the overall presentation of the Historical Summary. We believe that our audit provides a reasonable basis for our opinion.</w:t>
      </w:r>
    </w:p>
    <w:p>
      <w:pPr>
        <w:spacing w:after="0" w:line="167"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accompanying Historical Summary was prepared for the purpose of complying with the rules and regulations of the Securities and Exchange Commission and excludes certain material items of income and expense, as described in Note B, that would not be comparable to those resulting from the future operations of the Center acquired by Federal Realty Investment Trust. The Historical Summary is not intended to be a complete presentation of the Center's income and expenses.</w:t>
      </w:r>
    </w:p>
    <w:p>
      <w:pPr>
        <w:spacing w:after="0" w:line="177"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In our opinion, the Historical Summary referred to above presents fairly, in all material respects, the gross income and direct operating expenses as described in Note B of The Peninsula Shopping Center for the year ended December 31, 1996, in conformity with generally accepted accounting principles.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 Angeles, California</w:t>
      </w:r>
    </w:p>
    <w:p>
      <w:pPr>
        <w:spacing w:after="0"/>
        <w:rPr>
          <w:sz w:val="20"/>
          <w:szCs w:val="20"/>
          <w:color w:val="auto"/>
        </w:rPr>
      </w:pPr>
      <w:r>
        <w:rPr>
          <w:rFonts w:ascii="Courier New" w:cs="Courier New" w:eastAsia="Courier New" w:hAnsi="Courier New"/>
          <w:sz w:val="15"/>
          <w:szCs w:val="15"/>
          <w:color w:val="auto"/>
        </w:rPr>
        <w:t>January 22, 1998</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2"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0"/>
        </w:trPr>
        <w:tc>
          <w:tcPr>
            <w:tcW w:w="4840" w:type="dxa"/>
            <w:vAlign w:val="bottom"/>
          </w:tcPr>
          <w:p>
            <w:pPr>
              <w:ind w:left="2200"/>
              <w:spacing w:after="0"/>
              <w:rPr>
                <w:sz w:val="20"/>
                <w:szCs w:val="20"/>
                <w:color w:val="auto"/>
              </w:rPr>
            </w:pPr>
            <w:r>
              <w:rPr>
                <w:rFonts w:ascii="Courier New" w:cs="Courier New" w:eastAsia="Courier New" w:hAnsi="Courier New"/>
                <w:sz w:val="15"/>
                <w:szCs w:val="15"/>
                <w:color w:val="auto"/>
              </w:rPr>
              <w:t>The Peninsula Shopping Center</w:t>
            </w:r>
          </w:p>
        </w:tc>
        <w:tc>
          <w:tcPr>
            <w:tcW w:w="960" w:type="dxa"/>
            <w:vAlign w:val="bottom"/>
          </w:tcPr>
          <w:p>
            <w:pPr>
              <w:spacing w:after="0"/>
              <w:rPr>
                <w:sz w:val="14"/>
                <w:szCs w:val="14"/>
                <w:color w:val="auto"/>
              </w:rPr>
            </w:pPr>
          </w:p>
        </w:tc>
      </w:tr>
      <w:tr>
        <w:trPr>
          <w:trHeight w:val="170"/>
        </w:trPr>
        <w:tc>
          <w:tcPr>
            <w:tcW w:w="5800" w:type="dxa"/>
            <w:vAlign w:val="bottom"/>
            <w:gridSpan w:val="2"/>
          </w:tcPr>
          <w:p>
            <w:pPr>
              <w:jc w:val="center"/>
              <w:ind w:left="1167"/>
              <w:spacing w:after="0"/>
              <w:rPr>
                <w:sz w:val="20"/>
                <w:szCs w:val="20"/>
                <w:color w:val="auto"/>
              </w:rPr>
            </w:pPr>
            <w:r>
              <w:rPr>
                <w:rFonts w:ascii="Courier New" w:cs="Courier New" w:eastAsia="Courier New" w:hAnsi="Courier New"/>
                <w:sz w:val="15"/>
                <w:szCs w:val="15"/>
                <w:color w:val="auto"/>
                <w:w w:val="98"/>
              </w:rPr>
              <w:t>HISTORICAL SUMMARY OF GROSS INCOME AND</w:t>
            </w:r>
          </w:p>
        </w:tc>
      </w:tr>
      <w:tr>
        <w:trPr>
          <w:trHeight w:val="170"/>
        </w:trPr>
        <w:tc>
          <w:tcPr>
            <w:tcW w:w="4840" w:type="dxa"/>
            <w:vAlign w:val="bottom"/>
          </w:tcPr>
          <w:p>
            <w:pPr>
              <w:ind w:left="2380"/>
              <w:spacing w:after="0"/>
              <w:rPr>
                <w:sz w:val="20"/>
                <w:szCs w:val="20"/>
                <w:color w:val="auto"/>
              </w:rPr>
            </w:pPr>
            <w:r>
              <w:rPr>
                <w:rFonts w:ascii="Courier New" w:cs="Courier New" w:eastAsia="Courier New" w:hAnsi="Courier New"/>
                <w:sz w:val="15"/>
                <w:szCs w:val="15"/>
                <w:color w:val="auto"/>
              </w:rPr>
              <w:t>DIRECT OPERATING EXPENSES</w:t>
            </w:r>
          </w:p>
        </w:tc>
        <w:tc>
          <w:tcPr>
            <w:tcW w:w="960" w:type="dxa"/>
            <w:vAlign w:val="bottom"/>
          </w:tcPr>
          <w:p>
            <w:pPr>
              <w:spacing w:after="0"/>
              <w:rPr>
                <w:sz w:val="14"/>
                <w:szCs w:val="14"/>
                <w:color w:val="auto"/>
              </w:rPr>
            </w:pPr>
          </w:p>
        </w:tc>
      </w:tr>
      <w:tr>
        <w:trPr>
          <w:trHeight w:val="339"/>
        </w:trPr>
        <w:tc>
          <w:tcPr>
            <w:tcW w:w="4840" w:type="dxa"/>
            <w:vAlign w:val="bottom"/>
          </w:tcPr>
          <w:p>
            <w:pPr>
              <w:jc w:val="center"/>
              <w:ind w:left="2127"/>
              <w:spacing w:after="0"/>
              <w:rPr>
                <w:sz w:val="20"/>
                <w:szCs w:val="20"/>
                <w:color w:val="auto"/>
              </w:rPr>
            </w:pPr>
            <w:r>
              <w:rPr>
                <w:rFonts w:ascii="Courier New" w:cs="Courier New" w:eastAsia="Courier New" w:hAnsi="Courier New"/>
                <w:sz w:val="15"/>
                <w:szCs w:val="15"/>
                <w:color w:val="auto"/>
                <w:w w:val="98"/>
              </w:rPr>
              <w:t>Year ended December 31, 1996</w:t>
            </w:r>
          </w:p>
        </w:tc>
        <w:tc>
          <w:tcPr>
            <w:tcW w:w="960" w:type="dxa"/>
            <w:vAlign w:val="bottom"/>
          </w:tcPr>
          <w:p>
            <w:pPr>
              <w:spacing w:after="0"/>
              <w:rPr>
                <w:sz w:val="24"/>
                <w:szCs w:val="24"/>
                <w:color w:val="auto"/>
              </w:rPr>
            </w:pPr>
          </w:p>
        </w:tc>
      </w:tr>
      <w:tr>
        <w:trPr>
          <w:trHeight w:val="509"/>
        </w:trPr>
        <w:tc>
          <w:tcPr>
            <w:tcW w:w="4840" w:type="dxa"/>
            <w:vAlign w:val="bottom"/>
          </w:tcPr>
          <w:p>
            <w:pPr>
              <w:spacing w:after="0"/>
              <w:rPr>
                <w:sz w:val="20"/>
                <w:szCs w:val="20"/>
                <w:color w:val="auto"/>
              </w:rPr>
            </w:pPr>
            <w:r>
              <w:rPr>
                <w:rFonts w:ascii="Courier New" w:cs="Courier New" w:eastAsia="Courier New" w:hAnsi="Courier New"/>
                <w:sz w:val="15"/>
                <w:szCs w:val="15"/>
                <w:color w:val="auto"/>
              </w:rPr>
              <w:t>GROSS INCOME</w:t>
            </w:r>
          </w:p>
        </w:tc>
        <w:tc>
          <w:tcPr>
            <w:tcW w:w="96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Base rent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$3,604,952</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Percentage rent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123,759</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Expense recoveries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948,305</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116,319</w:t>
            </w:r>
          </w:p>
        </w:tc>
      </w:tr>
      <w:tr>
        <w:trPr>
          <w:trHeight w:val="170"/>
        </w:trPr>
        <w:tc>
          <w:tcPr>
            <w:tcW w:w="48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ind w:left="1320"/>
              <w:spacing w:after="0"/>
              <w:rPr>
                <w:sz w:val="20"/>
                <w:szCs w:val="20"/>
                <w:color w:val="auto"/>
              </w:rPr>
            </w:pPr>
            <w:r>
              <w:rPr>
                <w:rFonts w:ascii="Courier New" w:cs="Courier New" w:eastAsia="Courier New" w:hAnsi="Courier New"/>
                <w:sz w:val="15"/>
                <w:szCs w:val="15"/>
                <w:color w:val="auto"/>
              </w:rPr>
              <w:t>Total gross income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4,793,335</w:t>
            </w:r>
          </w:p>
        </w:tc>
      </w:tr>
      <w:tr>
        <w:trPr>
          <w:trHeight w:val="339"/>
        </w:trPr>
        <w:tc>
          <w:tcPr>
            <w:tcW w:w="4840" w:type="dxa"/>
            <w:vAlign w:val="bottom"/>
          </w:tcPr>
          <w:p>
            <w:pPr>
              <w:spacing w:after="0"/>
              <w:rPr>
                <w:sz w:val="20"/>
                <w:szCs w:val="20"/>
                <w:color w:val="auto"/>
              </w:rPr>
            </w:pPr>
            <w:r>
              <w:rPr>
                <w:rFonts w:ascii="Courier New" w:cs="Courier New" w:eastAsia="Courier New" w:hAnsi="Courier New"/>
                <w:sz w:val="15"/>
                <w:szCs w:val="15"/>
                <w:color w:val="auto"/>
              </w:rPr>
              <w:t>DIRECT OPERATING EXPENSES</w:t>
            </w:r>
          </w:p>
        </w:tc>
        <w:tc>
          <w:tcPr>
            <w:tcW w:w="960" w:type="dxa"/>
            <w:vAlign w:val="bottom"/>
          </w:tcPr>
          <w:p>
            <w:pPr>
              <w:spacing w:after="0"/>
              <w:rPr>
                <w:sz w:val="24"/>
                <w:szCs w:val="24"/>
                <w:color w:val="auto"/>
              </w:rPr>
            </w:pP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Real property taxes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353,661</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Administrative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206,880</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Maintenance and repairs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200,225</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Utilities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160,848</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Security</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98,165</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Janitorial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82,307</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50,421</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Parking</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49,913</w:t>
            </w:r>
          </w:p>
        </w:tc>
      </w:tr>
      <w:tr>
        <w:trPr>
          <w:trHeight w:val="170"/>
        </w:trPr>
        <w:tc>
          <w:tcPr>
            <w:tcW w:w="484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23,270</w:t>
            </w:r>
          </w:p>
        </w:tc>
      </w:tr>
      <w:tr>
        <w:trPr>
          <w:trHeight w:val="170"/>
        </w:trPr>
        <w:tc>
          <w:tcPr>
            <w:tcW w:w="48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ind w:left="1320"/>
              <w:spacing w:after="0"/>
              <w:rPr>
                <w:sz w:val="20"/>
                <w:szCs w:val="20"/>
                <w:color w:val="auto"/>
              </w:rPr>
            </w:pPr>
            <w:r>
              <w:rPr>
                <w:rFonts w:ascii="Courier New" w:cs="Courier New" w:eastAsia="Courier New" w:hAnsi="Courier New"/>
                <w:sz w:val="15"/>
                <w:szCs w:val="15"/>
                <w:color w:val="auto"/>
              </w:rPr>
              <w:t>Total direct operating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1,225,690</w:t>
            </w:r>
          </w:p>
        </w:tc>
      </w:tr>
      <w:tr>
        <w:trPr>
          <w:trHeight w:val="170"/>
        </w:trPr>
        <w:tc>
          <w:tcPr>
            <w:tcW w:w="48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40" w:type="dxa"/>
            <w:vAlign w:val="bottom"/>
          </w:tcPr>
          <w:p>
            <w:pPr>
              <w:ind w:left="1320"/>
              <w:spacing w:after="0"/>
              <w:rPr>
                <w:sz w:val="20"/>
                <w:szCs w:val="20"/>
                <w:color w:val="auto"/>
              </w:rPr>
            </w:pPr>
            <w:r>
              <w:rPr>
                <w:rFonts w:ascii="Courier New" w:cs="Courier New" w:eastAsia="Courier New" w:hAnsi="Courier New"/>
                <w:sz w:val="15"/>
                <w:szCs w:val="15"/>
                <w:color w:val="auto"/>
              </w:rPr>
              <w:t>Excess of gross income over direct</w:t>
            </w:r>
          </w:p>
        </w:tc>
        <w:tc>
          <w:tcPr>
            <w:tcW w:w="960" w:type="dxa"/>
            <w:vAlign w:val="bottom"/>
          </w:tcPr>
          <w:p>
            <w:pPr>
              <w:spacing w:after="0"/>
              <w:rPr>
                <w:sz w:val="24"/>
                <w:szCs w:val="24"/>
                <w:color w:val="auto"/>
              </w:rPr>
            </w:pPr>
          </w:p>
        </w:tc>
      </w:tr>
      <w:tr>
        <w:trPr>
          <w:trHeight w:val="170"/>
        </w:trPr>
        <w:tc>
          <w:tcPr>
            <w:tcW w:w="4840" w:type="dxa"/>
            <w:vAlign w:val="bottom"/>
          </w:tcPr>
          <w:p>
            <w:pPr>
              <w:ind w:left="1480"/>
              <w:spacing w:after="0"/>
              <w:rPr>
                <w:sz w:val="20"/>
                <w:szCs w:val="20"/>
                <w:color w:val="auto"/>
              </w:rPr>
            </w:pPr>
            <w:r>
              <w:rPr>
                <w:rFonts w:ascii="Courier New" w:cs="Courier New" w:eastAsia="Courier New" w:hAnsi="Courier New"/>
                <w:sz w:val="15"/>
                <w:szCs w:val="15"/>
                <w:color w:val="auto"/>
              </w:rPr>
              <w:t>operating expenses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$3,567,645</w:t>
            </w:r>
          </w:p>
        </w:tc>
      </w:tr>
      <w:tr>
        <w:trPr>
          <w:trHeight w:val="170"/>
        </w:trPr>
        <w:tc>
          <w:tcPr>
            <w:tcW w:w="48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4840" w:type="dxa"/>
            <w:vAlign w:val="bottom"/>
          </w:tcPr>
          <w:p>
            <w:pPr>
              <w:jc w:val="center"/>
              <w:ind w:left="2107"/>
              <w:spacing w:after="0"/>
              <w:rPr>
                <w:sz w:val="20"/>
                <w:szCs w:val="20"/>
                <w:color w:val="auto"/>
              </w:rPr>
            </w:pPr>
            <w:r>
              <w:rPr>
                <w:rFonts w:ascii="Courier New" w:cs="Courier New" w:eastAsia="Courier New" w:hAnsi="Courier New"/>
                <w:sz w:val="15"/>
                <w:szCs w:val="15"/>
                <w:color w:val="auto"/>
                <w:w w:val="99"/>
              </w:rPr>
              <w:t>22</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22" w:name="page23"/>
    <w:bookmarkEnd w:id="22"/>
    <w:p>
      <w:pPr>
        <w:ind w:left="1400"/>
        <w:spacing w:after="0"/>
        <w:rPr>
          <w:sz w:val="20"/>
          <w:szCs w:val="20"/>
          <w:color w:val="auto"/>
        </w:rPr>
      </w:pPr>
      <w:r>
        <w:rPr>
          <w:rFonts w:ascii="Courier New" w:cs="Courier New" w:eastAsia="Courier New" w:hAnsi="Courier New"/>
          <w:sz w:val="15"/>
          <w:szCs w:val="15"/>
          <w:color w:val="auto"/>
        </w:rPr>
        <w:t>NOTES TO HISTORICAL SUMMARY OF GROSS INCOME AND</w:t>
      </w:r>
    </w:p>
    <w:p>
      <w:pPr>
        <w:ind w:left="1400"/>
        <w:spacing w:after="0"/>
        <w:rPr>
          <w:sz w:val="20"/>
          <w:szCs w:val="20"/>
          <w:color w:val="auto"/>
        </w:rPr>
      </w:pPr>
      <w:r>
        <w:rPr>
          <w:rFonts w:ascii="Courier New" w:cs="Courier New" w:eastAsia="Courier New" w:hAnsi="Courier New"/>
          <w:sz w:val="15"/>
          <w:szCs w:val="15"/>
          <w:color w:val="auto"/>
        </w:rPr>
        <w:t>-----------------------------------------------</w:t>
      </w:r>
    </w:p>
    <w:p>
      <w:pPr>
        <w:ind w:left="2380"/>
        <w:spacing w:after="0"/>
        <w:rPr>
          <w:sz w:val="20"/>
          <w:szCs w:val="20"/>
          <w:color w:val="auto"/>
        </w:rPr>
      </w:pPr>
      <w:r>
        <w:rPr>
          <w:rFonts w:ascii="Courier New" w:cs="Courier New" w:eastAsia="Courier New" w:hAnsi="Courier New"/>
          <w:sz w:val="15"/>
          <w:szCs w:val="15"/>
          <w:color w:val="auto"/>
        </w:rPr>
        <w:t>DIRECT OPERATING EXPENSES</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NATURE OF BUSINESS</w:t>
      </w:r>
    </w:p>
    <w:p>
      <w:pPr>
        <w:spacing w:after="0" w:line="175" w:lineRule="exact"/>
        <w:rPr>
          <w:sz w:val="20"/>
          <w:szCs w:val="20"/>
          <w:color w:val="auto"/>
        </w:rPr>
      </w:pPr>
    </w:p>
    <w:p>
      <w:pPr>
        <w:ind w:left="440" w:right="3359"/>
        <w:spacing w:after="0" w:line="260" w:lineRule="auto"/>
        <w:rPr>
          <w:sz w:val="20"/>
          <w:szCs w:val="20"/>
          <w:color w:val="auto"/>
        </w:rPr>
      </w:pPr>
      <w:r>
        <w:rPr>
          <w:rFonts w:ascii="Courier New" w:cs="Courier New" w:eastAsia="Courier New" w:hAnsi="Courier New"/>
          <w:sz w:val="14"/>
          <w:szCs w:val="14"/>
          <w:color w:val="auto"/>
        </w:rPr>
        <w:t>The Peninsula Shopping Center (the "Center") is located on Palos Verdes Peninsula in Palos Verdes, California. The Center consists of a retail shopping center with approximately 295,000 square feet of rentable space.</w:t>
      </w:r>
    </w:p>
    <w:p>
      <w:pPr>
        <w:spacing w:after="0" w:line="163"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The Center's activities consist of the leasing and operation of the shopping center. Expense recoveries represent property operating expenses billed to the tenants, including common area maintenance, real estate taxes and other recoverable costs. Expense recoveries are recognized in the period the expenses are incurred. All leases are classified as operating leases and expire at various times through 2007.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SUMMARY OF ACCOUNTING POLICIES</w:t>
      </w:r>
    </w:p>
    <w:p>
      <w:pPr>
        <w:spacing w:after="0" w:line="175" w:lineRule="exact"/>
        <w:rPr>
          <w:sz w:val="20"/>
          <w:szCs w:val="20"/>
          <w:color w:val="auto"/>
        </w:rPr>
      </w:pPr>
    </w:p>
    <w:p>
      <w:pPr>
        <w:jc w:val="both"/>
        <w:ind w:left="440" w:right="3259"/>
        <w:spacing w:after="0" w:line="237" w:lineRule="auto"/>
        <w:rPr>
          <w:sz w:val="20"/>
          <w:szCs w:val="20"/>
          <w:color w:val="auto"/>
        </w:rPr>
      </w:pPr>
      <w:r>
        <w:rPr>
          <w:rFonts w:ascii="Courier New" w:cs="Courier New" w:eastAsia="Courier New" w:hAnsi="Courier New"/>
          <w:sz w:val="15"/>
          <w:szCs w:val="15"/>
          <w:color w:val="auto"/>
        </w:rPr>
        <w:t>The following is a summary of the Center's significant accounting policies applied in the preparation of the accompanying Historical Summary of Gross Income and Direct Operating Expenses.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Basis of Presentation</w:t>
      </w:r>
    </w:p>
    <w:p>
      <w:pPr>
        <w:ind w:left="4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179"/>
        <w:spacing w:after="0" w:line="238" w:lineRule="auto"/>
        <w:rPr>
          <w:sz w:val="20"/>
          <w:szCs w:val="20"/>
          <w:color w:val="auto"/>
        </w:rPr>
      </w:pPr>
      <w:r>
        <w:rPr>
          <w:rFonts w:ascii="Courier New" w:cs="Courier New" w:eastAsia="Courier New" w:hAnsi="Courier New"/>
          <w:sz w:val="15"/>
          <w:szCs w:val="15"/>
          <w:color w:val="auto"/>
        </w:rPr>
        <w:t>Federal Realty Investment Trust purchased the Center on December 19, 1997. The Historical Summary of Gross Income and Direct Operating Expenses has been prepared for the purpose of complying with Regulation S-X, Rule 3-14 of the Securities and Exchange Commission ("SEC"), which requires certain information with respect to real estate operations acquired to be included with certain filings with the SEC. The Historical Summary includes the historical gross income and direct operating expenses of the Center, exclusive of certain items of income and expense which are not comparable to the proposed future operations of the Center. Upon the purchase of the Center, Federal Realty Investment Trust began operating the shopping center under its policies and procedures. The excluded income and expense items are as follows:</w:t>
      </w:r>
    </w:p>
    <w:p>
      <w:pPr>
        <w:spacing w:after="0" w:line="176" w:lineRule="exact"/>
        <w:rPr>
          <w:sz w:val="20"/>
          <w:szCs w:val="20"/>
          <w:color w:val="auto"/>
        </w:rPr>
      </w:pPr>
    </w:p>
    <w:p>
      <w:pPr>
        <w:ind w:left="1220" w:hanging="348"/>
        <w:spacing w:after="0"/>
        <w:tabs>
          <w:tab w:leader="none" w:pos="12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of property and equipment</w:t>
      </w:r>
    </w:p>
    <w:p>
      <w:pPr>
        <w:ind w:left="1220" w:hanging="348"/>
        <w:spacing w:after="0"/>
        <w:tabs>
          <w:tab w:leader="none" w:pos="12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fees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ind w:left="4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179"/>
        <w:spacing w:after="0" w:line="237" w:lineRule="auto"/>
        <w:rPr>
          <w:sz w:val="20"/>
          <w:szCs w:val="20"/>
          <w:color w:val="auto"/>
        </w:rPr>
      </w:pPr>
      <w:r>
        <w:rPr>
          <w:rFonts w:ascii="Courier New" w:cs="Courier New" w:eastAsia="Courier New" w:hAnsi="Courier New"/>
          <w:sz w:val="15"/>
          <w:szCs w:val="15"/>
          <w:color w:val="auto"/>
        </w:rPr>
        <w:t>Lease revenue is recognized over the lease term on a straight-line basis as it is earned. Revenue from reimbursement by tenants, of costs incurred on their behalf, is recognized when the expenses are incurred. These expenses include property taxes and common area maintenance costs.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Estimates</w:t>
      </w:r>
    </w:p>
    <w:p>
      <w:pPr>
        <w:ind w:left="4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right="3539"/>
        <w:spacing w:after="0" w:line="237" w:lineRule="auto"/>
        <w:rPr>
          <w:sz w:val="20"/>
          <w:szCs w:val="20"/>
          <w:color w:val="auto"/>
        </w:rPr>
      </w:pPr>
      <w:r>
        <w:rPr>
          <w:rFonts w:ascii="Courier New" w:cs="Courier New" w:eastAsia="Courier New" w:hAnsi="Courier New"/>
          <w:sz w:val="15"/>
          <w:szCs w:val="15"/>
          <w:color w:val="auto"/>
        </w:rPr>
        <w:t>In preparing the Center's Historical Summary of Gross Income and Direct Operating Expenses, management is required to make estimates and assumptions that affect the reported amounts of revenues and expenses during the reporting period. Actual results could differ from those estimates.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2" w:right="1440" w:bottom="1440" w:gutter="0" w:footer="0" w:header="0"/>
        </w:sectPr>
      </w:pPr>
    </w:p>
    <w:bookmarkStart w:id="23" w:name="page24"/>
    <w:bookmarkEnd w:id="23"/>
    <w:p>
      <w:pPr>
        <w:jc w:val="center"/>
        <w:ind w:right="455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4550"/>
        <w:spacing w:after="0"/>
        <w:rPr>
          <w:sz w:val="20"/>
          <w:szCs w:val="20"/>
          <w:color w:val="auto"/>
        </w:rPr>
      </w:pPr>
      <w:r>
        <w:rPr>
          <w:rFonts w:ascii="Courier New" w:cs="Courier New" w:eastAsia="Courier New" w:hAnsi="Courier New"/>
          <w:sz w:val="15"/>
          <w:szCs w:val="15"/>
          <w:color w:val="auto"/>
        </w:rPr>
        <w:t>Pro Forma Balance Sheet</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September 30, 1997</w:t>
      </w:r>
    </w:p>
    <w:p>
      <w:pPr>
        <w:spacing w:after="0" w:line="169"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6120" w:type="dxa"/>
            <w:vAlign w:val="bottom"/>
          </w:tcPr>
          <w:p>
            <w:pPr>
              <w:ind w:left="2480"/>
              <w:spacing w:after="0"/>
              <w:rPr>
                <w:sz w:val="20"/>
                <w:szCs w:val="20"/>
                <w:color w:val="auto"/>
              </w:rPr>
            </w:pPr>
            <w:r>
              <w:rPr>
                <w:rFonts w:ascii="Courier New" w:cs="Courier New" w:eastAsia="Courier New" w:hAnsi="Courier New"/>
                <w:sz w:val="15"/>
                <w:szCs w:val="15"/>
                <w:color w:val="auto"/>
              </w:rPr>
              <w:t>(in thousands)</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848"/>
        </w:trPr>
        <w:tc>
          <w:tcPr>
            <w:tcW w:w="6120" w:type="dxa"/>
            <w:vAlign w:val="bottom"/>
          </w:tcPr>
          <w:p>
            <w:pPr>
              <w:spacing w:after="0"/>
              <w:rPr>
                <w:sz w:val="24"/>
                <w:szCs w:val="24"/>
                <w:color w:val="auto"/>
              </w:rPr>
            </w:pPr>
          </w:p>
        </w:tc>
        <w:tc>
          <w:tcPr>
            <w:tcW w:w="5060" w:type="dxa"/>
            <w:vAlign w:val="bottom"/>
            <w:gridSpan w:val="5"/>
          </w:tcPr>
          <w:p>
            <w:pPr>
              <w:jc w:val="right"/>
              <w:ind w:right="787"/>
              <w:spacing w:after="0"/>
              <w:rPr>
                <w:sz w:val="20"/>
                <w:szCs w:val="20"/>
                <w:color w:val="auto"/>
              </w:rPr>
            </w:pPr>
            <w:r>
              <w:rPr>
                <w:rFonts w:ascii="Courier New" w:cs="Courier New" w:eastAsia="Courier New" w:hAnsi="Courier New"/>
                <w:sz w:val="15"/>
                <w:szCs w:val="15"/>
                <w:color w:val="auto"/>
              </w:rPr>
              <w:t>Acquired Properties Pro Forma Adjustments</w:t>
            </w:r>
          </w:p>
        </w:tc>
      </w:tr>
      <w:tr>
        <w:trPr>
          <w:trHeight w:val="170"/>
        </w:trPr>
        <w:tc>
          <w:tcPr>
            <w:tcW w:w="6120" w:type="dxa"/>
            <w:vAlign w:val="bottom"/>
          </w:tcPr>
          <w:p>
            <w:pPr>
              <w:spacing w:after="0"/>
              <w:rPr>
                <w:sz w:val="14"/>
                <w:szCs w:val="14"/>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Trust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Proforma</w:t>
            </w:r>
          </w:p>
        </w:tc>
      </w:tr>
      <w:tr>
        <w:trPr>
          <w:trHeight w:val="170"/>
        </w:trPr>
        <w:tc>
          <w:tcPr>
            <w:tcW w:w="6120" w:type="dxa"/>
            <w:vAlign w:val="bottom"/>
          </w:tcPr>
          <w:p>
            <w:pPr>
              <w:spacing w:after="0"/>
              <w:rPr>
                <w:sz w:val="14"/>
                <w:szCs w:val="14"/>
                <w:color w:val="auto"/>
              </w:rPr>
            </w:pPr>
          </w:p>
        </w:tc>
        <w:tc>
          <w:tcPr>
            <w:tcW w:w="1560" w:type="dxa"/>
            <w:vAlign w:val="bottom"/>
          </w:tcPr>
          <w:p>
            <w:pPr>
              <w:ind w:left="500"/>
              <w:spacing w:after="0"/>
              <w:rPr>
                <w:sz w:val="20"/>
                <w:szCs w:val="20"/>
                <w:color w:val="auto"/>
              </w:rPr>
            </w:pPr>
            <w:r>
              <w:rPr>
                <w:rFonts w:ascii="Courier New" w:cs="Courier New" w:eastAsia="Courier New" w:hAnsi="Courier New"/>
                <w:sz w:val="15"/>
                <w:szCs w:val="15"/>
                <w:color w:val="auto"/>
              </w:rPr>
              <w:t>Actual</w:t>
            </w:r>
          </w:p>
        </w:tc>
        <w:tc>
          <w:tcPr>
            <w:tcW w:w="260" w:type="dxa"/>
            <w:vAlign w:val="bottom"/>
          </w:tcPr>
          <w:p>
            <w:pPr>
              <w:spacing w:after="0"/>
              <w:rPr>
                <w:sz w:val="14"/>
                <w:szCs w:val="14"/>
                <w:color w:val="auto"/>
              </w:rPr>
            </w:pPr>
          </w:p>
        </w:tc>
        <w:tc>
          <w:tcPr>
            <w:tcW w:w="11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3"/>
              </w:rPr>
              <w:t>Debit</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Credit</w:t>
            </w:r>
          </w:p>
        </w:tc>
        <w:tc>
          <w:tcPr>
            <w:tcW w:w="11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Combined</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Real estate, at cost</w:t>
            </w:r>
          </w:p>
        </w:tc>
        <w:tc>
          <w:tcPr>
            <w:tcW w:w="30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$1,299,321 (1) 141,615</w:t>
            </w: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$1,440,936</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(238,815)</w:t>
            </w:r>
          </w:p>
        </w:tc>
        <w:tc>
          <w:tcPr>
            <w:tcW w:w="26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(240,189)</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1,060,506</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1,200,747</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Mortgage notes receivable</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38,256</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38,256</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1,098,762</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1,239,003</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4,687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2,845</w:t>
            </w: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7,532</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Notes receivable - officers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1,190</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1,190</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15,923</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15,923</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assets, principally</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property taxes and lease commissions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32,207</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32,207</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Debt issue costs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3,535</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3,535</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$1,156,304</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$1,299,390</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Obligations under capital leases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126,153</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126,153</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Mortgages payable</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96,007</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96,007</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Notes payable (Note 1)</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69,555</w:t>
            </w:r>
          </w:p>
        </w:tc>
        <w:tc>
          <w:tcPr>
            <w:tcW w:w="26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129,315</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198,870</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17,838</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17,838</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7,104</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7,104</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Dividends payable</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16,811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16,811</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Security deposits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3,859</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3,859</w:t>
            </w: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Prepaid rents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3,137</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3,137</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Senior notes and debentures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255,000</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255,000</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5.25% Convertible subordinated debentures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75,289</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75,289</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Investors interest in consolidated assets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21,246</w:t>
            </w:r>
          </w:p>
        </w:tc>
        <w:tc>
          <w:tcPr>
            <w:tcW w:w="26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12,300</w:t>
            </w: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33,546</w:t>
            </w:r>
          </w:p>
        </w:tc>
      </w:tr>
      <w:tr>
        <w:trPr>
          <w:trHeight w:val="170"/>
        </w:trPr>
        <w:tc>
          <w:tcPr>
            <w:tcW w:w="612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1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Common shares of beneficial interest, no par or stated value,</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unlimited authorization, issued 39,167,656 shares</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687,324</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687,324</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(214,483)</w:t>
            </w:r>
          </w:p>
        </w:tc>
        <w:tc>
          <w:tcPr>
            <w:tcW w:w="260" w:type="dxa"/>
            <w:vAlign w:val="bottom"/>
          </w:tcPr>
          <w:p>
            <w:pPr>
              <w:spacing w:after="0"/>
              <w:rPr>
                <w:sz w:val="14"/>
                <w:szCs w:val="14"/>
                <w:color w:val="auto"/>
              </w:rPr>
            </w:pP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w:t>
            </w:r>
          </w:p>
        </w:tc>
        <w:tc>
          <w:tcPr>
            <w:tcW w:w="9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1,471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(213,012)</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472,841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474,312</w:t>
            </w:r>
          </w:p>
        </w:tc>
      </w:tr>
      <w:tr>
        <w:trPr>
          <w:trHeight w:val="170"/>
        </w:trPr>
        <w:tc>
          <w:tcPr>
            <w:tcW w:w="6120" w:type="dxa"/>
            <w:vAlign w:val="bottom"/>
          </w:tcPr>
          <w:p>
            <w:pPr>
              <w:ind w:left="260"/>
              <w:spacing w:after="0"/>
              <w:rPr>
                <w:sz w:val="20"/>
                <w:szCs w:val="20"/>
                <w:color w:val="auto"/>
              </w:rPr>
            </w:pPr>
            <w:r>
              <w:rPr>
                <w:rFonts w:ascii="Courier New" w:cs="Courier New" w:eastAsia="Courier New" w:hAnsi="Courier New"/>
                <w:sz w:val="15"/>
                <w:szCs w:val="15"/>
                <w:color w:val="auto"/>
              </w:rPr>
              <w:t>Less 62,386 common shares in treasury - at cost, deferred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0"/>
        </w:trPr>
        <w:tc>
          <w:tcPr>
            <w:tcW w:w="6120" w:type="dxa"/>
            <w:vAlign w:val="bottom"/>
          </w:tcPr>
          <w:p>
            <w:pPr>
              <w:ind w:left="440"/>
              <w:spacing w:after="0"/>
              <w:rPr>
                <w:sz w:val="20"/>
                <w:szCs w:val="20"/>
                <w:color w:val="auto"/>
              </w:rPr>
            </w:pPr>
            <w:r>
              <w:rPr>
                <w:rFonts w:ascii="Courier New" w:cs="Courier New" w:eastAsia="Courier New" w:hAnsi="Courier New"/>
                <w:sz w:val="15"/>
                <w:szCs w:val="15"/>
                <w:color w:val="auto"/>
              </w:rPr>
              <w:t>compensation and subscriptions receivable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(8,536)</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(8,536)</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464,305</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465,776</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$1,156,304</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$1,299,390</w:t>
            </w:r>
          </w:p>
        </w:tc>
      </w:tr>
      <w:tr>
        <w:trPr>
          <w:trHeight w:val="170"/>
        </w:trPr>
        <w:tc>
          <w:tcPr>
            <w:tcW w:w="6120" w:type="dxa"/>
            <w:vAlign w:val="bottom"/>
          </w:tcPr>
          <w:p>
            <w:pPr>
              <w:spacing w:after="0"/>
              <w:rPr>
                <w:sz w:val="14"/>
                <w:szCs w:val="14"/>
                <w:color w:val="auto"/>
              </w:rPr>
            </w:pP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4480" w:firstLine="441"/>
        <w:spacing w:after="0" w:line="237" w:lineRule="auto"/>
        <w:rPr>
          <w:sz w:val="20"/>
          <w:szCs w:val="20"/>
          <w:color w:val="auto"/>
        </w:rPr>
      </w:pPr>
      <w:r>
        <w:rPr>
          <w:rFonts w:ascii="Courier New" w:cs="Courier New" w:eastAsia="Courier New" w:hAnsi="Courier New"/>
          <w:sz w:val="15"/>
          <w:szCs w:val="15"/>
          <w:color w:val="auto"/>
        </w:rPr>
        <w:t>The Pro Forma Balance Sheet of the Trust gives effect to the acquisition of the Acquired Properties as though they were acquired at the beginning of the period presented.</w:t>
      </w:r>
    </w:p>
    <w:p>
      <w:pPr>
        <w:spacing w:after="0" w:line="175" w:lineRule="exact"/>
        <w:rPr>
          <w:sz w:val="20"/>
          <w:szCs w:val="20"/>
          <w:color w:val="auto"/>
        </w:rPr>
      </w:pPr>
    </w:p>
    <w:p>
      <w:pPr>
        <w:jc w:val="center"/>
        <w:ind w:left="530" w:right="5000" w:hanging="530"/>
        <w:spacing w:after="0" w:line="256" w:lineRule="auto"/>
        <w:tabs>
          <w:tab w:leader="none" w:pos="44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acquisition cost of the properties funded by the Trust's revolving credit facilities and minority shareholder contributions.</w:t>
      </w: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net income from the acquired properties.</w:t>
      </w:r>
    </w:p>
    <w:p>
      <w:pPr>
        <w:spacing w:after="0" w:line="344" w:lineRule="exact"/>
        <w:rPr>
          <w:sz w:val="20"/>
          <w:szCs w:val="20"/>
          <w:color w:val="auto"/>
        </w:rPr>
      </w:pPr>
    </w:p>
    <w:p>
      <w:pPr>
        <w:ind w:left="530" w:right="4480" w:hanging="87"/>
        <w:spacing w:after="0" w:line="237" w:lineRule="auto"/>
        <w:rPr>
          <w:sz w:val="20"/>
          <w:szCs w:val="20"/>
          <w:color w:val="auto"/>
        </w:rPr>
      </w:pPr>
      <w:r>
        <w:rPr>
          <w:rFonts w:ascii="Courier New" w:cs="Courier New" w:eastAsia="Courier New" w:hAnsi="Courier New"/>
          <w:sz w:val="15"/>
          <w:szCs w:val="15"/>
          <w:color w:val="auto"/>
        </w:rPr>
        <w:t>Note 1 - $100 million of Preferred shares were issued on October 6,1997. The proceeds from the issuance were used to pay down the outstanding lines of credit.</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1530"/>
          </w:cols>
          <w:pgMar w:left="230" w:top="791" w:right="139" w:bottom="1440" w:gutter="0" w:footer="0" w:header="0"/>
        </w:sectPr>
      </w:pPr>
    </w:p>
    <w:bookmarkStart w:id="24" w:name="page25"/>
    <w:bookmarkEnd w:id="24"/>
    <w:p>
      <w:pPr>
        <w:jc w:val="center"/>
        <w:ind w:right="395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3950"/>
        <w:spacing w:after="0"/>
        <w:rPr>
          <w:sz w:val="20"/>
          <w:szCs w:val="20"/>
          <w:color w:val="auto"/>
        </w:rPr>
      </w:pPr>
      <w:r>
        <w:rPr>
          <w:rFonts w:ascii="Courier New" w:cs="Courier New" w:eastAsia="Courier New" w:hAnsi="Courier New"/>
          <w:sz w:val="15"/>
          <w:szCs w:val="15"/>
          <w:color w:val="auto"/>
        </w:rPr>
        <w:t>Pro Forma Condensed Statement of Operations</w:t>
      </w:r>
    </w:p>
    <w:p>
      <w:pPr>
        <w:spacing w:after="0" w:line="169"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2210"/>
        <w:spacing w:after="0"/>
        <w:rPr>
          <w:sz w:val="20"/>
          <w:szCs w:val="20"/>
          <w:color w:val="auto"/>
        </w:rPr>
      </w:pPr>
      <w:r>
        <w:rPr>
          <w:rFonts w:ascii="Courier New" w:cs="Courier New" w:eastAsia="Courier New" w:hAnsi="Courier New"/>
          <w:sz w:val="15"/>
          <w:szCs w:val="15"/>
          <w:color w:val="auto"/>
        </w:rPr>
        <w:t>Year ended December 31, 1996</w:t>
      </w:r>
    </w:p>
    <w:tbl>
      <w:tblPr>
        <w:tblLayout w:type="fixed"/>
        <w:tblInd w:w="350" w:type="dxa"/>
        <w:tblCellMar>
          <w:top w:w="0" w:type="dxa"/>
          <w:left w:w="0" w:type="dxa"/>
          <w:bottom w:w="0" w:type="dxa"/>
          <w:right w:w="0" w:type="dxa"/>
        </w:tblCellMar>
      </w:tblPr>
      <w:tr>
        <w:trPr>
          <w:trHeight w:val="170"/>
        </w:trPr>
        <w:tc>
          <w:tcPr>
            <w:tcW w:w="5080" w:type="dxa"/>
            <w:vAlign w:val="bottom"/>
            <w:gridSpan w:val="3"/>
          </w:tcPr>
          <w:p>
            <w:pPr>
              <w:jc w:val="right"/>
              <w:ind w:right="247"/>
              <w:spacing w:after="0"/>
              <w:rPr>
                <w:sz w:val="20"/>
                <w:szCs w:val="20"/>
                <w:color w:val="auto"/>
              </w:rPr>
            </w:pPr>
            <w:r>
              <w:rPr>
                <w:rFonts w:ascii="Courier New" w:cs="Courier New" w:eastAsia="Courier New" w:hAnsi="Courier New"/>
                <w:sz w:val="15"/>
                <w:szCs w:val="15"/>
                <w:color w:val="auto"/>
              </w:rPr>
              <w:t>(in thousands, except per share data)</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8"/>
        </w:trPr>
        <w:tc>
          <w:tcPr>
            <w:tcW w:w="3920" w:type="dxa"/>
            <w:vAlign w:val="bottom"/>
          </w:tcPr>
          <w:p>
            <w:pPr>
              <w:spacing w:after="0"/>
              <w:rPr>
                <w:sz w:val="24"/>
                <w:szCs w:val="24"/>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Trust</w:t>
            </w:r>
          </w:p>
        </w:tc>
        <w:tc>
          <w:tcPr>
            <w:tcW w:w="10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Acquired</w:t>
            </w:r>
          </w:p>
        </w:tc>
        <w:tc>
          <w:tcPr>
            <w:tcW w:w="400" w:type="dxa"/>
            <w:vAlign w:val="bottom"/>
          </w:tcPr>
          <w:p>
            <w:pPr>
              <w:spacing w:after="0"/>
              <w:rPr>
                <w:sz w:val="24"/>
                <w:szCs w:val="24"/>
                <w:color w:val="auto"/>
              </w:rPr>
            </w:pPr>
          </w:p>
        </w:tc>
        <w:tc>
          <w:tcPr>
            <w:tcW w:w="28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Pro Forma Adjustments</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Proforma</w:t>
            </w:r>
          </w:p>
        </w:tc>
      </w:tr>
      <w:tr>
        <w:trPr>
          <w:trHeight w:val="170"/>
        </w:trPr>
        <w:tc>
          <w:tcPr>
            <w:tcW w:w="392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Actual</w:t>
            </w:r>
          </w:p>
        </w:tc>
        <w:tc>
          <w:tcPr>
            <w:tcW w:w="14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Properties</w:t>
            </w:r>
          </w:p>
        </w:tc>
        <w:tc>
          <w:tcPr>
            <w:tcW w:w="1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Debit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Credit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Actual</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Rental income</w:t>
            </w: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$164,887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$19,287</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$184,174</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Other income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9,816</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251</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10,067</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4,352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4,352</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179,055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19,538</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198,593</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45,555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w:t>
            </w:r>
          </w:p>
        </w:tc>
        <w:tc>
          <w:tcPr>
            <w:tcW w:w="14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9,050</w:t>
            </w: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54,605</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38,154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(1)</w:t>
            </w:r>
          </w:p>
        </w:tc>
        <w:tc>
          <w:tcPr>
            <w:tcW w:w="14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1,833</w:t>
            </w: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39,987</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expenses</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9,100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w:t>
            </w:r>
          </w:p>
        </w:tc>
        <w:tc>
          <w:tcPr>
            <w:tcW w:w="40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111</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9,100</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57,098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6,621</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63,719</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149,907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6,732</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167,411</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before investors share of operations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and loss on sale of real estate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29,148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12,806</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31,182</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Investors' share of operations</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(394)</w:t>
            </w:r>
          </w:p>
        </w:tc>
        <w:tc>
          <w:tcPr>
            <w:tcW w:w="1000" w:type="dxa"/>
            <w:vAlign w:val="bottom"/>
          </w:tcPr>
          <w:p>
            <w:pPr>
              <w:spacing w:after="0"/>
              <w:rPr>
                <w:sz w:val="14"/>
                <w:szCs w:val="14"/>
                <w:color w:val="auto"/>
              </w:rPr>
            </w:pP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(794)</w:t>
            </w: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(1,188)</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before loss on sale of real estate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28,754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12,806</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29,994</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real estate</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$ 28,742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$12,806</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$ 29,982</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20" w:type="dxa"/>
            <w:vAlign w:val="bottom"/>
          </w:tcPr>
          <w:p>
            <w:pPr>
              <w:spacing w:after="0"/>
              <w:rPr>
                <w:sz w:val="24"/>
                <w:szCs w:val="2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33,573</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33,573</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Income before loss on sale of real estate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0.86</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0.89</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real estate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0.86</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0.89</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4060" w:firstLine="441"/>
        <w:spacing w:after="0" w:line="237" w:lineRule="auto"/>
        <w:rPr>
          <w:sz w:val="20"/>
          <w:szCs w:val="20"/>
          <w:color w:val="auto"/>
        </w:rPr>
      </w:pPr>
      <w:r>
        <w:rPr>
          <w:rFonts w:ascii="Courier New" w:cs="Courier New" w:eastAsia="Courier New" w:hAnsi="Courier New"/>
          <w:sz w:val="15"/>
          <w:szCs w:val="15"/>
          <w:color w:val="auto"/>
        </w:rPr>
        <w:t>The Pro Forma Condensed Statement of Operations of the Trust gives effect to the acquisition of the Acquired Properties as though they were acquired at the beginning of the period presented.</w:t>
      </w:r>
    </w:p>
    <w:p>
      <w:pPr>
        <w:spacing w:after="0" w:line="344" w:lineRule="exact"/>
        <w:rPr>
          <w:sz w:val="20"/>
          <w:szCs w:val="20"/>
          <w:color w:val="auto"/>
        </w:rPr>
      </w:pPr>
    </w:p>
    <w:p>
      <w:pPr>
        <w:ind w:left="450" w:right="3880" w:hanging="450"/>
        <w:spacing w:after="0" w:line="237"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depreciation based on the book value of the depreciable real estate purchased, as if the Acquired Properties were purchased at the beginning of the period.</w:t>
      </w:r>
    </w:p>
    <w:p>
      <w:pPr>
        <w:spacing w:after="0" w:line="5" w:lineRule="exact"/>
        <w:rPr>
          <w:rFonts w:ascii="Courier New" w:cs="Courier New" w:eastAsia="Courier New" w:hAnsi="Courier New"/>
          <w:sz w:val="15"/>
          <w:szCs w:val="15"/>
          <w:color w:val="auto"/>
        </w:rPr>
      </w:pPr>
    </w:p>
    <w:p>
      <w:pPr>
        <w:ind w:left="450" w:right="3880" w:hanging="450"/>
        <w:spacing w:after="0" w:line="237"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interest expense on the Trust's revolving credit facilities as if the Acquired Properties were purchased at the beginning of the period.</w:t>
      </w:r>
    </w:p>
    <w:p>
      <w:pPr>
        <w:spacing w:after="0" w:line="5" w:lineRule="exact"/>
        <w:rPr>
          <w:rFonts w:ascii="Courier New" w:cs="Courier New" w:eastAsia="Courier New" w:hAnsi="Courier New"/>
          <w:sz w:val="15"/>
          <w:szCs w:val="15"/>
          <w:color w:val="auto"/>
        </w:rPr>
      </w:pPr>
    </w:p>
    <w:p>
      <w:pPr>
        <w:ind w:left="450" w:right="4320" w:hanging="450"/>
        <w:spacing w:after="0" w:line="235" w:lineRule="auto"/>
        <w:tabs>
          <w:tab w:leader="none" w:pos="4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administrative expense of prior owners of 150 Post Street which is not comparable to future operations of the Trust.</w:t>
      </w:r>
    </w:p>
    <w:p>
      <w:pPr>
        <w:spacing w:after="0" w:line="6" w:lineRule="exact"/>
        <w:rPr>
          <w:rFonts w:ascii="Courier New" w:cs="Courier New" w:eastAsia="Courier New" w:hAnsi="Courier New"/>
          <w:sz w:val="15"/>
          <w:szCs w:val="15"/>
          <w:color w:val="auto"/>
        </w:rPr>
      </w:pPr>
    </w:p>
    <w:p>
      <w:pPr>
        <w:ind w:left="610" w:right="3960" w:hanging="610"/>
        <w:spacing w:after="0" w:line="235" w:lineRule="auto"/>
        <w:tabs>
          <w:tab w:leader="none" w:pos="433"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earnings attributable to minority interests, as if the Acquired Properties were purchased at the beginning of the period.</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930"/>
          </w:cols>
          <w:pgMar w:left="230" w:top="791" w:right="739" w:bottom="1440" w:gutter="0" w:footer="0" w:header="0"/>
        </w:sectPr>
      </w:pPr>
    </w:p>
    <w:bookmarkStart w:id="25" w:name="page26"/>
    <w:bookmarkEnd w:id="25"/>
    <w:p>
      <w:pPr>
        <w:jc w:val="center"/>
        <w:ind w:right="395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9" w:lineRule="exact"/>
        <w:rPr>
          <w:sz w:val="20"/>
          <w:szCs w:val="20"/>
          <w:color w:val="auto"/>
        </w:rPr>
      </w:pPr>
    </w:p>
    <w:p>
      <w:pPr>
        <w:jc w:val="center"/>
        <w:ind w:right="3950"/>
        <w:spacing w:after="0"/>
        <w:rPr>
          <w:sz w:val="20"/>
          <w:szCs w:val="20"/>
          <w:color w:val="auto"/>
        </w:rPr>
      </w:pPr>
      <w:r>
        <w:rPr>
          <w:rFonts w:ascii="Courier New" w:cs="Courier New" w:eastAsia="Courier New" w:hAnsi="Courier New"/>
          <w:sz w:val="15"/>
          <w:szCs w:val="15"/>
          <w:color w:val="auto"/>
        </w:rPr>
        <w:t>Pro Forma Condensed Statement of Operations</w:t>
      </w:r>
    </w:p>
    <w:p>
      <w:pPr>
        <w:spacing w:after="0" w:line="169" w:lineRule="exact"/>
        <w:rPr>
          <w:sz w:val="20"/>
          <w:szCs w:val="20"/>
          <w:color w:val="auto"/>
        </w:rPr>
      </w:pPr>
    </w:p>
    <w:p>
      <w:pPr>
        <w:jc w:val="center"/>
        <w:ind w:right="395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Nine Months ended September 30, 1997</w:t>
      </w:r>
    </w:p>
    <w:p>
      <w:pPr>
        <w:ind w:left="185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35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Trust</w:t>
            </w:r>
          </w:p>
        </w:tc>
        <w:tc>
          <w:tcPr>
            <w:tcW w:w="10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Acquired</w:t>
            </w:r>
          </w:p>
        </w:tc>
        <w:tc>
          <w:tcPr>
            <w:tcW w:w="400" w:type="dxa"/>
            <w:vAlign w:val="bottom"/>
          </w:tcPr>
          <w:p>
            <w:pPr>
              <w:spacing w:after="0"/>
              <w:rPr>
                <w:sz w:val="14"/>
                <w:szCs w:val="14"/>
                <w:color w:val="auto"/>
              </w:rPr>
            </w:pPr>
          </w:p>
        </w:tc>
        <w:tc>
          <w:tcPr>
            <w:tcW w:w="282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Pro Forma Adjustments</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Proforma</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Actual</w:t>
            </w:r>
          </w:p>
        </w:tc>
        <w:tc>
          <w:tcPr>
            <w:tcW w:w="1400" w:type="dxa"/>
            <w:vAlign w:val="bottom"/>
            <w:gridSpan w:val="2"/>
          </w:tcPr>
          <w:p>
            <w:pPr>
              <w:jc w:val="center"/>
              <w:ind w:right="7"/>
              <w:spacing w:after="0"/>
              <w:rPr>
                <w:sz w:val="20"/>
                <w:szCs w:val="20"/>
                <w:color w:val="auto"/>
              </w:rPr>
            </w:pPr>
            <w:r>
              <w:rPr>
                <w:rFonts w:ascii="Courier New" w:cs="Courier New" w:eastAsia="Courier New" w:hAnsi="Courier New"/>
                <w:sz w:val="15"/>
                <w:szCs w:val="15"/>
                <w:color w:val="auto"/>
                <w:w w:val="97"/>
              </w:rPr>
              <w:t>Properties</w:t>
            </w:r>
          </w:p>
        </w:tc>
        <w:tc>
          <w:tcPr>
            <w:tcW w:w="14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Debit</w:t>
            </w: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Credit</w:t>
            </w:r>
          </w:p>
        </w:tc>
        <w:tc>
          <w:tcPr>
            <w:tcW w:w="1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Combined</w:t>
            </w:r>
          </w:p>
        </w:tc>
      </w:tr>
      <w:tr>
        <w:trPr>
          <w:trHeight w:val="170"/>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9"/>
              </w:rPr>
              <w:t>Actual</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Rental income</w:t>
            </w: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$137,090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$15,069</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$152,159</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Other income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7,512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7,569</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4,660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4,672</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149,262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15,138</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164,400</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35,952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(2)</w:t>
            </w:r>
          </w:p>
        </w:tc>
        <w:tc>
          <w:tcPr>
            <w:tcW w:w="14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6,788</w:t>
            </w: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42,740</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30,853</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1,146</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(1)</w:t>
            </w: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1,374 (3)</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1,146</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32,227</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expenses</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6,582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162</w:t>
            </w:r>
          </w:p>
        </w:tc>
        <w:tc>
          <w:tcPr>
            <w:tcW w:w="400" w:type="dxa"/>
            <w:vAlign w:val="bottom"/>
          </w:tcPr>
          <w:p>
            <w:pPr>
              <w:spacing w:after="0"/>
              <w:rPr>
                <w:sz w:val="14"/>
                <w:szCs w:val="14"/>
                <w:color w:val="auto"/>
              </w:rPr>
            </w:pPr>
          </w:p>
        </w:tc>
        <w:tc>
          <w:tcPr>
            <w:tcW w:w="14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162</w:t>
            </w: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6,562</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45,598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4,898</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50,496</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5"/>
              </w:rPr>
              <w:t>118,965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6,206</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132,025</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before investors share of operations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and gain on sale of real estate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30,297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8,932</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32,375</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Investors' share of operations</w:t>
            </w:r>
          </w:p>
        </w:tc>
        <w:tc>
          <w:tcPr>
            <w:tcW w:w="220" w:type="dxa"/>
            <w:vAlign w:val="bottom"/>
          </w:tcPr>
          <w:p>
            <w:pPr>
              <w:spacing w:after="0"/>
              <w:rPr>
                <w:sz w:val="14"/>
                <w:szCs w:val="14"/>
                <w:color w:val="auto"/>
              </w:rPr>
            </w:pPr>
          </w:p>
        </w:tc>
        <w:tc>
          <w:tcPr>
            <w:tcW w:w="9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(862)</w:t>
            </w:r>
          </w:p>
        </w:tc>
        <w:tc>
          <w:tcPr>
            <w:tcW w:w="1000" w:type="dxa"/>
            <w:vAlign w:val="bottom"/>
          </w:tcPr>
          <w:p>
            <w:pPr>
              <w:spacing w:after="0"/>
              <w:rPr>
                <w:sz w:val="14"/>
                <w:szCs w:val="14"/>
                <w:color w:val="auto"/>
              </w:rPr>
            </w:pP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88"/>
              </w:rPr>
              <w:t>(4)</w:t>
            </w:r>
          </w:p>
        </w:tc>
        <w:tc>
          <w:tcPr>
            <w:tcW w:w="14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(607)</w:t>
            </w: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(1,489)</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29,435</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8,932</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30,906</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real estate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6,375</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6,375</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$ 35,810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$ 8,932</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$ 37,281</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220" w:type="dxa"/>
            <w:vAlign w:val="bottom"/>
          </w:tcPr>
          <w:p>
            <w:pPr>
              <w:spacing w:after="0"/>
              <w:rPr>
                <w:sz w:val="24"/>
                <w:szCs w:val="2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38,838</w:t>
            </w: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38,838</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w w:val="98"/>
              </w:rPr>
              <w:t>Income before gain on sale of real estate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0.76</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0.80</w:t>
            </w:r>
          </w:p>
        </w:tc>
      </w:tr>
      <w:tr>
        <w:trPr>
          <w:trHeight w:val="170"/>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Gain on sale of real estate</w:t>
            </w:r>
          </w:p>
        </w:tc>
        <w:tc>
          <w:tcPr>
            <w:tcW w:w="220" w:type="dxa"/>
            <w:vAlign w:val="bottom"/>
          </w:tcPr>
          <w:p>
            <w:pPr>
              <w:spacing w:after="0"/>
              <w:rPr>
                <w:sz w:val="14"/>
                <w:szCs w:val="14"/>
                <w:color w:val="auto"/>
              </w:rPr>
            </w:pP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0.16</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0.16</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0.92</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0.96</w:t>
            </w:r>
          </w:p>
        </w:tc>
      </w:tr>
      <w:tr>
        <w:trPr>
          <w:trHeight w:val="170"/>
        </w:trPr>
        <w:tc>
          <w:tcPr>
            <w:tcW w:w="3920" w:type="dxa"/>
            <w:vAlign w:val="bottom"/>
          </w:tcPr>
          <w:p>
            <w:pPr>
              <w:spacing w:after="0"/>
              <w:rPr>
                <w:sz w:val="14"/>
                <w:szCs w:val="14"/>
                <w:color w:val="auto"/>
              </w:rPr>
            </w:pPr>
          </w:p>
        </w:tc>
        <w:tc>
          <w:tcPr>
            <w:tcW w:w="116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jc w:val="both"/>
        <w:ind w:left="10" w:right="4060" w:firstLine="441"/>
        <w:spacing w:after="0" w:line="237" w:lineRule="auto"/>
        <w:rPr>
          <w:sz w:val="20"/>
          <w:szCs w:val="20"/>
          <w:color w:val="auto"/>
        </w:rPr>
      </w:pPr>
      <w:r>
        <w:rPr>
          <w:rFonts w:ascii="Courier New" w:cs="Courier New" w:eastAsia="Courier New" w:hAnsi="Courier New"/>
          <w:sz w:val="15"/>
          <w:szCs w:val="15"/>
          <w:color w:val="auto"/>
        </w:rPr>
        <w:t>The Pro Forma Condensed Statement of Operations of the Trust gives effect to the acquisition of the Acquired Properties as though they were acquired at the beginning of the period presented.</w:t>
      </w:r>
    </w:p>
    <w:p>
      <w:pPr>
        <w:spacing w:after="0" w:line="344" w:lineRule="exact"/>
        <w:rPr>
          <w:sz w:val="20"/>
          <w:szCs w:val="20"/>
          <w:color w:val="auto"/>
        </w:rPr>
      </w:pPr>
    </w:p>
    <w:p>
      <w:pPr>
        <w:ind w:left="450" w:right="3880" w:hanging="450"/>
        <w:spacing w:after="0" w:line="237"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depreciation based on the book value of the depreciable real estate purchased, as if the Acquired Properties were purchased at the beginning of the period.</w:t>
      </w:r>
    </w:p>
    <w:p>
      <w:pPr>
        <w:spacing w:after="0" w:line="5" w:lineRule="exact"/>
        <w:rPr>
          <w:rFonts w:ascii="Courier New" w:cs="Courier New" w:eastAsia="Courier New" w:hAnsi="Courier New"/>
          <w:sz w:val="15"/>
          <w:szCs w:val="15"/>
          <w:color w:val="auto"/>
        </w:rPr>
      </w:pPr>
    </w:p>
    <w:p>
      <w:pPr>
        <w:ind w:left="450" w:right="3880" w:hanging="450"/>
        <w:spacing w:after="0" w:line="237"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interest expense on the Trust's revolving credit facilities as if the Acquired Properties were purchased at the beginning of the period.</w:t>
      </w:r>
    </w:p>
    <w:p>
      <w:pPr>
        <w:spacing w:after="0" w:line="5" w:lineRule="exact"/>
        <w:rPr>
          <w:rFonts w:ascii="Courier New" w:cs="Courier New" w:eastAsia="Courier New" w:hAnsi="Courier New"/>
          <w:sz w:val="15"/>
          <w:szCs w:val="15"/>
          <w:color w:val="auto"/>
        </w:rPr>
      </w:pPr>
    </w:p>
    <w:p>
      <w:pPr>
        <w:ind w:left="450" w:right="3880" w:hanging="450"/>
        <w:spacing w:after="0" w:line="237"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Reduction of depreciation and administrative expense of prior owners of 150 Post Street and Peninsula Center which is not comparable to future operations of the Trust.</w:t>
      </w:r>
    </w:p>
    <w:p>
      <w:pPr>
        <w:spacing w:after="0" w:line="5" w:lineRule="exact"/>
        <w:rPr>
          <w:rFonts w:ascii="Courier New" w:cs="Courier New" w:eastAsia="Courier New" w:hAnsi="Courier New"/>
          <w:sz w:val="15"/>
          <w:szCs w:val="15"/>
          <w:color w:val="auto"/>
        </w:rPr>
      </w:pPr>
    </w:p>
    <w:p>
      <w:pPr>
        <w:ind w:left="450" w:right="3960" w:hanging="450"/>
        <w:spacing w:after="0" w:line="235" w:lineRule="auto"/>
        <w:tabs>
          <w:tab w:leader="none" w:pos="45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additional earnings attributable to minority interests, as if the Acquired Properties were purchased at the beginning of the period.</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930"/>
          </w:cols>
          <w:pgMar w:left="230" w:top="791" w:right="739" w:bottom="1440" w:gutter="0" w:footer="0" w:header="0"/>
        </w:sectPr>
      </w:pPr>
    </w:p>
    <w:bookmarkStart w:id="26" w:name="page27"/>
    <w:bookmarkEnd w:id="26"/>
    <w:p>
      <w:pPr>
        <w:jc w:val="right"/>
        <w:ind w:right="3179"/>
        <w:spacing w:after="0"/>
        <w:rPr>
          <w:sz w:val="20"/>
          <w:szCs w:val="20"/>
          <w:color w:val="auto"/>
        </w:rPr>
      </w:pPr>
      <w:r>
        <w:rPr>
          <w:rFonts w:ascii="Courier New" w:cs="Courier New" w:eastAsia="Courier New" w:hAnsi="Courier New"/>
          <w:sz w:val="15"/>
          <w:szCs w:val="15"/>
          <w:color w:val="auto"/>
        </w:rPr>
        <w:t>Exhibit 23</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ind w:left="202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inclusion in this Form 8-K of our report dated March 14, 1997 on our audit of the statement of revenues and certain expenses of 150 Post Street, San Francisco, California, for the year ending December 31, 1996. We also consent to the incorporation by reference of said report in the Registration Statements of Federal Realty Investment Trust on Form S-3 (File No. 33-15264, effective August 4, 1987; File No. 33-63687, effective November 6, 1995; and File No. 63955, effective November 3, 1995).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Peat Marwick L.L.P.</w:t>
      </w: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February 24, 1998</w:t>
      </w:r>
    </w:p>
    <w:p>
      <w:pPr>
        <w:spacing w:after="0" w:line="34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inclusion in this Current Report on Form 8-K of our report dated November 26, 1997, on our audit of the Statement of Revenues and Certain Expenses of Fresh Meadows Commercial Property for the year ended December 31, 1996. We also consent to the incorporation by reference of said report in the Registration Statements of Federal Realty Investment Trust on Form S-3 (File No. 33-15264, File No. 33-63687, and File No. 33-63955).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Coopers &amp; Lybrand L.L.P.</w:t>
      </w: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February 23, 1998</w:t>
      </w:r>
    </w:p>
    <w:p>
      <w:pPr>
        <w:spacing w:after="0" w:line="34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inclusion in this Form 8-K of our reports dated January 9, 1998 on our audits of the Statement of Revenue and Certain Expenses for the Magruder Center, Rockville, Maryland, and the Statement of Revenue and Certain Expenses for the Courthouse Center, Rockville, Maryland, respectively, for the year ended December 31, 1996. We also consent to the incorporation by reference of said reports in the Registration Statements of Federal Realty Investment Trust on Form S-3 (File No. 33-15264, effective August 4, 1987; File No. 33-63687, effective November 6, 1995; and File No. 63955, effective November 3,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Fangmeyer and Fangmeyer</w:t>
      </w:r>
    </w:p>
    <w:p>
      <w:pPr>
        <w:spacing w:after="0"/>
        <w:rPr>
          <w:sz w:val="20"/>
          <w:szCs w:val="20"/>
          <w:color w:val="auto"/>
        </w:rPr>
      </w:pPr>
      <w:r>
        <w:rPr>
          <w:rFonts w:ascii="Courier New" w:cs="Courier New" w:eastAsia="Courier New" w:hAnsi="Courier New"/>
          <w:sz w:val="15"/>
          <w:szCs w:val="15"/>
          <w:color w:val="auto"/>
        </w:rPr>
        <w:t>Silver Spring, Maryland</w:t>
      </w:r>
    </w:p>
    <w:p>
      <w:pPr>
        <w:spacing w:after="0"/>
        <w:rPr>
          <w:sz w:val="20"/>
          <w:szCs w:val="20"/>
          <w:color w:val="auto"/>
        </w:rPr>
      </w:pPr>
      <w:r>
        <w:rPr>
          <w:rFonts w:ascii="Courier New" w:cs="Courier New" w:eastAsia="Courier New" w:hAnsi="Courier New"/>
          <w:sz w:val="15"/>
          <w:szCs w:val="15"/>
          <w:color w:val="auto"/>
        </w:rPr>
        <w:t>February 24, 1998</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We consent to the inclusion in this Form 8-K of our report dated January 22, 1998, on our audits of the Historical Summary of Gross Income and Direct Operating Expenses of the Peninsula Shopping Center for the year ended December 31, 1996. We also consent to the incorporation by reference of said report in the Registration Statements of Federal Realty Investment Trust on Form S-3 (File No. 33-15264, effective August 4, 1987; File No. 33-63687, effective November 6, 1995; and File No. 63955, effective November 3, 1995).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Grant Thornton L.L.P.</w:t>
      </w:r>
    </w:p>
    <w:p>
      <w:pPr>
        <w:spacing w:after="0"/>
        <w:rPr>
          <w:sz w:val="20"/>
          <w:szCs w:val="20"/>
          <w:color w:val="auto"/>
        </w:rPr>
      </w:pPr>
      <w:r>
        <w:rPr>
          <w:rFonts w:ascii="Courier New" w:cs="Courier New" w:eastAsia="Courier New" w:hAnsi="Courier New"/>
          <w:sz w:val="15"/>
          <w:szCs w:val="15"/>
          <w:color w:val="auto"/>
        </w:rPr>
        <w:t>Washington, DC</w:t>
      </w:r>
    </w:p>
    <w:p>
      <w:pPr>
        <w:spacing w:after="0"/>
        <w:rPr>
          <w:sz w:val="20"/>
          <w:szCs w:val="20"/>
          <w:color w:val="auto"/>
        </w:rPr>
      </w:pPr>
      <w:r>
        <w:rPr>
          <w:rFonts w:ascii="Courier New" w:cs="Courier New" w:eastAsia="Courier New" w:hAnsi="Courier New"/>
          <w:sz w:val="15"/>
          <w:szCs w:val="15"/>
          <w:color w:val="auto"/>
        </w:rPr>
        <w:t>February 24, 1998</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We consent to the incorporation by reference in the Registration Statement of Federal Realty Investment Trust on Form S-3 (File No. 33-15264, effective August 4, 1987; File No. 33-63687, effective November 6, 1995; and File No. 63955, effective November 3, 1995) of our report dated October 17, 1997 on our audit of the statement of revenues and certain expenses of RREEF West-VI One, Inc.-Uptown Shopping Center for the year ended December 31, 1996, which is included in this Form 8-K of Federal Realty Investment Trust dated February 24, 1998.</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February 24, 1998</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sectPr>
      <w:pgSz w:w="11900" w:h="16838" w:orient="portrait"/>
      <w:cols w:equalWidth="0" w:num="1">
        <w:col w:w="10219"/>
      </w:cols>
      <w:pgMar w:left="24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lowerLetter"/>
      <w:start w:val="3"/>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2"/>
    </w:lvl>
  </w:abstractNum>
  <w:abstractNum w:abstractNumId="5">
    <w:nsid w:val="3352255A"/>
    <w:multiLevelType w:val="hybridMultilevel"/>
    <w:lvl w:ilvl="0">
      <w:lvlJc w:val="left"/>
      <w:lvlText w:val="(%1)"/>
      <w:numFmt w:val="decimal"/>
      <w:start w:val="1"/>
    </w:lvl>
    <w:lvl w:ilvl="1">
      <w:lvlJc w:val="left"/>
      <w:lvlText w:val="(%2)"/>
      <w:numFmt w:val="lowerLetter"/>
      <w:start w:val="1"/>
    </w:lvl>
  </w:abstractNum>
  <w:abstractNum w:abstractNumId="6">
    <w:nsid w:val="109CF92E"/>
    <w:multiLevelType w:val="hybridMultilevel"/>
    <w:lvl w:ilvl="0">
      <w:lvlJc w:val="left"/>
      <w:lvlText w:val="(%1)"/>
      <w:numFmt w:val="lowerLetter"/>
      <w:start w:val="5"/>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decimal"/>
      <w:start w:val="3"/>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3"/>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2019-12-13T00:55:56Z</dcterms:created>
  <dcterms:modified xsi:type="dcterms:W3CDTF">2019-12-13T00:55:56Z</dcterms:modified>
</cp:coreProperties>
</file>