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erif" w:hAnsi="Times New Roman;serif"/>
          <w:b/>
          <w:color w:val="000000"/>
          <w:sz w:val="22"/>
        </w:rPr>
        <w:t>Date of Report (Date of earliest event reported) May 1,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On May 1, 2026, Federal Realty Investment Trust issued supplemental data pertaining to its operations, as well as a press release, to report its financial results for the quarter ended March 31, 2026. The supplemental data and press release are furnished as Exhibit 99.1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erif" w:hAnsi="Times New Roman;serif"/>
          <w:b w:val="false"/>
          <w:color w:val="000000"/>
          <w:sz w:val="24"/>
        </w:rPr>
        <w:t>99.1</w:t>
      </w:r>
      <w:r>
        <w:rPr>
          <w:color w:val="000000"/>
        </w:rPr>
        <w:t>    </w:t>
      </w:r>
      <w:r>
        <w:rPr>
          <w:rFonts w:ascii="Times New Roman;serif" w:hAnsi="Times New Roman;serif"/>
          <w:b w:val="false"/>
          <w:color w:val="000000"/>
          <w:sz w:val="24"/>
        </w:rPr>
        <w:t>Supplemental information at March 31, 2026 (including press release dated May 1, 2026)</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300" w:type="dxa"/>
        <w:jc w:val="center"/>
        <w:tblInd w:w="0" w:type="dxa"/>
        <w:tblLayout w:type="fixed"/>
        <w:tblCellMar>
          <w:top w:w="28" w:type="dxa"/>
          <w:left w:w="28" w:type="dxa"/>
          <w:bottom w:w="28" w:type="dxa"/>
          <w:right w:w="28" w:type="dxa"/>
        </w:tblCellMar>
      </w:tblPr>
      <w:tblGrid>
        <w:gridCol w:w="228"/>
        <w:gridCol w:w="200"/>
        <w:gridCol w:w="202"/>
        <w:gridCol w:w="439"/>
        <w:gridCol w:w="439"/>
        <w:gridCol w:w="44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3312026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at March 31, 2026</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754" w:type="dxa"/>
        <w:jc w:val="center"/>
        <w:tblInd w:w="0" w:type="dxa"/>
        <w:tblLayout w:type="fixed"/>
        <w:tblCellMar>
          <w:top w:w="28" w:type="dxa"/>
          <w:left w:w="28" w:type="dxa"/>
          <w:bottom w:w="28" w:type="dxa"/>
          <w:right w:w="28" w:type="dxa"/>
        </w:tblCellMar>
      </w:tblPr>
      <w:tblGrid>
        <w:gridCol w:w="360"/>
        <w:gridCol w:w="317"/>
        <w:gridCol w:w="317"/>
        <w:gridCol w:w="577"/>
        <w:gridCol w:w="577"/>
        <w:gridCol w:w="57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760" w:type="dxa"/>
            <w:gridSpan w:val="9"/>
            <w:tcBorders/>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SUPPLEMENTAL INFORMATION</w:t>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7">
              <w:r>
                <w:rPr>
                  <w:rStyle w:val="InternetLink"/>
                  <w:rFonts w:ascii="Times New Roman;serif" w:hAnsi="Times New Roman;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10">
              <w:r>
                <w:rPr>
                  <w:rStyle w:val="InternetLink"/>
                  <w:rFonts w:ascii="Times New Roman;serif" w:hAnsi="Times New Roman;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13">
              <w:r>
                <w:rPr>
                  <w:rStyle w:val="InternetLink"/>
                  <w:rFonts w:ascii="Times New Roman;serif" w:hAnsi="Times New Roman;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16">
              <w:r>
                <w:rPr>
                  <w:rStyle w:val="InternetLink"/>
                  <w:rFonts w:ascii="Times New Roman;serif" w:hAnsi="Times New Roman;serif"/>
                  <w:b w:val="false"/>
                  <w:color w:val="0000FF"/>
                  <w:sz w:val="20"/>
                  <w:u w:val="single"/>
                </w:rPr>
                <w:t>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19">
              <w:r>
                <w:rPr>
                  <w:rStyle w:val="InternetLink"/>
                  <w:rFonts w:ascii="Times New Roman;serif" w:hAnsi="Times New Roman;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Rental Income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22">
              <w:r>
                <w:rPr>
                  <w:rStyle w:val="InternetLink"/>
                  <w:rFonts w:ascii="Times New Roman;serif" w:hAnsi="Times New Roman;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Property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549755814534">
              <w:r>
                <w:rPr>
                  <w:rStyle w:val="InternetLink"/>
                  <w:rFonts w:ascii="Times New Roman;serif" w:hAnsi="Times New Roman;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Debt Metrics, and Senior Notes and Debentures Covenants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28">
              <w:r>
                <w:rPr>
                  <w:rStyle w:val="InternetLink"/>
                  <w:rFonts w:ascii="Times New Roman;serif" w:hAnsi="Times New Roman;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Outstanding Debt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31">
              <w:r>
                <w:rPr>
                  <w:rStyle w:val="InternetLink"/>
                  <w:rFonts w:ascii="Times New Roman;serif" w:hAnsi="Times New Roman;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 Maturities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34">
              <w:r>
                <w:rPr>
                  <w:rStyle w:val="InternetLink"/>
                  <w:rFonts w:ascii="Times New Roman;serif" w:hAnsi="Times New Roman;serif"/>
                  <w:b w:val="false"/>
                  <w:color w:val="0000FF"/>
                  <w:sz w:val="20"/>
                  <w:u w:val="single"/>
                </w:rPr>
                <w:t>15</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37">
              <w:r>
                <w:rPr>
                  <w:rStyle w:val="InternetLink"/>
                  <w:rFonts w:ascii="Times New Roman;serif" w:hAnsi="Times New Roman;serif"/>
                  <w:b w:val="false"/>
                  <w:color w:val="0000FF"/>
                  <w:sz w:val="20"/>
                  <w:u w:val="single"/>
                </w:rPr>
                <w:t>16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40">
              <w:r>
                <w:rPr>
                  <w:rStyle w:val="InternetLink"/>
                  <w:rFonts w:ascii="Times New Roman;serif" w:hAnsi="Times New Roman;serif"/>
                  <w:b w:val="false"/>
                  <w:color w:val="0000FF"/>
                  <w:sz w:val="20"/>
                  <w:u w:val="single"/>
                </w:rPr>
                <w:t>17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Transactions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43">
              <w:r>
                <w:rPr>
                  <w:rStyle w:val="InternetLink"/>
                  <w:rFonts w:ascii="Times New Roman;serif" w:hAnsi="Times New Roman;serif"/>
                  <w:b w:val="false"/>
                  <w:color w:val="0000FF"/>
                  <w:sz w:val="20"/>
                  <w:u w:val="single"/>
                </w:rPr>
                <w:t>18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Status Report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46">
              <w:r>
                <w:rPr>
                  <w:rStyle w:val="InternetLink"/>
                  <w:rFonts w:ascii="Times New Roman;serif" w:hAnsi="Times New Roman;serif"/>
                  <w:b w:val="false"/>
                  <w:color w:val="0000FF"/>
                  <w:sz w:val="20"/>
                  <w:u w:val="single"/>
                </w:rPr>
                <w:t>19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Leasing Summary</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49">
              <w:r>
                <w:rPr>
                  <w:rStyle w:val="InternetLink"/>
                  <w:rFonts w:ascii="Times New Roman;serif" w:hAnsi="Times New Roman;serif"/>
                  <w:b w:val="false"/>
                  <w:color w:val="0000FF"/>
                  <w:sz w:val="20"/>
                  <w:u w:val="single"/>
                </w:rPr>
                <w:t>23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Expirations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52">
              <w:r>
                <w:rPr>
                  <w:rStyle w:val="InternetLink"/>
                  <w:rFonts w:ascii="Times New Roman;serif" w:hAnsi="Times New Roman;serif"/>
                  <w:b w:val="false"/>
                  <w:color w:val="0000FF"/>
                  <w:sz w:val="20"/>
                  <w:u w:val="single"/>
                </w:rPr>
                <w:t>24</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Leased Statistics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55">
              <w:r>
                <w:rPr>
                  <w:rStyle w:val="InternetLink"/>
                  <w:rFonts w:ascii="Times New Roman;serif" w:hAnsi="Times New Roman;serif"/>
                  <w:b w:val="false"/>
                  <w:color w:val="0000FF"/>
                  <w:sz w:val="20"/>
                  <w:u w:val="single"/>
                </w:rPr>
                <w:t>25</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Top 25 Tenants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58">
              <w:r>
                <w:rPr>
                  <w:rStyle w:val="InternetLink"/>
                  <w:rFonts w:ascii="Times New Roman;serif" w:hAnsi="Times New Roman;serif"/>
                  <w:b w:val="false"/>
                  <w:color w:val="0000FF"/>
                  <w:sz w:val="20"/>
                  <w:u w:val="single"/>
                </w:rPr>
                <w:t>26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Guidance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61">
              <w:r>
                <w:rPr>
                  <w:rStyle w:val="InternetLink"/>
                  <w:rFonts w:ascii="Times New Roman;serif" w:hAnsi="Times New Roman;serif"/>
                  <w:b w:val="false"/>
                  <w:color w:val="0000FF"/>
                  <w:sz w:val="20"/>
                  <w:u w:val="single"/>
                </w:rPr>
                <w:t>27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7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Glossary of Terms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e125fe6d3e4f45901e20e1495e6a0c_64">
              <w:r>
                <w:rPr>
                  <w:rStyle w:val="InternetLink"/>
                  <w:rFonts w:ascii="Times New Roman;serif" w:hAnsi="Times New Roman;serif"/>
                  <w:b w:val="false"/>
                  <w:color w:val="0000FF"/>
                  <w:sz w:val="20"/>
                  <w:u w:val="single"/>
                </w:rPr>
                <w:t>28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909 Rose Avenue, Suite 200</w:t>
            </w:r>
          </w:p>
        </w:tc>
      </w:tr>
      <w:tr>
        <w:trPr/>
        <w:tc>
          <w:tcPr>
            <w:tcW w:w="97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Bethesda, Maryland 20852</w:t>
            </w:r>
          </w:p>
        </w:tc>
      </w:tr>
      <w:tr>
        <w:trPr/>
        <w:tc>
          <w:tcPr>
            <w:tcW w:w="975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Safe Harbor Language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618" w:type="dxa"/>
        <w:jc w:val="left"/>
        <w:tblInd w:w="0" w:type="dxa"/>
        <w:tblLayout w:type="fixed"/>
        <w:tblCellMar>
          <w:top w:w="28" w:type="dxa"/>
          <w:left w:w="28" w:type="dxa"/>
          <w:bottom w:w="28" w:type="dxa"/>
          <w:right w:w="28" w:type="dxa"/>
        </w:tblCellMar>
      </w:tblPr>
      <w:tblGrid>
        <w:gridCol w:w="1342"/>
        <w:gridCol w:w="1177"/>
        <w:gridCol w:w="1185"/>
        <w:gridCol w:w="1145"/>
        <w:gridCol w:w="1145"/>
        <w:gridCol w:w="162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7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Jill Sawyer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jsawyer@federalrealty.com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Reports First Quarter 2026 Results</w:t>
      </w:r>
    </w:p>
    <w:p>
      <w:pPr>
        <w:pStyle w:val="TextBody"/>
        <w:bidi w:val="0"/>
        <w:spacing w:lineRule="auto" w:line="288" w:before="0" w:after="0"/>
        <w:jc w:val="left"/>
        <w:rPr/>
      </w:pPr>
      <w:r>
        <w:rPr>
          <w:rFonts w:ascii="Arial;sans-serif" w:hAnsi="Arial;sans-serif"/>
          <w:b w:val="false"/>
          <w:color w:val="000000"/>
          <w:sz w:val="19"/>
        </w:rPr>
        <w:t xml:space="preserve">NORTH BETHESDA, Md. (May 1, 2026) - </w:t>
      </w:r>
      <w:r>
        <w:rPr>
          <w:rFonts w:ascii="Arial;sans-serif" w:hAnsi="Arial;sans-serif"/>
          <w:b w:val="false"/>
          <w:color w:val="000000"/>
          <w:sz w:val="19"/>
          <w:u w:val="single"/>
        </w:rPr>
        <w:t>Federal Realty Investment Trust</w:t>
      </w:r>
      <w:r>
        <w:rPr>
          <w:color w:val="000000"/>
        </w:rPr>
        <w:t xml:space="preserve"> </w:t>
      </w:r>
      <w:r>
        <w:rPr>
          <w:rFonts w:ascii="Arial;sans-serif" w:hAnsi="Arial;sans-serif"/>
          <w:b w:val="false"/>
          <w:color w:val="000000"/>
          <w:sz w:val="19"/>
        </w:rPr>
        <w:t>(NYSE:FRT) today reported its results for the first quarter ended March 31, 2026. For the three months ended March 31, 2026 and 2025, net income available for common shareholders was $1.81 per diluted share and $0.72 per diluted share, respectively. Operating income for the same periods was $209.0 million and $108.1 million, respectively. Results for the current quarter include a $92.7 million gain on sale of real estate, primarily related to the February sale of Misora at Santana Row, compared to $1.2 million in the first quarter of 2025.</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Highlights for the first quarter and subsequent to quarter-end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Generated Nareit defined funds from operations available to common shareholders (Nareit FFO) per diluted share of $1.88 for the quarter, a 10.6% increase over $1.70 in the first quarter of 2025.</w:t>
      </w:r>
    </w:p>
    <w:p>
      <w:pPr>
        <w:pStyle w:val="TextBody"/>
        <w:bidi w:val="0"/>
        <w:spacing w:lineRule="auto" w:line="288" w:before="0" w:after="0"/>
        <w:ind w:left="0" w:right="0" w:hanging="360"/>
        <w:jc w:val="both"/>
        <w:rPr/>
      </w:pPr>
      <w:r>
        <w:rPr>
          <w:color w:val="262626"/>
        </w:rPr>
        <w:t>•</w:t>
      </w:r>
      <w:r>
        <w:rPr>
          <w:rFonts w:ascii="Arial;sans-serif" w:hAnsi="Arial;sans-serif"/>
          <w:b w:val="false"/>
          <w:color w:val="262626"/>
          <w:sz w:val="19"/>
        </w:rPr>
        <w:t>Generated Core funds from operations available to common shareholders (Core FFO) per diluted share of $1.88 for the quarter, also a 10.6% increase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Signed 101 leases for 649,078 square feet of comparable retail space - a first quarter volume record - with rent growth of 13% on a cash basis and 23% on a straight-line basis.</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On a trailing twelve-month basis, signed 448 leases for 2,620,601 square feet of comparable retail space - also a volume record - with rent growth of 16% on a cash basis and 28% on a straight-line basis.</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Generated comparable property operating income (POI) growth of 4.7%.</w:t>
      </w:r>
    </w:p>
    <w:p>
      <w:pPr>
        <w:pStyle w:val="TextBody"/>
        <w:bidi w:val="0"/>
        <w:spacing w:lineRule="auto" w:line="288" w:before="0" w:after="0"/>
        <w:ind w:left="0" w:right="0" w:hanging="360"/>
        <w:jc w:val="both"/>
        <w:rPr/>
      </w:pPr>
      <w:r>
        <w:rPr>
          <w:color w:val="262626"/>
        </w:rPr>
        <w:t>•</w:t>
      </w:r>
      <w:r>
        <w:rPr>
          <w:rFonts w:ascii="Arial;sans-serif" w:hAnsi="Arial;sans-serif"/>
          <w:b w:val="false"/>
          <w:color w:val="262626"/>
          <w:sz w:val="19"/>
        </w:rPr>
        <w:t xml:space="preserve">Adjusted comparable POI growth (excluding straight-line rents and amortization of in-place leases) was 5.1%. </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Reported overall portfolio occupancy of 93.8% and a leased rate of 96.1% at quarter end, with:</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Occupancy down 30 basis points and leased rate flat quarter-over-quarter.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Occupancy up 20 basis points and leased rate up 40 basis points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Continued strong small shop leased rate, ending the quarter at 93.8% leased, representing an increase of 30 basis points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Acquired two properties: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 xml:space="preserve">Acquired Congressional North Shopping Center in Montgomery County, MD on March 12, 2026 for $72.3 million, expanding Federal’s presence along Rockville Pike, one of the Washington DC region’s most established commercial corridors. </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Acquired an adjacent retail parcel at Kingstowne Towne Center in Alexandria, VA for $19.7 million on April 17, 2026, completing the retail assemblage at the center.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Completed approximately $159 million of peripheral residential and mature retail dispositions in the first quarter.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Raised and tightened guidance for 2026 earnings per diluted share to $3.94 - $4.03.</w:t>
      </w:r>
    </w:p>
    <w:p>
      <w:pPr>
        <w:pStyle w:val="TextBody"/>
        <w:bidi w:val="0"/>
        <w:spacing w:lineRule="auto" w:line="288" w:before="0" w:after="160"/>
        <w:ind w:left="0" w:right="0" w:hanging="360"/>
        <w:jc w:val="both"/>
        <w:rPr/>
      </w:pPr>
      <w:r>
        <w:rPr>
          <w:color w:val="000000"/>
        </w:rPr>
        <w:t>•</w:t>
      </w:r>
      <w:r>
        <w:rPr>
          <w:rFonts w:ascii="Arial;sans-serif" w:hAnsi="Arial;sans-serif"/>
          <w:b w:val="false"/>
          <w:color w:val="262626"/>
          <w:sz w:val="19"/>
        </w:rPr>
        <w:t>Raised and tightened guidance for both 2026 Nareit FFO and Core FFO per diluted share to $7.46 - $7.55, representing 6.3% growth at the midpoint year-over-year.</w:t>
      </w:r>
    </w:p>
    <w:p>
      <w:pPr>
        <w:pStyle w:val="TextBody"/>
        <w:bidi w:val="0"/>
        <w:spacing w:lineRule="auto" w:line="288" w:before="0" w:after="160"/>
        <w:jc w:val="left"/>
        <w:rPr>
          <w:color w:val="000000"/>
        </w:rPr>
      </w:pPr>
      <w:r>
        <w:rPr>
          <w:color w:val="000000"/>
        </w:rPr>
        <w:t>“</w:t>
      </w:r>
      <w:r>
        <w:rPr>
          <w:rFonts w:ascii="Arial;sans-serif" w:hAnsi="Arial;sans-serif"/>
          <w:b w:val="false"/>
          <w:color w:val="000000"/>
          <w:sz w:val="19"/>
        </w:rPr>
        <w:t>We delivered a strong start to the year, exceeding expectations and continuing the momentum we built in 2025. Our portfolio is performing well amid a volatile macro environment, reflecting both the strength of our platform and the resilience of the higher-income consumer we serve,” said Donald C. Wood, Chief Executive Officer of Federal Realty. “With this performance, we are increasing our outlook for 2026, reinforcing our confidence in the consistency and durability of our earnings growth.”</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Financial Results</w:t>
      </w:r>
    </w:p>
    <w:p>
      <w:pPr>
        <w:pStyle w:val="TextBody"/>
        <w:bidi w:val="0"/>
        <w:spacing w:lineRule="auto" w:line="288" w:before="0" w:after="240"/>
        <w:jc w:val="left"/>
        <w:rPr/>
      </w:pPr>
      <w:r>
        <w:rPr>
          <w:rFonts w:ascii="Arial;sans-serif" w:hAnsi="Arial;sans-serif"/>
          <w:b w:val="false"/>
          <w:i/>
          <w:color w:val="000000"/>
          <w:sz w:val="19"/>
        </w:rPr>
        <w:t>Net Incom</w:t>
      </w:r>
      <w:r>
        <w:rPr>
          <w:rFonts w:ascii="Arial;sans-serif" w:hAnsi="Arial;sans-serif"/>
          <w:b w:val="false"/>
          <w:color w:val="000000"/>
          <w:sz w:val="19"/>
        </w:rPr>
        <w:t>e</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For the first quarter of 2026, net income available for common shareholders was $157.1 million and earnings per diluted share was $1.81 versus $61.8 million and $0.72, respectively, for the first quarter of 2025.</w: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FFO</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Nareit FFO was $162.6 million, or $1.88 per diluted share, for the first quarter of 2026, compared to $146.5 million, or $1.70 per diluted share, in the first quarter of 2025, a 10.6% per-share increase.</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 xml:space="preserve">Core FFO was $162.6 million, or $1.88 per diluted share, for the first quarter of 2026, compared to $146.4 million, or $1.70 per diluted share, in the first quarter of 2025, a 10.6% per-share increase. </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Nareit FFO is a non-GAAP supplemental earnings measure which the Trust considers meaningful in measuring its operating performance. Core FFO adjusts Nareit FFO to exclude the impact of certain items that management considers are not indicative of the company’s ongoing operating and financial performance. See attachments for a reconciliation of Nareit FFO and Core FFO and a full definition of Core FFO.</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Operational Update</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Occupancy</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 xml:space="preserve">The following operational metrics for the commercial portfolio are as of March 31, 2026: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Overall portfolio occupancy was 93.8%, down 30 basis points sequentially and up 20 basis points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Overall portfolio leased rate was 96.1%, flat sequentially and up 40 basis points year-over-year.</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19"/>
        </w:rPr>
        <w:t>Small shop leased rate was 93.8%, flat sequentially and up 30 basis points year-over-year.</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The residential leased rate for comparable properties was 95.6% as of March 31, 2026, up 100 basis points year-over-year.</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Leasing Activity</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 xml:space="preserve">During the first quarter of 2026, Federal Realty signed 106 leases totaling 661,158 square feet of retail space. On a comparable space basis, the company signed 101 leases for 649,078 square feet - a first-quarter volume record - at an average rent of $35.79 per square foot, compared to $31.75 under prior leases, representing a 13% increase on a cash basis and 23% increase on a straight-line basis. </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 xml:space="preserve">On a trailing twelve-month basis, Federal Realty signed 448 comparable leases totaling 2,620,601 square feet - also a volume record - representing 16% rent spreads on a cash basis and 28% on a straight-line basis. </w: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Transaction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u w:val="single"/>
        </w:rPr>
        <w:t>February 5, 2026</w:t>
      </w:r>
      <w:r>
        <w:rPr>
          <w:color w:val="262626"/>
        </w:rPr>
        <w:t xml:space="preserve"> — </w:t>
      </w:r>
      <w:r>
        <w:rPr>
          <w:rFonts w:ascii="Arial;sans-serif" w:hAnsi="Arial;sans-serif"/>
          <w:b w:val="false"/>
          <w:color w:val="262626"/>
          <w:sz w:val="19"/>
        </w:rPr>
        <w:t>sold two assets for a combined $158.5 million:</w:t>
      </w:r>
    </w:p>
    <w:p>
      <w:pPr>
        <w:pStyle w:val="TextBody"/>
        <w:bidi w:val="0"/>
        <w:spacing w:lineRule="auto" w:line="288" w:before="0" w:after="0"/>
        <w:ind w:left="0" w:right="0" w:hanging="360"/>
        <w:jc w:val="both"/>
        <w:rPr/>
      </w:pPr>
      <w:r>
        <w:rPr>
          <w:color w:val="262626"/>
        </w:rPr>
        <w:t>•</w:t>
      </w:r>
      <w:r>
        <w:rPr>
          <w:rFonts w:ascii="Arial;sans-serif" w:hAnsi="Arial;sans-serif"/>
          <w:b w:val="false"/>
          <w:color w:val="262626"/>
          <w:sz w:val="19"/>
        </w:rPr>
        <w:t>Misora, a peripherally located residential component of Santana Row in San Jose, CA, for $148.5 million;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Courthouse Center, a 33,000 square-foot neighborhood shopping center in Rockville, MD, for $10.0 million.</w:t>
      </w:r>
    </w:p>
    <w:p>
      <w:pPr>
        <w:pStyle w:val="TextBody"/>
        <w:bidi w:val="0"/>
        <w:spacing w:lineRule="auto" w:line="288" w:before="0" w:after="0"/>
        <w:ind w:left="0" w:right="0" w:hanging="360"/>
        <w:jc w:val="both"/>
        <w:rPr/>
      </w:pPr>
      <w:r>
        <w:rPr>
          <w:color w:val="262626"/>
        </w:rPr>
        <w:t>•</w:t>
      </w:r>
      <w:r>
        <w:rPr>
          <w:rFonts w:ascii="Arial;sans-serif" w:hAnsi="Arial;sans-serif"/>
          <w:b w:val="false"/>
          <w:color w:val="262626"/>
          <w:sz w:val="19"/>
          <w:u w:val="single"/>
        </w:rPr>
        <w:t>March 12, 2026</w:t>
      </w:r>
      <w:r>
        <w:rPr>
          <w:color w:val="262626"/>
        </w:rPr>
        <w:t xml:space="preserve"> — </w:t>
      </w:r>
      <w:r>
        <w:rPr>
          <w:rFonts w:ascii="Arial;sans-serif" w:hAnsi="Arial;sans-serif"/>
          <w:b w:val="false"/>
          <w:color w:val="262626"/>
          <w:sz w:val="19"/>
        </w:rPr>
        <w:t>acquired Congressional North Shopping Center for $72.3 million, a 217,000 square foot grocery anchored center, strategically deepening Federal’s presence along Rockville Pike in Montgomery County, MD.</w:t>
      </w:r>
    </w:p>
    <w:p>
      <w:pPr>
        <w:pStyle w:val="TextBody"/>
        <w:bidi w:val="0"/>
        <w:spacing w:lineRule="auto" w:line="288" w:before="0" w:after="160"/>
        <w:ind w:left="0" w:right="0" w:hanging="360"/>
        <w:jc w:val="both"/>
        <w:rPr/>
      </w:pPr>
      <w:r>
        <w:rPr>
          <w:color w:val="262626"/>
        </w:rPr>
        <w:t>•</w:t>
      </w:r>
      <w:r>
        <w:rPr>
          <w:rFonts w:ascii="Arial;sans-serif" w:hAnsi="Arial;sans-serif"/>
          <w:b w:val="false"/>
          <w:color w:val="262626"/>
          <w:sz w:val="19"/>
          <w:u w:val="single"/>
        </w:rPr>
        <w:t>April 17, 2026</w:t>
      </w:r>
      <w:r>
        <w:rPr>
          <w:color w:val="262626"/>
        </w:rPr>
        <w:t xml:space="preserve"> — </w:t>
      </w:r>
      <w:r>
        <w:rPr>
          <w:rFonts w:ascii="Arial;sans-serif" w:hAnsi="Arial;sans-serif"/>
          <w:b w:val="false"/>
          <w:color w:val="262626"/>
          <w:sz w:val="19"/>
        </w:rPr>
        <w:t>acquired an adjacent 88,000-square-foot retail parcel at Kingstowne Towne Center in Alexandria, VA for $19.7 million, completing the retail assemblage at the center, which Federal originally acquired in 2022.</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Financing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On February 17, 2026, the company repaid its $400 million 1.25% senior notes at maturity, refinanced with a draw on its previously announced delayed draw $250 million term loan and the remaining $150 million funded from the revolving credit facility.</w:t>
      </w:r>
    </w:p>
    <w:p>
      <w:pPr>
        <w:pStyle w:val="TextBody"/>
        <w:bidi w:val="0"/>
        <w:spacing w:lineRule="auto" w:line="288" w:before="0" w:after="160"/>
        <w:ind w:left="0" w:right="0" w:hanging="360"/>
        <w:jc w:val="both"/>
        <w:rPr/>
      </w:pPr>
      <w:r>
        <w:rPr>
          <w:color w:val="000000"/>
        </w:rPr>
        <w:t>•</w:t>
      </w:r>
      <w:r>
        <w:rPr>
          <w:rFonts w:ascii="Arial;sans-serif" w:hAnsi="Arial;sans-serif"/>
          <w:b w:val="false"/>
          <w:color w:val="262626"/>
          <w:sz w:val="19"/>
        </w:rPr>
        <w:t>On April 14, 2026, the company amended and restated the $1.25 billion revolving credit facility, increasing the borrowing capacity to $1.4 billion, reducing the SOFR spread to 72.5 basis points, and extending the maturity date to April 12, 2030, plus two optional six-month extensions.</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Regular Quarterly Dividends</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 xml:space="preserve">Federal Realty announced today that its Board of Trustees declared a regular quarterly cash dividend of $1.13 per common share, resulting in an indicated annual rate of $4.52 per common share. The regular common dividend will be payable on July 15, 2026 to common shareholders of record as of July 1, 2026. </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15, 2026 to shareholders of record as of July 1, 2026.</w:t>
      </w:r>
    </w:p>
    <w:p>
      <w:pPr>
        <w:pStyle w:val="TextBody"/>
        <w:bidi w:val="0"/>
        <w:spacing w:lineRule="auto" w:line="417" w:before="0" w:after="240"/>
        <w:jc w:val="both"/>
        <w:rPr>
          <w:rFonts w:ascii="Arial;sans-serif" w:hAnsi="Arial;sans-serif"/>
          <w:b/>
          <w:color w:val="000000"/>
          <w:sz w:val="19"/>
        </w:rPr>
      </w:pPr>
      <w:r>
        <w:rPr>
          <w:rFonts w:ascii="Arial;sans-serif" w:hAnsi="Arial;sans-serif"/>
          <w:b/>
          <w:color w:val="000000"/>
          <w:sz w:val="19"/>
        </w:rPr>
        <w:t>2026 Guidance</w:t>
      </w:r>
    </w:p>
    <w:p>
      <w:pPr>
        <w:pStyle w:val="TextBody"/>
        <w:bidi w:val="0"/>
        <w:spacing w:lineRule="auto" w:line="417" w:before="0" w:after="240"/>
        <w:jc w:val="both"/>
        <w:rPr/>
      </w:pPr>
      <w:r>
        <w:rPr>
          <w:rFonts w:ascii="Arial;sans-serif" w:hAnsi="Arial;sans-serif"/>
          <w:b w:val="false"/>
          <w:color w:val="000000"/>
          <w:sz w:val="19"/>
        </w:rPr>
        <w:t>Federal Realty has raised and tightened its 2026 earnings per diluted share, Nareit FFO, and Core FFO guidance, as summarized in the table below:</w:t>
      </w:r>
      <w:r>
        <w:rPr>
          <w:color w:val="000000"/>
        </w:rPr>
        <w:t xml:space="preserve"> </w:t>
      </w:r>
    </w:p>
    <w:tbl>
      <w:tblPr>
        <w:tblW w:w="9042" w:type="dxa"/>
        <w:jc w:val="left"/>
        <w:tblInd w:w="0" w:type="dxa"/>
        <w:tblLayout w:type="fixed"/>
        <w:tblCellMar>
          <w:top w:w="28" w:type="dxa"/>
          <w:left w:w="28" w:type="dxa"/>
          <w:bottom w:w="28" w:type="dxa"/>
          <w:right w:w="28" w:type="dxa"/>
        </w:tblCellMar>
      </w:tblPr>
      <w:tblGrid>
        <w:gridCol w:w="2063"/>
        <w:gridCol w:w="1812"/>
        <w:gridCol w:w="1824"/>
        <w:gridCol w:w="594"/>
        <w:gridCol w:w="594"/>
        <w:gridCol w:w="596"/>
        <w:gridCol w:w="456"/>
        <w:gridCol w:w="456"/>
        <w:gridCol w:w="647"/>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Full Year 2026 Guidance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Revised Guidance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Prior Guidance</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available for common shareholders per diluted share</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$3.94 to $4.03</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$3.90 to $4.00</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Nareit FFO per diluted share</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$7.46 to $7.55</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$7.42 to $7.52</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Core FFO per diluted share</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$7.46 to $7.55</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$7.42 to $7.52</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Core FFO growth over the prior year</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5.7% - 6.9%</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5.1% - 6.5%</w:t>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jc w:val="both"/>
        <w:rPr>
          <w:rFonts w:ascii="Arial;sans-serif" w:hAnsi="Arial;sans-serif"/>
          <w:b/>
          <w:color w:val="000000"/>
          <w:sz w:val="19"/>
        </w:rPr>
      </w:pPr>
      <w:r>
        <w:rPr>
          <w:rFonts w:ascii="Arial;sans-serif" w:hAnsi="Arial;sans-serif"/>
          <w:b/>
          <w:color w:val="000000"/>
          <w:sz w:val="19"/>
        </w:rPr>
        <w:t>Conference Call Information</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Federal Realty’s management team will present an in-depth discussion of Federal Realty’s operating performance on its first quarter 2026 earnings conference call, which is scheduled for Friday, May 1, 2026 at 9:00 AM ET. To participate, please call 833-821-4548 or 412-652-1258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May 15, 2026 by dialing 844-512-2921 or 412-317-6671; Passcode: 10207838.</w:t>
      </w:r>
    </w:p>
    <w:p>
      <w:pPr>
        <w:pStyle w:val="TextBody"/>
        <w:bidi w:val="0"/>
        <w:spacing w:lineRule="auto" w:line="319" w:before="0" w:after="160"/>
        <w:jc w:val="both"/>
        <w:rPr>
          <w:rFonts w:ascii="Arial;sans-serif" w:hAnsi="Arial;sans-serif"/>
          <w:b/>
          <w:color w:val="000000"/>
          <w:sz w:val="19"/>
        </w:rPr>
      </w:pPr>
      <w:r>
        <w:rPr>
          <w:rFonts w:ascii="Arial;sans-serif" w:hAnsi="Arial;sans-serif"/>
          <w:b/>
          <w:color w:val="000000"/>
          <w:sz w:val="19"/>
        </w:rPr>
        <w:t>About Federal Realty</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Row—which together reflect the company's ability to create distinctive, high-performing environments that serve as vibrant destinations for their communities. Federal Realty's 104 properties include approximately 3,800 tenants in 29.0 million commercial square feet, and approximately 2,500 residential units.</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has increased its quarterly dividends to its shareholders for 58 consecutive years, the longest record in the REIT industry. The company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19"/>
        </w:rPr>
      </w:pPr>
      <w:r>
        <w:rPr>
          <w:rFonts w:ascii="Arial;sans-serif" w:hAnsi="Arial;sans-serif"/>
          <w:b/>
          <w:color w:val="000000"/>
          <w:sz w:val="19"/>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8709" w:type="dxa"/>
        <w:jc w:val="center"/>
        <w:tblInd w:w="0" w:type="dxa"/>
        <w:tblLayout w:type="fixed"/>
        <w:tblCellMar>
          <w:top w:w="28" w:type="dxa"/>
          <w:left w:w="28" w:type="dxa"/>
          <w:bottom w:w="28" w:type="dxa"/>
          <w:right w:w="28" w:type="dxa"/>
        </w:tblCellMar>
      </w:tblPr>
      <w:tblGrid>
        <w:gridCol w:w="1946"/>
        <w:gridCol w:w="1706"/>
        <w:gridCol w:w="1717"/>
        <w:gridCol w:w="109"/>
        <w:gridCol w:w="109"/>
        <w:gridCol w:w="128"/>
        <w:gridCol w:w="128"/>
        <w:gridCol w:w="248"/>
        <w:gridCol w:w="972"/>
        <w:gridCol w:w="128"/>
        <w:gridCol w:w="109"/>
        <w:gridCol w:w="109"/>
        <w:gridCol w:w="109"/>
        <w:gridCol w:w="211"/>
        <w:gridCol w:w="826"/>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518" w:type="dxa"/>
            <w:gridSpan w:val="6"/>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159,099 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86,040 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86,662 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79"/>
        <w:gridCol w:w="1948"/>
        <w:gridCol w:w="1919"/>
        <w:gridCol w:w="222"/>
        <w:gridCol w:w="1142"/>
        <w:gridCol w:w="114"/>
        <w:gridCol w:w="114"/>
        <w:gridCol w:w="114"/>
        <w:gridCol w:w="114"/>
        <w:gridCol w:w="222"/>
        <w:gridCol w:w="1142"/>
        <w:gridCol w:w="114"/>
        <w:gridCol w:w="161"/>
      </w:tblGrid>
      <w:tr>
        <w:trPr/>
        <w:tc>
          <w:tcPr>
            <w:tcW w:w="287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$1,898,790 and $1,832,190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$30,376 and $28,418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11,661,921 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$474,534 and $468,725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8,267,822 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9,096,770 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$191,475 and $194,176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2,965,414 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5,532,426 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$0.01 par:</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$0.01 par, 200,000,000 shares authorized, 86,386,687 and 86,266,009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4,310,277 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3,311,137 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3,381,517 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9,096,770 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63"/>
        <w:gridCol w:w="1800"/>
        <w:gridCol w:w="1812"/>
        <w:gridCol w:w="217"/>
        <w:gridCol w:w="217"/>
        <w:gridCol w:w="217"/>
        <w:gridCol w:w="217"/>
        <w:gridCol w:w="109"/>
        <w:gridCol w:w="127"/>
        <w:gridCol w:w="127"/>
        <w:gridCol w:w="246"/>
        <w:gridCol w:w="967"/>
        <w:gridCol w:w="127"/>
        <w:gridCol w:w="109"/>
        <w:gridCol w:w="109"/>
        <w:gridCol w:w="109"/>
        <w:gridCol w:w="211"/>
        <w:gridCol w:w="826"/>
        <w:gridCol w:w="109"/>
        <w:gridCol w:w="109"/>
        <w:gridCol w:w="109"/>
        <w:gridCol w:w="109"/>
        <w:gridCol w:w="159"/>
      </w:tblGrid>
      <w:tr>
        <w:trPr/>
        <w:tc>
          <w:tcPr>
            <w:tcW w:w="206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3" w:type="dxa"/>
            <w:gridSpan w:val="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Nareit Funds from Operations available for common shareholders (Nareit FFO) (1)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(2)</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(2)(3)</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86,662 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(3)</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Core Funds from Operations (Core FFO) (1)</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26" w:type="dxa"/>
            <w:gridSpan w:val="14"/>
            <w:tcBorders/>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(3)</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0" w:after="0"/>
        <w:ind w:left="0" w:right="0" w:hanging="720"/>
        <w:jc w:val="left"/>
        <w:rPr/>
      </w:pPr>
      <w:r>
        <w:rPr>
          <w:rFonts w:ascii="Times New Roman;serif" w:hAnsi="Times New Roman;serif"/>
          <w:b w:val="false"/>
          <w:color w:val="000000"/>
          <w:sz w:val="18"/>
        </w:rPr>
        <w:t>(2)For the three months</w:t>
      </w:r>
      <w:r>
        <w:rPr>
          <w:color w:val="000000"/>
        </w:rPr>
        <w:t xml:space="preserve"> </w:t>
      </w:r>
      <w:r>
        <w:rPr>
          <w:rFonts w:ascii="Times New Roman;serif" w:hAnsi="Times New Roman;serif"/>
          <w:b w:val="false"/>
          <w:color w:val="000000"/>
          <w:sz w:val="18"/>
        </w:rPr>
        <w:t xml:space="preserve">ended March 31, 2026 and 2025,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(3)The weighted average common shares used to compute Nareit and Core FFO per diluted common share includes downREIT operating partnership units that were excluded from the computation of diluted EPS. Conversion of these operating partnership units is dilutive in the computation of Nareit and Core FFO per diluted share for all periods presented, but is anti-dilutive for the computation of diluted EPS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06"/>
        <w:gridCol w:w="2001"/>
        <w:gridCol w:w="2014"/>
        <w:gridCol w:w="109"/>
        <w:gridCol w:w="109"/>
        <w:gridCol w:w="109"/>
        <w:gridCol w:w="109"/>
        <w:gridCol w:w="109"/>
        <w:gridCol w:w="109"/>
        <w:gridCol w:w="109"/>
        <w:gridCol w:w="213"/>
        <w:gridCol w:w="837"/>
        <w:gridCol w:w="109"/>
        <w:gridCol w:w="109"/>
        <w:gridCol w:w="109"/>
        <w:gridCol w:w="109"/>
        <w:gridCol w:w="211"/>
        <w:gridCol w:w="826"/>
        <w:gridCol w:w="109"/>
        <w:gridCol w:w="109"/>
        <w:gridCol w:w="109"/>
        <w:gridCol w:w="109"/>
        <w:gridCol w:w="162"/>
      </w:tblGrid>
      <w:tr>
        <w:trPr/>
        <w:tc>
          <w:tcPr>
            <w:tcW w:w="230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39" w:type="dxa"/>
            <w:gridSpan w:val="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Supplemental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EBITDA for Real Estate (EBITDAre)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EBITDAre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EBITDAre to combined fixed charges and preferred share dividends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 and Payout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common 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payout ratio as a percentage of Nareit FFO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and expansions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and incentives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(non-cash)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Noncontrolling Interests Supplemental Information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(3)Amounts reflect the components of "net income attributable to noncontrolling interests," but excludes "income attributable to downREIT operating partnership units."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626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109"/>
        <w:gridCol w:w="109"/>
        <w:gridCol w:w="128"/>
        <w:gridCol w:w="128"/>
        <w:gridCol w:w="248"/>
        <w:gridCol w:w="972"/>
        <w:gridCol w:w="128"/>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Components of Rental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Minimum rents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225,359 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Percentage rents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lease related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Collectibility related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332,658 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(2)Minimum rents include the following:</w:t>
      </w:r>
    </w:p>
    <w:tbl>
      <w:tblPr>
        <w:tblW w:w="5884"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109"/>
        <w:gridCol w:w="109"/>
        <w:gridCol w:w="150"/>
        <w:gridCol w:w="150"/>
        <w:gridCol w:w="150"/>
        <w:gridCol w:w="150"/>
        <w:gridCol w:w="291"/>
        <w:gridCol w:w="561"/>
        <w:gridCol w:w="150"/>
        <w:gridCol w:w="109"/>
        <w:gridCol w:w="109"/>
        <w:gridCol w:w="109"/>
        <w:gridCol w:w="211"/>
        <w:gridCol w:w="4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Straight-line rents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in-place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(3)Includes lease termination fees of $4.1 million and $1.3 million for the three months ended March 31, 2026 and 2025, respectively.</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35"/>
        <w:gridCol w:w="1486"/>
        <w:gridCol w:w="1495"/>
        <w:gridCol w:w="233"/>
        <w:gridCol w:w="233"/>
        <w:gridCol w:w="233"/>
        <w:gridCol w:w="233"/>
        <w:gridCol w:w="233"/>
        <w:gridCol w:w="233"/>
        <w:gridCol w:w="233"/>
        <w:gridCol w:w="202"/>
        <w:gridCol w:w="759"/>
        <w:gridCol w:w="109"/>
        <w:gridCol w:w="109"/>
        <w:gridCol w:w="109"/>
        <w:gridCol w:w="109"/>
        <w:gridCol w:w="202"/>
        <w:gridCol w:w="759"/>
        <w:gridCol w:w="109"/>
        <w:gridCol w:w="235"/>
        <w:gridCol w:w="235"/>
        <w:gridCol w:w="236"/>
        <w:gridCol w:w="109"/>
        <w:gridCol w:w="109"/>
        <w:gridCol w:w="109"/>
        <w:gridCol w:w="158"/>
      </w:tblGrid>
      <w:tr>
        <w:trPr/>
        <w:tc>
          <w:tcPr>
            <w:tcW w:w="193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Property Information</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Bala Cynwyd on City Avenue residential - Blayr, Friendship Center, Grossmont Center, Pike &amp; Rose Phase IV, Santana West, Willow Grove Shopping Center, and all properties acquired, disposed of, or not consolidated from Q1 2025 to Q1 2026. Comparable Property property operating income ("Comparable Property POI") and Comparable Property POI - Adjusted are non-GAAP measures used by management in evaluating the operating performance of our properties period over period. Comparable Property POI - Adjusted excludes the impact of straight-line rents and amortization of in-place leases from Comparable Property POI.</w:t>
            </w:r>
          </w:p>
        </w:tc>
        <w:tc>
          <w:tcPr>
            <w:tcW w:w="3658" w:type="dxa"/>
            <w:gridSpan w:val="16"/>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Reconciliation of GAAP operating income to Comparable Property POI and Comparable Property POI - Adjusted</w:t>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 </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income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Non-comparable POI - acquisitions/dispositions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Non-comparable POI - redevelopment, development &amp; other</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Straight-line rents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in-place leases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 - Adjusted</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Additional information regarding the components of Comparable Property POI</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reimbursements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Collectibility related impacts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revenue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expenses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expenses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 - Adjusted</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Comparable Property - Summary of Capital Expenditures (2)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Redevelopment and tenant improvements and incentives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capital expenditures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Comparable Property - Occupancy Statistics (2)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GLA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(1)Includes lease termination fees of $3.3 million and $1.0 million for the three months ended March 31, 2026 and 2025, respectively.</w:t>
      </w:r>
    </w:p>
    <w:p>
      <w:pPr>
        <w:pStyle w:val="TextBody"/>
        <w:bidi w:val="0"/>
        <w:spacing w:lineRule="auto" w:line="288" w:before="0" w:after="0"/>
        <w:ind w:left="0" w:right="0" w:hanging="450"/>
        <w:jc w:val="left"/>
        <w:rPr/>
      </w:pPr>
      <w:r>
        <w:rPr>
          <w:rFonts w:ascii="Times New Roman;serif" w:hAnsi="Times New Roman;serif"/>
          <w:b w:val="false"/>
          <w:color w:val="000000"/>
          <w:sz w:val="18"/>
        </w:rPr>
        <w:t xml:space="preserve">(2)See page </w:t>
      </w:r>
      <w:hyperlink w:anchor="i9ee125fe6d3e4f45901e20e1495e6a0c_19">
        <w:r>
          <w:rPr>
            <w:rStyle w:val="InternetLink"/>
            <w:rFonts w:ascii="Times New Roman;serif" w:hAnsi="Times New Roman;serif"/>
            <w:b w:val="false"/>
            <w:strike w:val="false"/>
            <w:dstrike w:val="false"/>
            <w:color w:val="000000"/>
            <w:sz w:val="18"/>
            <w:u w:val="none"/>
            <w:effect w:val="none"/>
          </w:rPr>
          <w:t>10</w:t>
        </w:r>
      </w:hyperlink>
      <w:r>
        <w:rPr>
          <w:rFonts w:ascii="Times New Roman;serif" w:hAnsi="Times New Roman;serif"/>
          <w:b w:val="false"/>
          <w:color w:val="000000"/>
          <w:sz w:val="18"/>
        </w:rPr>
        <w:t xml:space="preserve"> for "Summary of Capital Expenditures" and page </w:t>
      </w:r>
      <w:hyperlink w:anchor="i9ee125fe6d3e4f45901e20e1495e6a0c_55">
        <w:r>
          <w:rPr>
            <w:rStyle w:val="InternetLink"/>
            <w:rFonts w:ascii="Times New Roman;serif" w:hAnsi="Times New Roman;serif"/>
            <w:b w:val="false"/>
            <w:strike w:val="false"/>
            <w:dstrike w:val="false"/>
            <w:color w:val="000000"/>
            <w:sz w:val="18"/>
            <w:u w:val="none"/>
            <w:effect w:val="none"/>
          </w:rPr>
          <w:t>25</w:t>
        </w:r>
      </w:hyperlink>
      <w:r>
        <w:rPr>
          <w:rFonts w:ascii="Times New Roman;serif" w:hAnsi="Times New Roman;serif"/>
          <w:b w:val="false"/>
          <w:color w:val="000000"/>
          <w:sz w:val="18"/>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0"/>
        <w:gridCol w:w="154"/>
        <w:gridCol w:w="154"/>
        <w:gridCol w:w="1722"/>
        <w:gridCol w:w="1626"/>
        <w:gridCol w:w="1630"/>
        <w:gridCol w:w="141"/>
        <w:gridCol w:w="141"/>
        <w:gridCol w:w="141"/>
        <w:gridCol w:w="274"/>
        <w:gridCol w:w="1409"/>
        <w:gridCol w:w="141"/>
        <w:gridCol w:w="141"/>
        <w:gridCol w:w="141"/>
        <w:gridCol w:w="141"/>
        <w:gridCol w:w="298"/>
        <w:gridCol w:w="1531"/>
        <w:gridCol w:w="230"/>
      </w:tblGrid>
      <w:tr>
        <w:trPr/>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and downREIT operating partnership units (1)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market capitalization including downREIT operating partnership units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9,231,030 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8,496,841 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shares outstanding</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C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shares outstanding (2)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1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9,390,855 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8,656,666 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4,849,768 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4,513,293 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4,734,135 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4,404,069 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14,124,990 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13,060,735 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and Liquidity Ratio</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to market capitalization at 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Covenants (4)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Covenant Threshold (5)</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Assets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60%</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 to Total Assets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to Annual Debt Service Charge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4.0x</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1.5x</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 to Unsecured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150%</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pPr>
      <w:r>
        <w:rPr>
          <w:rFonts w:ascii="Times New Roman;serif" w:hAnsi="Times New Roman;serif"/>
          <w:b w:val="false"/>
          <w:color w:val="000000"/>
          <w:sz w:val="18"/>
        </w:rPr>
        <w:t>(1)Amounts include 526,408 and 607,190</w:t>
      </w:r>
      <w:r>
        <w:rPr>
          <w:color w:val="000000"/>
        </w:rPr>
        <w:t xml:space="preserve"> </w:t>
      </w:r>
      <w:r>
        <w:rPr>
          <w:rFonts w:ascii="Times New Roman;serif" w:hAnsi="Times New Roman;serif"/>
          <w:b w:val="false"/>
          <w:color w:val="000000"/>
          <w:sz w:val="18"/>
        </w:rPr>
        <w:t>downREIT operating partnership units outstanding at March 31, 2026 and 2025, respectively.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reference period for calculating these covenants is the most recent twelve months ended March 31, 2026.</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0"/>
        <w:gridCol w:w="680"/>
        <w:gridCol w:w="657"/>
        <w:gridCol w:w="580"/>
        <w:gridCol w:w="446"/>
        <w:gridCol w:w="446"/>
        <w:gridCol w:w="448"/>
        <w:gridCol w:w="109"/>
        <w:gridCol w:w="109"/>
        <w:gridCol w:w="109"/>
        <w:gridCol w:w="422"/>
        <w:gridCol w:w="395"/>
        <w:gridCol w:w="397"/>
        <w:gridCol w:w="109"/>
        <w:gridCol w:w="109"/>
        <w:gridCol w:w="109"/>
        <w:gridCol w:w="196"/>
        <w:gridCol w:w="871"/>
        <w:gridCol w:w="109"/>
        <w:gridCol w:w="109"/>
        <w:gridCol w:w="109"/>
        <w:gridCol w:w="109"/>
        <w:gridCol w:w="164"/>
        <w:gridCol w:w="155"/>
        <w:gridCol w:w="150"/>
        <w:gridCol w:w="109"/>
        <w:gridCol w:w="109"/>
        <w:gridCol w:w="109"/>
        <w:gridCol w:w="328"/>
        <w:gridCol w:w="317"/>
        <w:gridCol w:w="317"/>
        <w:gridCol w:w="317"/>
        <w:gridCol w:w="317"/>
        <w:gridCol w:w="463"/>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effective rate (7)</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Mortgages payable (1)</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12/28/2026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(3)</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10/30/2028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+ 1.95%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(10 Buildings)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 to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4.39%</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 payable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(3)(6)</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(3)</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(3)</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Senior notes and debentures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4.07%</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4.59%</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39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4.22%</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bl>
    <w:p>
      <w:pPr>
        <w:pStyle w:val="TextBody"/>
        <w:bidi w:val="0"/>
        <w:spacing w:lineRule="auto" w:line="288" w:before="6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(1)Mortgages payable does not include our share of debt on our unconsolidated real estate partnerships. At March 31, 2026, our share of unconsolidated debt was approximately $61.8 million. At March 31, 2026, our noncontrolling interests' share of mortgages payable was $15.1 million.</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(2)We have one one-year extension, at our option to extend the maturity date of this mortgage loan to December 28, 2027.</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(3)Our Azalea mortgage loan, revolving credit facility SOFR loans and our unsecured term loans bear interest at Daily Simple SOFR, as defined in the respective credit agreements, plus a spread, based on our current credit rating. The interest rate on $450.0 million of our $750.0 million term loan is fixed at a weighted average interest rate of 4.17% through March 1, 2028 through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(4)We have two one-year extensions, at our option to extend the maturity date of this mortgage loan to October 30, 2030.</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(5)The interest rate on this mortgage loan is fixed at 3.67% through two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(6)The maximum amount drawn under our $1.25 billion revolving credit facility during the three months ended March 31, 2026 was $699.5 million. The weighted average interest rate on borrowings under our credit facility, before amortization of debt fees, was 4.4% for the three months ended March 31, 2026. 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(7)The weighted average effective interest rate includes the amortization of any debt issuance costs and discounts and premiums, if applicable, except as described in Note 8.</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(8)The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40" w:after="100"/>
        <w:jc w:val="left"/>
        <w:rPr>
          <w:rFonts w:ascii="Times New Roman;serif" w:hAnsi="Times New Roman;serif"/>
          <w:b w:val="false"/>
          <w:color w:val="000000"/>
          <w:sz w:val="18"/>
        </w:rPr>
      </w:pPr>
      <w:r>
        <w:rPr>
          <w:rFonts w:ascii="Times New Roman;serif" w:hAnsi="Times New Roman;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(1)Our $200.0 mortgage loan secured by Bethesda Row matures on December 28, 2026 plus one one-year extension, at our option to December 28, 2027.</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(2)At March 31, 2026, our $1.25 billion revolving credit facility had $369.1 million outstanding, which was scheduled to mature on April 5, 2027, plus two six-month extensions at our option to April 5, 2028. On April 14, 2026, we amended and restated the agreement, increasing the borrowing capacity to $1.4 billion and extending the maturity date to April 12, 2030, plus two six-month extensions at our option to April 12, 2031.</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(3)Our $750.0 million term loan matures on March 20, 2028, plus two one-year extensions at our option to March 20, 2030. Additionally, our $55.0 million mortgage loan secured by Azalea matures on October 30, 2028, plus two one-year extensions at our option to October 30, 2030.</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total debt maturities differ from the total reported on the consolidated balance sheet due to the debt issuance costs and unamortized net premium/discount on certain mortgage loans, notes payable, and senior notes as of March 31, 2026. The weighted average remaining term on our mortgages payable, notes payable, and senior notes and debentures is approximately 5 years.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(5)The weighted average rate reflects the weighted average interest rate, as of March 31, 2026, on debt maturing in the respective year. </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6"/>
        <w:gridCol w:w="244"/>
        <w:gridCol w:w="244"/>
        <w:gridCol w:w="686"/>
        <w:gridCol w:w="228"/>
        <w:gridCol w:w="232"/>
        <w:gridCol w:w="1403"/>
        <w:gridCol w:w="1218"/>
        <w:gridCol w:w="1232"/>
        <w:gridCol w:w="209"/>
        <w:gridCol w:w="209"/>
        <w:gridCol w:w="465"/>
        <w:gridCol w:w="294"/>
        <w:gridCol w:w="294"/>
        <w:gridCol w:w="295"/>
        <w:gridCol w:w="339"/>
        <w:gridCol w:w="190"/>
        <w:gridCol w:w="173"/>
        <w:gridCol w:w="523"/>
        <w:gridCol w:w="338"/>
        <w:gridCol w:w="339"/>
        <w:gridCol w:w="109"/>
        <w:gridCol w:w="109"/>
        <w:gridCol w:w="166"/>
      </w:tblGrid>
      <w:tr>
        <w:trPr/>
        <w:tc>
          <w:tcPr>
            <w:tcW w:w="6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1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Redevelopment and Expansion Opportunities</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2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following redevelopment opportunities are actively being worked on by the Trust.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4052" w:type="dxa"/>
            <w:gridSpan w:val="15"/>
            <w:tcBorders/>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615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(2)</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2026 POI Delivered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a %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Projects in process:</w:t>
            </w:r>
          </w:p>
        </w:tc>
        <w:tc>
          <w:tcPr>
            <w:tcW w:w="3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West (3)</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369,000 square foot office building. The building is fully leased.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- 6%</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 $335</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 - 80%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- 915 Meeting Street (3)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Bethesda, MD</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262,000 square foot office building with 10,000 square feet of retail space. The building is fully leased.</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 $185</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 - 95%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 Lot 12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six story building with 258 residential units and associated parking</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 $148</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 PA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130,000 SF of existing retail to construct a new six story mixed use building with 261 residential units, a 438 space parking structure, and an additional 52,000 SF of retail space</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$110 - $120 </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 - Blayr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PA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two level department store building to construct a new six story building with 217 residential units, 19,000 square feet of retail and a two-story parking structure with 234 parking stalls. Delivery started in Q1 2026.</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 $95</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 - 5%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Hoboken - 301 Washington Street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 NJ</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5 story, 45-unit residential building with 10,200 square feet of ground floor retail space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 $48</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(4)</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Anticipated Stabilization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31,500 square feet of anchor and small shop spaces to construct a 50,000 square foot turnkey building for a national grocer tenant and redevelopment of 27,000 square feet of vacant small shop space at the north end of the property to construct 10,400 square feet of small shop, and a 10,000 square foot anchor tenant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- 8%</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Grossmont Center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Mesa, CA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I of a multi-phase redevelopment of the property focusing on revitalizing the northern side of the property encompassing 131,000 square feet of anchor and small shop space</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- 10%</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Reconfiguration of a 52,000 square foot building to accommodate a new fitness tenant.</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Active Property Improvement Projects (6)</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Ongoing improvements at 6 properties to better position those properties to capture a disproportionate amount of retail demand</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- 16%</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Notes:</w:t>
      </w:r>
    </w:p>
    <w:p>
      <w:pPr>
        <w:pStyle w:val="TextBody"/>
        <w:bidi w:val="0"/>
        <w:spacing w:lineRule="auto" w:line="288" w:before="10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(2)Projected ROI for mixed-use redevelopment/expansion projects reflects the unleveraged Property Operating Income (POI) generated by the project and is calculated as POI divided by cost. Projected POI delivered is an approximate calculation of the POI delivered or expected to be delivered and is calculated based on the Projected Cost and Projected ROI disclosed herewith and is based on the mid-point of the range, if applicable. Projected POI delivered includes straight line rent.</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2"/>
        <w:gridCol w:w="451"/>
        <w:gridCol w:w="451"/>
        <w:gridCol w:w="451"/>
        <w:gridCol w:w="451"/>
        <w:gridCol w:w="451"/>
        <w:gridCol w:w="1318"/>
        <w:gridCol w:w="451"/>
        <w:gridCol w:w="451"/>
        <w:gridCol w:w="1013"/>
        <w:gridCol w:w="451"/>
        <w:gridCol w:w="451"/>
        <w:gridCol w:w="988"/>
        <w:gridCol w:w="451"/>
        <w:gridCol w:w="451"/>
        <w:gridCol w:w="466"/>
        <w:gridCol w:w="222"/>
        <w:gridCol w:w="325"/>
      </w:tblGrid>
      <w:tr>
        <w:trPr/>
        <w:tc>
          <w:tcPr>
            <w:tcW w:w="9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Federal Realty Investment Trust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Future Redevelopment and Expansion Opportunities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March 31, 2026</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Redevelopment Opportunities</w:t>
            </w:r>
          </w:p>
        </w:tc>
      </w:tr>
      <w:tr>
        <w:trPr/>
        <w:tc>
          <w:tcPr>
            <w:tcW w:w="3167"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Expansion/Conversion (4)</w:t>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(5)</w:t>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Mixed Use - Long Term</w:t>
            </w:r>
          </w:p>
        </w:tc>
      </w:tr>
      <w:tr>
        <w:trPr/>
        <w:tc>
          <w:tcPr>
            <w:tcW w:w="316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Assembly Row (1)</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Somerville, MA</w:t>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on City Avenue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Barracks Road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Camelback Colonnade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Phoenix, AZ</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Commons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Congressional North Shopping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Monte Shopping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Monterey,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Promenade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Junction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Finley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Downers Grove, IL</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 Meadows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Queens, NY</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Friendship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DC</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Governor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Glen Burnie,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Grossmont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 Mesa, CA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NY</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Northport, NY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Philadelphia,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&amp; Rose (2)</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Bethesda,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7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Vienna,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Providence Place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Riverpoint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(3)</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Shops at Pembroke Gardens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Pembroke Pines, FL</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AVENUE at White Marsh</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Marsh,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Springfield,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Troy Hills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Parsippany-Troy, NJ</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Village at Shirlington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Arlington,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 Gateway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Westgate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Lawn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Richmond,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12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(3)Remaining entitlements at Santana Row include approximately 321,000 square feet of commercial space and 137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Acquisitions</w:t>
      </w:r>
    </w:p>
    <w:tbl>
      <w:tblPr>
        <w:tblW w:w="10205" w:type="dxa"/>
        <w:jc w:val="left"/>
        <w:tblInd w:w="0" w:type="dxa"/>
        <w:tblLayout w:type="fixed"/>
        <w:tblCellMar>
          <w:top w:w="28" w:type="dxa"/>
          <w:left w:w="28" w:type="dxa"/>
          <w:bottom w:w="28" w:type="dxa"/>
          <w:right w:w="28" w:type="dxa"/>
        </w:tblCellMar>
      </w:tblPr>
      <w:tblGrid>
        <w:gridCol w:w="309"/>
        <w:gridCol w:w="272"/>
        <w:gridCol w:w="276"/>
        <w:gridCol w:w="109"/>
        <w:gridCol w:w="109"/>
        <w:gridCol w:w="109"/>
        <w:gridCol w:w="602"/>
        <w:gridCol w:w="602"/>
        <w:gridCol w:w="609"/>
        <w:gridCol w:w="109"/>
        <w:gridCol w:w="109"/>
        <w:gridCol w:w="109"/>
        <w:gridCol w:w="444"/>
        <w:gridCol w:w="381"/>
        <w:gridCol w:w="358"/>
        <w:gridCol w:w="109"/>
        <w:gridCol w:w="109"/>
        <w:gridCol w:w="109"/>
        <w:gridCol w:w="417"/>
        <w:gridCol w:w="358"/>
        <w:gridCol w:w="298"/>
        <w:gridCol w:w="109"/>
        <w:gridCol w:w="109"/>
        <w:gridCol w:w="109"/>
        <w:gridCol w:w="293"/>
        <w:gridCol w:w="700"/>
        <w:gridCol w:w="166"/>
        <w:gridCol w:w="109"/>
        <w:gridCol w:w="109"/>
        <w:gridCol w:w="109"/>
        <w:gridCol w:w="805"/>
        <w:gridCol w:w="695"/>
        <w:gridCol w:w="98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Tenants</w:t>
            </w:r>
          </w:p>
        </w:tc>
      </w:tr>
      <w:tr>
        <w:trPr/>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Congressional North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Aldi / Michaels / Restoration Hardware Outlet / Petco / Staples</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Kingstowne Towne Center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8"/>
              </w:rPr>
            </w:pPr>
            <w:r>
              <w:rPr>
                <w:rFonts w:ascii="Times New Roman;serif" w:hAnsi="Times New Roman;serif"/>
                <w:b w:val="false"/>
                <w:color w:val="000000"/>
                <w:sz w:val="18"/>
              </w:rPr>
              <w:t>Alexandria,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Regal Cinemas / Multiple restaurants</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(1)This retail building will be operated as part of our existing Kingstowne Towne Center property.</w:t>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Dispositions</w:t>
      </w:r>
    </w:p>
    <w:tbl>
      <w:tblPr>
        <w:tblW w:w="7715" w:type="dxa"/>
        <w:jc w:val="left"/>
        <w:tblInd w:w="0" w:type="dxa"/>
        <w:tblLayout w:type="fixed"/>
        <w:tblCellMar>
          <w:top w:w="28" w:type="dxa"/>
          <w:left w:w="28" w:type="dxa"/>
          <w:bottom w:w="28" w:type="dxa"/>
          <w:right w:w="28" w:type="dxa"/>
        </w:tblCellMar>
      </w:tblPr>
      <w:tblGrid>
        <w:gridCol w:w="488"/>
        <w:gridCol w:w="428"/>
        <w:gridCol w:w="433"/>
        <w:gridCol w:w="109"/>
        <w:gridCol w:w="109"/>
        <w:gridCol w:w="109"/>
        <w:gridCol w:w="916"/>
        <w:gridCol w:w="916"/>
        <w:gridCol w:w="928"/>
        <w:gridCol w:w="109"/>
        <w:gridCol w:w="109"/>
        <w:gridCol w:w="109"/>
        <w:gridCol w:w="519"/>
        <w:gridCol w:w="519"/>
        <w:gridCol w:w="522"/>
        <w:gridCol w:w="109"/>
        <w:gridCol w:w="109"/>
        <w:gridCol w:w="109"/>
        <w:gridCol w:w="230"/>
        <w:gridCol w:w="654"/>
        <w:gridCol w:w="181"/>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 Price</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Residential (1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Courthouse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Financing Transaction</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Revolving Credit Facility</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1671"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181"/>
        <w:gridCol w:w="541"/>
        <w:gridCol w:w="109"/>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Harris Teeter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Apple / Anthropologie / Equinox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North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Staples / Restoration Hardware Outlet / Petco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Fresh Market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Ulta / Barnes &amp; Noble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HomeSense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Shoppers Food Warehouse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 Depot / Old Navy / Burlington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&amp; Rose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447</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7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Mercado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Twinbrooke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Outback Steakhouse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Virginia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 / BJ's Wholesale Club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Westpost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Wildwood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Balducci's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 / El Super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1190" w:type="dxa"/>
        <w:jc w:val="center"/>
        <w:tblInd w:w="0" w:type="dxa"/>
        <w:tblLayout w:type="fixed"/>
        <w:tblCellMar>
          <w:top w:w="28" w:type="dxa"/>
          <w:left w:w="28" w:type="dxa"/>
          <w:bottom w:w="28" w:type="dxa"/>
          <w:right w:w="28" w:type="dxa"/>
        </w:tblCellMar>
      </w:tblPr>
      <w:tblGrid>
        <w:gridCol w:w="459"/>
        <w:gridCol w:w="205"/>
        <w:gridCol w:w="207"/>
        <w:gridCol w:w="113"/>
        <w:gridCol w:w="109"/>
        <w:gridCol w:w="109"/>
        <w:gridCol w:w="818"/>
        <w:gridCol w:w="745"/>
        <w:gridCol w:w="298"/>
        <w:gridCol w:w="109"/>
        <w:gridCol w:w="409"/>
        <w:gridCol w:w="312"/>
        <w:gridCol w:w="161"/>
        <w:gridCol w:w="109"/>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570"/>
        <w:gridCol w:w="195"/>
        <w:gridCol w:w="196"/>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Colorado Blvd</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Crow Canyon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Sprouts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Monte Shopping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Salinas,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130,340 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Macy's / Petco / Pottery Barn / Apple / Sephora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Bay Bridge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Pak-N-Save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Nordstrom Rack / Michaels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Escondido Promenade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Fourth Street</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Freedom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Smart &amp; Final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Grossmont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180,881 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Barnes &amp; Noble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Hastings Ranch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Town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Olivo at Mission Hills</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Pinole Vista Crossing</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FoodMaxx</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Sol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Superior Grocers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El Segundo / The Point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310,777 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 Center</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Santana Row</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342</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Container Store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Sylmar Towne Center</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Westgate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165,115 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3,154,468 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Brick Plaza</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 35</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Gap / Tommy's Tavern + Tap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Darien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124</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Fresh Meadows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 Island of Gold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Georgetowne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Foodway</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Farms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Greenwich Avenue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Hauppauge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Hoboken</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(4) (6) </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238,810 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Petsmart / REI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 / Stop &amp; Shop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Melville Mall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Uncle Giuseppe's Marketplace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Dick's Sporting Goods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Mercer on One</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3076" w:type="dxa"/>
        <w:jc w:val="center"/>
        <w:tblInd w:w="0" w:type="dxa"/>
        <w:tblLayout w:type="fixed"/>
        <w:tblCellMar>
          <w:top w:w="28" w:type="dxa"/>
          <w:left w:w="28" w:type="dxa"/>
          <w:bottom w:w="28" w:type="dxa"/>
          <w:right w:w="28" w:type="dxa"/>
        </w:tblCellMar>
      </w:tblPr>
      <w:tblGrid>
        <w:gridCol w:w="409"/>
        <w:gridCol w:w="225"/>
        <w:gridCol w:w="207"/>
        <w:gridCol w:w="109"/>
        <w:gridCol w:w="109"/>
        <w:gridCol w:w="109"/>
        <w:gridCol w:w="817"/>
        <w:gridCol w:w="817"/>
        <w:gridCol w:w="497"/>
        <w:gridCol w:w="616"/>
        <w:gridCol w:w="109"/>
        <w:gridCol w:w="409"/>
        <w:gridCol w:w="312"/>
        <w:gridCol w:w="161"/>
        <w:gridCol w:w="361"/>
        <w:gridCol w:w="109"/>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449"/>
        <w:gridCol w:w="391"/>
        <w:gridCol w:w="196"/>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Grove at Shrewsbury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Bloomies / lululemon / Anthropologie / Pottery Barn / Williams 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Troy Hills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Floor &amp; Décor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NY Metro/New Jersey</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1,421,555 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3,276,000 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Assembly Row / Assembly Square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1,154,389 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AMC / Nike / Burlington / World Market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Campus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Chelsea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Dedham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Linden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 Dartmouth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Providence-Warwick, RI-MA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Queen Anne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Big Y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New England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1,464,650 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Philadelphia Metropolitan Area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Andorra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 Cynwyd on City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140,857 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169</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Redner's Warehouse Markets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Amazon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Annapolis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177,482 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 /</w:t>
              <w:br/>
              <w:t>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Restoration Hardware / Pottery Barn / Williams Sonoma / Life Time Fitness / Anthropologie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Dick's Sporting Goods / Micro Center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138,207 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466,091 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1202" w:type="dxa"/>
        <w:jc w:val="center"/>
        <w:tblInd w:w="0" w:type="dxa"/>
        <w:tblLayout w:type="fixed"/>
        <w:tblCellMar>
          <w:top w:w="28" w:type="dxa"/>
          <w:left w:w="28" w:type="dxa"/>
          <w:bottom w:w="28" w:type="dxa"/>
          <w:right w:w="28" w:type="dxa"/>
        </w:tblCellMar>
      </w:tblPr>
      <w:tblGrid>
        <w:gridCol w:w="354"/>
        <w:gridCol w:w="205"/>
        <w:gridCol w:w="207"/>
        <w:gridCol w:w="109"/>
        <w:gridCol w:w="109"/>
        <w:gridCol w:w="109"/>
        <w:gridCol w:w="883"/>
        <w:gridCol w:w="410"/>
        <w:gridCol w:w="328"/>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Nike Factory / Old Navy / DSW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Costco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Ross Dress For Less / Best Buy / Ulta / Home Depot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South Florida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1,288,000 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Chicago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Crossroads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Ulta / Binny's / Ferguson Home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Finley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Michaels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Garden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Mariano's Fresh Market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Riverpoint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Jewel Osco</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Chicago</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Barracks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Nordstrom Last Chance / Best Buy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Detroit-Warren-Dearborn, MI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Best Buy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Shops at Hilton Village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Town Center Crossing / Town Center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Kansas City, MO-KS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Pottery Barn / Restoration Hardware / Apple / Aritzia / Macy's (S) / Dick's House of Sport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29th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Pointe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Omaha, NE-IA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Best Buy / Apple / Sephora / lululemon / Scheels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946,977 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3,363,000 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11,661,921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28,961,000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96</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2,548</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2"/>
        <w:gridCol w:w="2832"/>
        <w:gridCol w:w="4008"/>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CocoWalk and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389"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961"/>
        <w:gridCol w:w="109"/>
        <w:gridCol w:w="109"/>
        <w:gridCol w:w="109"/>
        <w:gridCol w:w="109"/>
        <w:gridCol w:w="167"/>
        <w:gridCol w:w="167"/>
        <w:gridCol w:w="372"/>
        <w:gridCol w:w="109"/>
        <w:gridCol w:w="109"/>
        <w:gridCol w:w="109"/>
        <w:gridCol w:w="196"/>
        <w:gridCol w:w="556"/>
        <w:gridCol w:w="241"/>
        <w:gridCol w:w="109"/>
        <w:gridCol w:w="109"/>
        <w:gridCol w:w="109"/>
        <w:gridCol w:w="200"/>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14,278,520 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600,684 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2,620,601 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909,121 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406,177 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473,558 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1,711,480 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6,204,631 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and Non-comparable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Comparable % of Total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661,158 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612,978 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774,890 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653,366 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2,702,392 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68,030,378 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Non-comparable, and Option Exercises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881,718 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836,216 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1,013,278 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3,649,212 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68,030,378 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
        <w:gridCol w:w="171"/>
        <w:gridCol w:w="173"/>
        <w:gridCol w:w="2830"/>
        <w:gridCol w:w="2830"/>
        <w:gridCol w:w="400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Contractual rent represents annual rent under the new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rent represents contractual rent, including percentage rent considered part of base rent, from the prior tenant in the final 12 months of the term.</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is determined on the basis of contractual rent for the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 Glossary of Terms.</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Renewal leases represent expiring leases rolling over with the same tenant in the same location. All other leases are categorized as new.</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exercises reflect a fixed rate contractual option under the lease agreement that was exercised during the period reflected.</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3"/>
        <w:gridCol w:w="247"/>
        <w:gridCol w:w="212"/>
        <w:gridCol w:w="479"/>
        <w:gridCol w:w="482"/>
        <w:gridCol w:w="268"/>
        <w:gridCol w:w="246"/>
        <w:gridCol w:w="179"/>
        <w:gridCol w:w="267"/>
        <w:gridCol w:w="367"/>
        <w:gridCol w:w="293"/>
        <w:gridCol w:w="294"/>
        <w:gridCol w:w="109"/>
        <w:gridCol w:w="109"/>
        <w:gridCol w:w="109"/>
        <w:gridCol w:w="435"/>
        <w:gridCol w:w="436"/>
        <w:gridCol w:w="268"/>
        <w:gridCol w:w="299"/>
        <w:gridCol w:w="129"/>
        <w:gridCol w:w="271"/>
        <w:gridCol w:w="386"/>
        <w:gridCol w:w="273"/>
        <w:gridCol w:w="274"/>
        <w:gridCol w:w="109"/>
        <w:gridCol w:w="109"/>
        <w:gridCol w:w="109"/>
        <w:gridCol w:w="479"/>
        <w:gridCol w:w="482"/>
        <w:gridCol w:w="270"/>
        <w:gridCol w:w="273"/>
        <w:gridCol w:w="151"/>
        <w:gridCol w:w="295"/>
        <w:gridCol w:w="403"/>
        <w:gridCol w:w="253"/>
        <w:gridCol w:w="367"/>
      </w:tblGrid>
      <w:tr>
        <w:trPr/>
        <w:tc>
          <w:tcPr>
            <w:tcW w:w="4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17,809,000 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27,167,000 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16,170,000 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17,809,000 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27,167,000 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 reflects in-place contractual (defined as rents on a cash-basis without taking the impacts of rent abatements into account) rent as of March 31, 2026.</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occupied square footage of the commercial portion of our portfolio as of March 31, 2026.</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7685" w:type="dxa"/>
        <w:jc w:val="left"/>
        <w:tblInd w:w="0" w:type="dxa"/>
        <w:tblLayout w:type="fixed"/>
        <w:tblCellMar>
          <w:top w:w="28" w:type="dxa"/>
          <w:left w:w="28" w:type="dxa"/>
          <w:bottom w:w="28" w:type="dxa"/>
          <w:right w:w="28" w:type="dxa"/>
        </w:tblCellMar>
      </w:tblPr>
      <w:tblGrid>
        <w:gridCol w:w="1038"/>
        <w:gridCol w:w="910"/>
        <w:gridCol w:w="916"/>
        <w:gridCol w:w="295"/>
        <w:gridCol w:w="295"/>
        <w:gridCol w:w="699"/>
        <w:gridCol w:w="109"/>
        <w:gridCol w:w="109"/>
        <w:gridCol w:w="109"/>
        <w:gridCol w:w="354"/>
        <w:gridCol w:w="354"/>
        <w:gridCol w:w="836"/>
        <w:gridCol w:w="109"/>
        <w:gridCol w:w="109"/>
        <w:gridCol w:w="109"/>
        <w:gridCol w:w="278"/>
        <w:gridCol w:w="278"/>
        <w:gridCol w:w="77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Leased Statistics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Leasable Area (GLA)</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27,499,000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anchor tenants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small shop tenants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commercial tenant leases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GLA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25,109,000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(1)(2)(4)</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
        <w:gridCol w:w="177"/>
        <w:gridCol w:w="178"/>
        <w:gridCol w:w="2923"/>
        <w:gridCol w:w="2817"/>
        <w:gridCol w:w="3908"/>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57" w:type="dxa"/>
            <w:gridSpan w:val="3"/>
            <w:tcBorders/>
            <w:vAlign w:val="center"/>
          </w:tcPr>
          <w:p>
            <w:pPr>
              <w:pStyle w:val="TableContents"/>
              <w:bidi w:val="0"/>
              <w:spacing w:before="0" w:after="283"/>
              <w:jc w:val="left"/>
              <w:rPr>
                <w:sz w:val="4"/>
                <w:szCs w:val="4"/>
              </w:rPr>
            </w:pPr>
            <w:r>
              <w:rPr>
                <w:sz w:val="4"/>
                <w:szCs w:val="4"/>
              </w:rPr>
            </w:r>
          </w:p>
        </w:tc>
        <w:tc>
          <w:tcPr>
            <w:tcW w:w="9648" w:type="dxa"/>
            <w:gridSpan w:val="3"/>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and residential units not yet placed in service.</w:t>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periods are adjusted for the current comparable property pool.</w:t>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our new residential building at Bala Cynwyd on City Avenue called Blayr that opened in 1Q26 and currently is in the process of being leased-up for the first time. If these units were included at March 31, 2026, our total residential units would be 2,548 and our percentage leased would be 93.9%.</w:t>
            </w:r>
          </w:p>
        </w:tc>
      </w:tr>
      <w:tr>
        <w:trPr/>
        <w:tc>
          <w:tcPr>
            <w:tcW w:w="557" w:type="dxa"/>
            <w:gridSpan w:val="3"/>
            <w:tcBorders/>
            <w:vAlign w:val="center"/>
          </w:tcPr>
          <w:p>
            <w:pPr>
              <w:pStyle w:val="TableContents"/>
              <w:bidi w:val="0"/>
              <w:spacing w:before="0" w:after="283"/>
              <w:jc w:val="left"/>
              <w:rPr>
                <w:sz w:val="4"/>
                <w:szCs w:val="4"/>
              </w:rPr>
            </w:pPr>
            <w:r>
              <w:rPr>
                <w:sz w:val="4"/>
                <w:szCs w:val="4"/>
              </w:rPr>
            </w:r>
          </w:p>
        </w:tc>
        <w:tc>
          <w:tcPr>
            <w:tcW w:w="96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814"/>
        <w:gridCol w:w="702"/>
        <w:gridCol w:w="594"/>
        <w:gridCol w:w="297"/>
        <w:gridCol w:w="297"/>
        <w:gridCol w:w="298"/>
        <w:gridCol w:w="203"/>
        <w:gridCol w:w="1092"/>
        <w:gridCol w:w="113"/>
        <w:gridCol w:w="418"/>
        <w:gridCol w:w="304"/>
        <w:gridCol w:w="718"/>
        <w:gridCol w:w="479"/>
        <w:gridCol w:w="482"/>
        <w:gridCol w:w="228"/>
        <w:gridCol w:w="372"/>
        <w:gridCol w:w="258"/>
        <w:gridCol w:w="610"/>
        <w:gridCol w:w="315"/>
        <w:gridCol w:w="315"/>
        <w:gridCol w:w="45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Tenant Name</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Credit Ratings </w:t>
              <w:br/>
              <w:t>(S&amp;P/Moody's) (1)</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Annualized Base Rent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Annualized Base Rent (3)</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Tenant GLA</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GLA (3)</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TJX Companies,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Ahold Delhaize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NetApp,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Cisco Systems,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Gap, Inc.,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KnitWell Group (Ann Taylor, Chico's, Loft, Talbots, White House Black Market, Soma, Lane Bryant)</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Fitness International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Amazon/Whole Foods</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Albertsons Companies Inc. (Acme, Balducci's, Safeway)</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Depot,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Dick's Sporting Goods,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Entertainment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Kroger Co.,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PUMA North America,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Ulta Beauty,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PwC US Group LLP</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Bob's Discount Furniture,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Burlington Stores,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America, N.A.</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Choice Hotels International,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J.Crew Group,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JPMorgan Chase Bank</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 Top 25 Tenants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236,174,000 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8,597,000 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988,289,000 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Ratings are as of March 31, 2026.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bl>
    <w:p>
      <w:pPr>
        <w:pStyle w:val="TextBody"/>
        <w:bidi w:val="0"/>
        <w:spacing w:before="0" w:after="0"/>
        <w:jc w:val="left"/>
        <w:rPr/>
      </w:pPr>
      <w:r>
        <w:rPr/>
      </w:r>
    </w:p>
    <w:tbl>
      <w:tblPr>
        <w:tblW w:w="9980" w:type="dxa"/>
        <w:jc w:val="left"/>
        <w:tblInd w:w="0" w:type="dxa"/>
        <w:tblLayout w:type="fixed"/>
        <w:tblCellMar>
          <w:top w:w="28" w:type="dxa"/>
          <w:left w:w="28" w:type="dxa"/>
          <w:bottom w:w="28" w:type="dxa"/>
          <w:right w:w="28" w:type="dxa"/>
        </w:tblCellMar>
      </w:tblPr>
      <w:tblGrid>
        <w:gridCol w:w="1929"/>
        <w:gridCol w:w="1692"/>
        <w:gridCol w:w="1704"/>
        <w:gridCol w:w="109"/>
        <w:gridCol w:w="109"/>
        <w:gridCol w:w="109"/>
        <w:gridCol w:w="109"/>
        <w:gridCol w:w="109"/>
        <w:gridCol w:w="109"/>
        <w:gridCol w:w="579"/>
        <w:gridCol w:w="579"/>
        <w:gridCol w:w="581"/>
        <w:gridCol w:w="109"/>
        <w:gridCol w:w="109"/>
        <w:gridCol w:w="109"/>
        <w:gridCol w:w="566"/>
        <w:gridCol w:w="566"/>
        <w:gridCol w:w="803"/>
      </w:tblGrid>
      <w:tr>
        <w:trPr/>
        <w:tc>
          <w:tcPr>
            <w:tcW w:w="192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Guidance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Guidance (1)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Prior Guidance</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$3.94 - $4.03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$3.90 - $4.00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$7.46 - $7.55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$7.46 - $7.55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properties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3.125% - 3.625%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- 3.5%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 $9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 $8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 $15 million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 $15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 $49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 $49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Development/redevelopment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 $225 million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 $225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 $12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 $12 million</w:t>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(1)Does not include the impact of acquisitions or dispositions other than those which have closed as of April 30, 2026. All amounts are estimates.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following table provides a reconciliation of the range of estimated earnings per diluted share to estimated Nareit FFO and Core FFO per diluted share for the full year 2026:</w:t>
      </w:r>
    </w:p>
    <w:tbl>
      <w:tblPr>
        <w:tblW w:w="9338" w:type="dxa"/>
        <w:jc w:val="left"/>
        <w:tblInd w:w="0" w:type="dxa"/>
        <w:tblLayout w:type="fixed"/>
        <w:tblCellMar>
          <w:top w:w="28" w:type="dxa"/>
          <w:left w:w="28" w:type="dxa"/>
          <w:bottom w:w="28" w:type="dxa"/>
          <w:right w:w="28" w:type="dxa"/>
        </w:tblCellMar>
      </w:tblPr>
      <w:tblGrid>
        <w:gridCol w:w="124"/>
        <w:gridCol w:w="109"/>
        <w:gridCol w:w="109"/>
        <w:gridCol w:w="2043"/>
        <w:gridCol w:w="2043"/>
        <w:gridCol w:w="2048"/>
        <w:gridCol w:w="297"/>
        <w:gridCol w:w="720"/>
        <w:gridCol w:w="153"/>
        <w:gridCol w:w="153"/>
        <w:gridCol w:w="153"/>
        <w:gridCol w:w="153"/>
        <w:gridCol w:w="297"/>
        <w:gridCol w:w="720"/>
        <w:gridCol w:w="2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2026 Guidance Range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net income available for common shareholders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sale of real estate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Nareit FFO and Core FFO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Glossary of Terms. Individual items may not add up to total due to rounding.</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pPr>
      <w:r>
        <w:rPr>
          <w:rFonts w:ascii="Times New Roman;serif" w:hAnsi="Times New Roman;serif"/>
          <w:b w:val="false"/>
          <w:color w:val="000000"/>
          <w:sz w:val="20"/>
        </w:rPr>
        <w:t xml:space="preserve">(3)Reflects the estimated additional POI to be recognized in the period indicated versus the prior year or prior year quarter period as applicable. Projects included in incremental redevelopment/expansion POI included Huntington Shopping Center, Santana West, Pike &amp; Rose - 915 Meeting Street, and Bala Cynwyd on City Avenue - Blayr for all periods presented. See page </w:t>
      </w:r>
      <w:hyperlink w:anchor="i9ee125fe6d3e4f45901e20e1495e6a0c_37">
        <w:r>
          <w:rPr>
            <w:rStyle w:val="InternetLink"/>
            <w:rFonts w:ascii="Times New Roman;serif" w:hAnsi="Times New Roman;serif"/>
            <w:b w:val="false"/>
            <w:strike w:val="false"/>
            <w:dstrike w:val="false"/>
            <w:color w:val="000000"/>
            <w:sz w:val="20"/>
            <w:u w:val="none"/>
            <w:effect w:val="none"/>
          </w:rPr>
          <w:t>16</w:t>
        </w:r>
      </w:hyperlink>
      <w:r>
        <w:rPr>
          <w:rFonts w:ascii="Times New Roman;serif" w:hAnsi="Times New Roman;serif"/>
          <w:b w:val="false"/>
          <w:color w:val="000000"/>
          <w:sz w:val="20"/>
        </w:rPr>
        <w:t xml:space="preserve"> for information on these projects and note 2 of page </w:t>
      </w:r>
      <w:hyperlink w:anchor="i9ee125fe6d3e4f45901e20e1495e6a0c_37">
        <w:r>
          <w:rPr>
            <w:rStyle w:val="InternetLink"/>
            <w:rFonts w:ascii="Times New Roman;serif" w:hAnsi="Times New Roman;serif"/>
            <w:b w:val="false"/>
            <w:strike w:val="false"/>
            <w:dstrike w:val="false"/>
            <w:color w:val="000000"/>
            <w:sz w:val="20"/>
            <w:u w:val="none"/>
            <w:effect w:val="none"/>
          </w:rPr>
          <w:t>16</w:t>
        </w:r>
      </w:hyperlink>
      <w:r>
        <w:rPr>
          <w:rFonts w:ascii="Times New Roman;serif" w:hAnsi="Times New Roman;serif"/>
          <w:b w:val="false"/>
          <w:color w:val="000000"/>
          <w:sz w:val="20"/>
        </w:rPr>
        <w:t xml:space="preserve"> for the definition of POI. See also page 17 in our Form 8-K filed on February 12, 2026 related to Huntington Shopping Center.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04"/>
        <w:gridCol w:w="1004"/>
        <w:gridCol w:w="1006"/>
        <w:gridCol w:w="313"/>
        <w:gridCol w:w="536"/>
        <w:gridCol w:w="162"/>
        <w:gridCol w:w="313"/>
        <w:gridCol w:w="536"/>
        <w:gridCol w:w="162"/>
        <w:gridCol w:w="371"/>
        <w:gridCol w:w="636"/>
        <w:gridCol w:w="193"/>
        <w:gridCol w:w="109"/>
        <w:gridCol w:w="109"/>
        <w:gridCol w:w="109"/>
        <w:gridCol w:w="211"/>
        <w:gridCol w:w="361"/>
        <w:gridCol w:w="109"/>
        <w:gridCol w:w="265"/>
        <w:gridCol w:w="453"/>
        <w:gridCol w:w="138"/>
        <w:gridCol w:w="265"/>
        <w:gridCol w:w="453"/>
        <w:gridCol w:w="138"/>
        <w:gridCol w:w="261"/>
        <w:gridCol w:w="448"/>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Quarterly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Actual</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1Q</w:t>
              <w:br/>
              <w:t>Actual</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w:t>
              <w:br/>
              <w:t>Estimate</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w:t>
              <w:br/>
              <w:t>Estimate</w:t>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4Q</w:t>
              <w:br/>
              <w:t>Estimate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redevelopment/expansion POI</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jc w:val="left"/>
        <w:rPr/>
      </w:pPr>
      <w:r>
        <w:rPr>
          <w:rFonts w:ascii="Times New Roman;serif" w:hAnsi="Times New Roman;serif"/>
          <w:b/>
          <w:color w:val="000000"/>
          <w:sz w:val="18"/>
        </w:rPr>
        <w:t>EBITDA for Real Estate (EBITDAre):</w:t>
      </w:r>
      <w:r>
        <w:rPr>
          <w:color w:val="000000"/>
        </w:rPr>
        <w:t xml:space="preserve"> </w:t>
      </w:r>
      <w:r>
        <w:rPr>
          <w:rFonts w:ascii="Times New Roman;serif" w:hAnsi="Times New Roman;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pStyle w:val="TextBody"/>
        <w:bidi w:val="0"/>
        <w:spacing w:lineRule="auto" w:line="288" w:before="180" w:after="283"/>
        <w:jc w:val="left"/>
        <w:rPr/>
      </w:pPr>
      <w:r>
        <w:rPr>
          <w:rFonts w:ascii="Times New Roman;serif" w:hAnsi="Times New Roman;serif"/>
          <w:b/>
          <w:color w:val="000000"/>
          <w:sz w:val="18"/>
        </w:rPr>
        <w:t>Nareit-defined Funds From Operations (Nareit FFO):</w:t>
      </w:r>
      <w:r>
        <w:rPr>
          <w:color w:val="000000"/>
        </w:rPr>
        <w:t xml:space="preserve"> </w:t>
      </w:r>
      <w:r>
        <w:rPr>
          <w:rFonts w:ascii="Times New Roman;serif" w:hAnsi="Times New Roman;serif"/>
          <w:b w:val="false"/>
          <w:color w:val="000000"/>
          <w:sz w:val="18"/>
        </w:rPr>
        <w:t xml:space="preserve">Nareit 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Nareit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Nareit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Nareit FFO to similarly titled measures for other REITs may not necessarily be meaningful due to possible differences in the application of the Nareit definition used by such REITs. </w:t>
      </w:r>
    </w:p>
    <w:p>
      <w:pPr>
        <w:pStyle w:val="TextBody"/>
        <w:bidi w:val="0"/>
        <w:spacing w:lineRule="auto" w:line="288" w:before="180" w:after="283"/>
        <w:jc w:val="left"/>
        <w:rPr/>
      </w:pPr>
      <w:r>
        <w:rPr>
          <w:rFonts w:ascii="Times New Roman;serif" w:hAnsi="Times New Roman;serif"/>
          <w:b/>
          <w:color w:val="000000"/>
          <w:sz w:val="18"/>
        </w:rPr>
        <w:t>Core Funds From Operations (Core FFO):</w:t>
      </w:r>
      <w:r>
        <w:rPr>
          <w:color w:val="000000"/>
        </w:rPr>
        <w:t xml:space="preserve"> </w:t>
      </w:r>
      <w:r>
        <w:rPr>
          <w:rFonts w:ascii="Times New Roman;serif" w:hAnsi="Times New Roman;serif"/>
          <w:b w:val="false"/>
          <w:color w:val="000000"/>
          <w:sz w:val="18"/>
        </w:rPr>
        <w:t>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pStyle w:val="TextBody"/>
        <w:bidi w:val="0"/>
        <w:spacing w:lineRule="auto" w:line="288" w:before="180" w:after="283"/>
        <w:jc w:val="left"/>
        <w:rPr/>
      </w:pPr>
      <w:r>
        <w:rPr>
          <w:rFonts w:ascii="Times New Roman;serif" w:hAnsi="Times New Roman;serif"/>
          <w:b/>
          <w:color w:val="000000"/>
          <w:sz w:val="18"/>
        </w:rPr>
        <w:t xml:space="preserve">Property Operating Income: </w:t>
      </w:r>
      <w:r>
        <w:rPr>
          <w:rFonts w:ascii="Times New Roman;serif" w:hAnsi="Times New Roman;serif"/>
          <w:b w:val="false"/>
          <w:color w:val="000000"/>
          <w:sz w:val="18"/>
        </w:rPr>
        <w:t>Total revenue less rental expenses and real estate taxes.</w:t>
      </w:r>
    </w:p>
    <w:p>
      <w:pPr>
        <w:pStyle w:val="TextBody"/>
        <w:bidi w:val="0"/>
        <w:spacing w:lineRule="auto" w:line="288" w:before="180" w:after="283"/>
        <w:jc w:val="left"/>
        <w:rPr/>
      </w:pPr>
      <w:r>
        <w:rPr>
          <w:rFonts w:ascii="Times New Roman;serif" w:hAnsi="Times New Roman;serif"/>
          <w:b/>
          <w:color w:val="000000"/>
          <w:sz w:val="18"/>
        </w:rPr>
        <w:t>Overall Portfolio:</w:t>
      </w:r>
      <w:r>
        <w:rPr>
          <w:color w:val="000000"/>
        </w:rPr>
        <w:t xml:space="preserve"> </w:t>
      </w:r>
      <w:r>
        <w:rPr>
          <w:rFonts w:ascii="Times New Roman;serif" w:hAnsi="Times New Roman;serif"/>
          <w:b w:val="false"/>
          <w:color w:val="000000"/>
          <w:sz w:val="18"/>
        </w:rPr>
        <w:t>Includes all consolidated operating properties owned in reporting period.</w:t>
      </w:r>
    </w:p>
    <w:p>
      <w:pPr>
        <w:pStyle w:val="TextBody"/>
        <w:bidi w:val="0"/>
        <w:spacing w:lineRule="auto" w:line="288" w:before="180" w:after="283"/>
        <w:jc w:val="left"/>
        <w:rPr/>
      </w:pPr>
      <w:r>
        <w:rPr>
          <w:rFonts w:ascii="Times New Roman;serif" w:hAnsi="Times New Roman;serif"/>
          <w:b/>
          <w:color w:val="000000"/>
          <w:sz w:val="18"/>
        </w:rPr>
        <w:t xml:space="preserve">Comparable Properties: </w:t>
      </w:r>
      <w:r>
        <w:rPr>
          <w:rFonts w:ascii="Times New Roman;serif" w:hAnsi="Times New Roman;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80" w:after="283"/>
        <w:jc w:val="left"/>
        <w:rPr/>
      </w:pPr>
      <w:r>
        <w:rPr>
          <w:rFonts w:ascii="Times New Roman;serif" w:hAnsi="Times New Roman;serif"/>
          <w:b/>
          <w:color w:val="000000"/>
          <w:sz w:val="18"/>
        </w:rPr>
        <w:t xml:space="preserve">Annualized Base Rent (ABR): </w:t>
      </w:r>
      <w:r>
        <w:rPr>
          <w:rFonts w:ascii="Times New Roman;serif" w:hAnsi="Times New Roman;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80" w:after="283"/>
        <w:jc w:val="left"/>
        <w:rPr/>
      </w:pPr>
      <w:r>
        <w:rPr>
          <w:rFonts w:ascii="Times New Roman;serif" w:hAnsi="Times New Roman;serif"/>
          <w:b/>
          <w:color w:val="000000"/>
          <w:sz w:val="18"/>
        </w:rPr>
        <w:t xml:space="preserve">Retail Leasing Summary - Lease Rollover Calculation: </w:t>
      </w:r>
      <w:r>
        <w:rPr>
          <w:rFonts w:ascii="Times New Roman;serif" w:hAnsi="Times New Roman;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80" w:after="283"/>
        <w:jc w:val="left"/>
        <w:rPr/>
      </w:pPr>
      <w:r>
        <w:rPr>
          <w:rFonts w:ascii="Times New Roman;serif" w:hAnsi="Times New Roman;serif"/>
          <w:b/>
          <w:color w:val="000000"/>
          <w:sz w:val="18"/>
        </w:rPr>
        <w:t xml:space="preserve">Tenant Improvements and Incentives: </w:t>
      </w:r>
      <w:r>
        <w:rPr>
          <w:rFonts w:ascii="Times New Roman;serif" w:hAnsi="Times New Roman;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80" w:after="283"/>
        <w:jc w:val="left"/>
        <w:rPr/>
      </w:pPr>
      <w:r>
        <w:rPr>
          <w:rFonts w:ascii="Times New Roman;serif" w:hAnsi="Times New Roman;serif"/>
          <w:b/>
          <w:color w:val="000000"/>
          <w:sz w:val="18"/>
        </w:rPr>
        <w:t>General:</w:t>
      </w:r>
      <w:r>
        <w:rPr>
          <w:color w:val="000000"/>
        </w:rPr>
        <w:t xml:space="preserve"> </w:t>
      </w:r>
      <w:r>
        <w:rPr>
          <w:rFonts w:ascii="Times New Roman;serif" w:hAnsi="Times New Roman;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13808</Words>
  <Characters>74065</Characters>
  <CharactersWithSpaces>85474</CharactersWithSpaces>
  <Paragraphs>4036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