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June 30, 2018</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660" w:type="dxa"/>
            <w:vAlign w:val="bottom"/>
          </w:tcPr>
          <w:p>
            <w:pPr>
              <w:jc w:val="center"/>
              <w:ind w:right="1168"/>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280" w:type="dxa"/>
            <w:vAlign w:val="bottom"/>
          </w:tcPr>
          <w:p>
            <w:pPr>
              <w:jc w:val="center"/>
              <w:ind w:left="120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660" w:type="dxa"/>
            <w:vAlign w:val="bottom"/>
          </w:tcPr>
          <w:p>
            <w:pPr>
              <w:jc w:val="center"/>
              <w:ind w:right="1168"/>
              <w:spacing w:after="0"/>
              <w:rPr>
                <w:sz w:val="20"/>
                <w:szCs w:val="20"/>
                <w:color w:val="auto"/>
              </w:rPr>
            </w:pPr>
            <w:r>
              <w:rPr>
                <w:rFonts w:ascii="Arial" w:cs="Arial" w:eastAsia="Arial" w:hAnsi="Arial"/>
                <w:sz w:val="13"/>
                <w:szCs w:val="13"/>
                <w:b w:val="1"/>
                <w:bCs w:val="1"/>
                <w:color w:val="auto"/>
                <w:w w:val="87"/>
              </w:rPr>
              <w:t>(State or other jurisdiction</w:t>
            </w:r>
          </w:p>
        </w:tc>
        <w:tc>
          <w:tcPr>
            <w:tcW w:w="326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660" w:type="dxa"/>
            <w:vAlign w:val="bottom"/>
          </w:tcPr>
          <w:p>
            <w:pPr>
              <w:jc w:val="center"/>
              <w:ind w:right="1148"/>
              <w:spacing w:after="0"/>
              <w:rPr>
                <w:sz w:val="20"/>
                <w:szCs w:val="20"/>
                <w:color w:val="auto"/>
              </w:rPr>
            </w:pPr>
            <w:r>
              <w:rPr>
                <w:rFonts w:ascii="Arial" w:cs="Arial" w:eastAsia="Arial" w:hAnsi="Arial"/>
                <w:sz w:val="13"/>
                <w:szCs w:val="13"/>
                <w:b w:val="1"/>
                <w:bCs w:val="1"/>
                <w:color w:val="auto"/>
                <w:w w:val="88"/>
              </w:rPr>
              <w:t>of incorporation)</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00" w:lineRule="exact"/>
        <w:rPr>
          <w:sz w:val="24"/>
          <w:szCs w:val="24"/>
          <w:color w:val="auto"/>
        </w:rPr>
      </w:pP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298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284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rFonts w:ascii="MS PGothic" w:cs="MS PGothic" w:eastAsia="MS PGothic" w:hAnsi="MS PGothic"/>
          <w:sz w:val="18"/>
          <w:szCs w:val="18"/>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98" w:lineRule="exact"/>
        <w:rPr>
          <w:rFonts w:ascii="MS PGothic" w:cs="MS PGothic" w:eastAsia="MS PGothic" w:hAnsi="MS PGothic"/>
          <w:sz w:val="18"/>
          <w:szCs w:val="18"/>
          <w:color w:val="auto"/>
        </w:rPr>
      </w:pPr>
    </w:p>
    <w:p>
      <w:pPr>
        <w:ind w:left="900" w:right="260" w:hanging="440"/>
        <w:spacing w:after="0" w:line="308" w:lineRule="auto"/>
        <w:tabs>
          <w:tab w:leader="none" w:pos="9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7"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On August 1, 2018, Federal Realty Investment Trust issued supplemental data pertaining to its operations, as well as a press release, to report its financial results for the quarter ended June 30, 2018. The supplemental data and press release are furnished as Exhibit 99.1 hereto.</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33" w:lineRule="exact"/>
        <w:rPr>
          <w:sz w:val="20"/>
          <w:szCs w:val="20"/>
          <w:color w:val="auto"/>
        </w:rPr>
      </w:pPr>
    </w:p>
    <w:p>
      <w:pPr>
        <w:ind w:left="1960"/>
        <w:spacing w:after="0"/>
        <w:tabs>
          <w:tab w:leader="none" w:pos="254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June 30, 2018 (including press release dated August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FEDERAL REALTY INVESTMENT TRUST</w:t>
      </w:r>
    </w:p>
    <w:p>
      <w:pPr>
        <w:spacing w:after="0" w:line="374" w:lineRule="exact"/>
        <w:rPr>
          <w:sz w:val="20"/>
          <w:szCs w:val="20"/>
          <w:color w:val="auto"/>
        </w:rPr>
      </w:pPr>
    </w:p>
    <w:p>
      <w:pPr>
        <w:ind w:left="1120"/>
        <w:spacing w:after="0"/>
        <w:tabs>
          <w:tab w:leader="none" w:pos="1780" w:val="left"/>
          <w:tab w:leader="none" w:pos="4960" w:val="left"/>
        </w:tabs>
        <w:rPr>
          <w:sz w:val="20"/>
          <w:szCs w:val="20"/>
          <w:color w:val="auto"/>
        </w:rPr>
      </w:pPr>
      <w:r>
        <w:rPr>
          <w:rFonts w:ascii="Arial" w:cs="Arial" w:eastAsia="Arial" w:hAnsi="Arial"/>
          <w:sz w:val="22"/>
          <w:szCs w:val="22"/>
          <w:color w:val="auto"/>
        </w:rPr>
        <w:t>Date:</w:t>
        <w:tab/>
        <w:t>August 1, 2018</w:t>
      </w:r>
      <w:r>
        <w:rPr>
          <w:sz w:val="20"/>
          <w:szCs w:val="20"/>
          <w:color w:val="auto"/>
        </w:rPr>
        <w:tab/>
      </w:r>
      <w:r>
        <w:rPr>
          <w:rFonts w:ascii="Arial" w:cs="Arial" w:eastAsia="Arial" w:hAnsi="Arial"/>
          <w:sz w:val="19"/>
          <w:szCs w:val="19"/>
          <w:u w:val="single" w:color="auto"/>
          <w:color w:val="auto"/>
        </w:rPr>
        <w:t>/s/ Daniel Guglielmone</w:t>
      </w:r>
    </w:p>
    <w:p>
      <w:pPr>
        <w:spacing w:after="0" w:line="36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Daniel Guglielmone</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Executive Vice President-</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380"/>
          </w:cols>
          <w:pgMar w:left="240" w:top="585" w:right="279" w:bottom="1440" w:gutter="0" w:footer="0" w:header="0"/>
        </w:sectPr>
      </w:pPr>
    </w:p>
    <w:bookmarkStart w:id="2" w:name="page3"/>
    <w:bookmarkEnd w:id="2"/>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u w:val="single" w:color="auto"/>
          <w:color w:val="auto"/>
        </w:rPr>
        <w:t>Exh No.</w:t>
      </w:r>
      <w:r>
        <w:rPr>
          <w:sz w:val="20"/>
          <w:szCs w:val="20"/>
          <w:color w:val="auto"/>
        </w:rPr>
        <w:tab/>
      </w:r>
      <w:r>
        <w:rPr>
          <w:rFonts w:ascii="Arial" w:cs="Arial" w:eastAsia="Arial" w:hAnsi="Arial"/>
          <w:sz w:val="21"/>
          <w:szCs w:val="21"/>
          <w:u w:val="single" w:color="auto"/>
          <w:color w:val="auto"/>
        </w:rPr>
        <w:t>Exhibit</w:t>
      </w:r>
    </w:p>
    <w:p>
      <w:pPr>
        <w:spacing w:after="0" w:line="22" w:lineRule="exact"/>
        <w:rPr>
          <w:sz w:val="20"/>
          <w:szCs w:val="20"/>
          <w:color w:val="auto"/>
        </w:rPr>
      </w:pPr>
    </w:p>
    <w:p>
      <w:pPr>
        <w:spacing w:after="0"/>
        <w:tabs>
          <w:tab w:leader="none" w:pos="720" w:val="left"/>
        </w:tabs>
        <w:rPr>
          <w:rFonts w:ascii="Arial" w:cs="Arial" w:eastAsia="Arial" w:hAnsi="Arial"/>
          <w:sz w:val="22"/>
          <w:szCs w:val="22"/>
          <w:color w:val="0000FF"/>
        </w:rPr>
      </w:pPr>
      <w:hyperlink w:anchor="page4">
        <w:r>
          <w:rPr>
            <w:rFonts w:ascii="Arial" w:cs="Arial" w:eastAsia="Arial" w:hAnsi="Arial"/>
            <w:sz w:val="22"/>
            <w:szCs w:val="22"/>
            <w:u w:val="single" w:color="auto"/>
            <w:color w:val="0000FF"/>
          </w:rPr>
          <w:t>99.1</w:t>
        </w:r>
      </w:hyperlink>
      <w:r>
        <w:rPr>
          <w:rFonts w:ascii="Arial" w:cs="Arial" w:eastAsia="Arial" w:hAnsi="Arial"/>
          <w:sz w:val="22"/>
          <w:szCs w:val="22"/>
          <w:color w:val="0000FF"/>
        </w:rPr>
        <w:tab/>
      </w:r>
      <w:r>
        <w:rPr>
          <w:rFonts w:ascii="Arial" w:cs="Arial" w:eastAsia="Arial" w:hAnsi="Arial"/>
          <w:sz w:val="19"/>
          <w:szCs w:val="19"/>
          <w:color w:val="0000FF"/>
        </w:rPr>
        <w:t>Supplemental Information at June 30, 2018</w:t>
      </w:r>
    </w:p>
    <w:p>
      <w:pPr>
        <w:sectPr>
          <w:pgSz w:w="11900" w:h="16838" w:orient="portrait"/>
          <w:cols w:equalWidth="0" w:num="1">
            <w:col w:w="10219"/>
          </w:cols>
          <w:pgMar w:left="240" w:top="59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2018</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1</w:t>
            </w: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Second Quarter 2018 Earnings Press Release</w:t>
            </w:r>
          </w:p>
        </w:tc>
        <w:tc>
          <w:tcPr>
            <w:tcW w:w="200" w:type="dxa"/>
            <w:vAlign w:val="bottom"/>
            <w:gridSpan w:val="3"/>
            <w:shd w:val="clear" w:color="auto" w:fill="CCEEFF"/>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270"/>
        </w:trPr>
        <w:tc>
          <w:tcPr>
            <w:tcW w:w="50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2</w:t>
            </w:r>
          </w:p>
        </w:tc>
        <w:tc>
          <w:tcPr>
            <w:tcW w:w="8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Financial Highlights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Consolidated Income Statements</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7</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Consolidated Balance Sheets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8</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Funds From Operations / Other Supplemental Information</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9</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Market Data</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10</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Components of Rental Income</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11</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Comparable Property Information</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12</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01154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276" w:lineRule="exact"/>
        <w:rPr>
          <w:sz w:val="20"/>
          <w:szCs w:val="20"/>
          <w:color w:val="auto"/>
        </w:rPr>
      </w:pPr>
    </w:p>
    <w:p>
      <w:pPr>
        <w:ind w:left="900" w:hanging="873"/>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8720" w:type="dxa"/>
            <w:vAlign w:val="bottom"/>
          </w:tcPr>
          <w:p>
            <w:pPr>
              <w:ind w:left="1100"/>
              <w:spacing w:after="0"/>
              <w:rPr>
                <w:sz w:val="20"/>
                <w:szCs w:val="20"/>
                <w:color w:val="auto"/>
              </w:rPr>
            </w:pPr>
            <w:r>
              <w:rPr>
                <w:rFonts w:ascii="Arial" w:cs="Arial" w:eastAsia="Arial" w:hAnsi="Arial"/>
                <w:sz w:val="18"/>
                <w:szCs w:val="18"/>
                <w:color w:val="auto"/>
              </w:rPr>
              <w:t>Summary of Outstanding Debt and Capital Lease Obligations</w:t>
            </w:r>
          </w:p>
        </w:tc>
        <w:tc>
          <w:tcPr>
            <w:tcW w:w="200" w:type="dxa"/>
            <w:vAlign w:val="bottom"/>
            <w:gridSpan w:val="2"/>
          </w:tcPr>
          <w:p>
            <w:pPr>
              <w:jc w:val="right"/>
              <w:ind w:right="20"/>
              <w:spacing w:after="0"/>
              <w:rPr>
                <w:rFonts w:ascii="Arial" w:cs="Arial" w:eastAsia="Arial" w:hAnsi="Arial"/>
                <w:sz w:val="18"/>
                <w:szCs w:val="18"/>
                <w:color w:val="0000EE"/>
                <w:w w:val="79"/>
              </w:rPr>
            </w:pPr>
            <w:hyperlink w:anchor="page17">
              <w:r>
                <w:rPr>
                  <w:rFonts w:ascii="Arial" w:cs="Arial" w:eastAsia="Arial" w:hAnsi="Arial"/>
                  <w:sz w:val="18"/>
                  <w:szCs w:val="18"/>
                  <w:color w:val="0000EE"/>
                  <w:w w:val="79"/>
                </w:rPr>
                <w:t>13</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540" w:type="dxa"/>
            <w:vAlign w:val="bottom"/>
            <w:shd w:val="clear" w:color="auto" w:fill="CCEEFF"/>
          </w:tcPr>
          <w:p>
            <w:pPr>
              <w:spacing w:after="0"/>
              <w:rPr>
                <w:sz w:val="21"/>
                <w:szCs w:val="21"/>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Summary of Debt Maturities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15</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4</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Summary of Redevelopment Opportunities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16</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5</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Assembly Row, Pike &amp; Rose, and Santana Row</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17</w:t>
              </w:r>
            </w:hyperlink>
          </w:p>
        </w:tc>
      </w:tr>
      <w:tr>
        <w:trPr>
          <w:trHeight w:val="32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6</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Future Redevelopment Opportunities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18</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7</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19</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8</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Retail Leasing Summary</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23</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9</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Lease Expirations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24</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10</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Portfolio Leased Statistics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25</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11</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Summary of Top 25 Tenants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26</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12</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Reconciliation of FFO Guidance</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27</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13</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Glossary of Terms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28</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01154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460"/>
          </w:cols>
          <w:pgMar w:left="1220" w:top="742" w:right="12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13, 2018, and include the following:</w:t>
      </w:r>
    </w:p>
    <w:p>
      <w:pPr>
        <w:spacing w:after="0" w:line="190" w:lineRule="exact"/>
        <w:rPr>
          <w:sz w:val="20"/>
          <w:szCs w:val="20"/>
          <w:color w:val="auto"/>
        </w:rPr>
      </w:pPr>
    </w:p>
    <w:p>
      <w:pPr>
        <w:ind w:left="980" w:right="140" w:hanging="324"/>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i w:val="1"/>
          <w:iCs w:val="1"/>
          <w:color w:val="auto"/>
        </w:rPr>
      </w:pPr>
    </w:p>
    <w:p>
      <w:pPr>
        <w:ind w:left="980" w:right="40" w:hanging="324"/>
        <w:spacing w:after="0" w:line="265"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8"/>
          <w:szCs w:val="18"/>
          <w:color w:val="auto"/>
        </w:rPr>
      </w:pPr>
    </w:p>
    <w:p>
      <w:pPr>
        <w:jc w:val="both"/>
        <w:ind w:left="980" w:right="58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13, 2018.</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6134735</wp:posOffset>
            </wp:positionH>
            <wp:positionV relativeFrom="page">
              <wp:posOffset>88900</wp:posOffset>
            </wp:positionV>
            <wp:extent cx="1269365"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269365" cy="377190"/>
                    </a:xfrm>
                    <a:prstGeom prst="rect">
                      <a:avLst/>
                    </a:prstGeom>
                    <a:noFill/>
                  </pic:spPr>
                </pic:pic>
              </a:graphicData>
            </a:graphic>
          </wp:anchor>
        </w:drawing>
        <w:drawing>
          <wp:anchor simplePos="0" relativeHeight="251657728" behindDoc="1" locked="0" layoutInCell="0" allowOverlap="1">
            <wp:simplePos x="0" y="0"/>
            <wp:positionH relativeFrom="page">
              <wp:posOffset>2687320</wp:posOffset>
            </wp:positionH>
            <wp:positionV relativeFrom="page">
              <wp:posOffset>620395</wp:posOffset>
            </wp:positionV>
            <wp:extent cx="2195195" cy="591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195195" cy="5918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NEWS RELEASE</w:t>
            </w:r>
          </w:p>
        </w:tc>
        <w:tc>
          <w:tcPr>
            <w:tcW w:w="5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www.federalrealty.com</w:t>
            </w:r>
          </w:p>
        </w:tc>
      </w:tr>
      <w:tr>
        <w:trPr>
          <w:trHeight w:val="419"/>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FOR IMMEDIATE RELEASE</w:t>
            </w:r>
          </w:p>
        </w:tc>
        <w:tc>
          <w:tcPr>
            <w:tcW w:w="5380" w:type="dxa"/>
            <w:vAlign w:val="bottom"/>
          </w:tcPr>
          <w:p>
            <w:pPr>
              <w:spacing w:after="0"/>
              <w:rPr>
                <w:sz w:val="24"/>
                <w:szCs w:val="24"/>
                <w:color w:val="auto"/>
              </w:rPr>
            </w:pPr>
          </w:p>
        </w:tc>
      </w:tr>
      <w:tr>
        <w:trPr>
          <w:trHeight w:val="486"/>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Investor Inquiries:</w:t>
            </w:r>
          </w:p>
        </w:tc>
        <w:tc>
          <w:tcPr>
            <w:tcW w:w="5380" w:type="dxa"/>
            <w:vAlign w:val="bottom"/>
          </w:tcPr>
          <w:p>
            <w:pPr>
              <w:jc w:val="right"/>
              <w:spacing w:after="0"/>
              <w:rPr>
                <w:sz w:val="20"/>
                <w:szCs w:val="20"/>
                <w:color w:val="auto"/>
              </w:rPr>
            </w:pPr>
            <w:r>
              <w:rPr>
                <w:rFonts w:ascii="Arial" w:cs="Arial" w:eastAsia="Arial" w:hAnsi="Arial"/>
                <w:sz w:val="18"/>
                <w:szCs w:val="18"/>
                <w:i w:val="1"/>
                <w:iCs w:val="1"/>
                <w:color w:val="auto"/>
              </w:rPr>
              <w:t>Media Inquiries:</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Leah Andress Brady</w:t>
            </w:r>
          </w:p>
        </w:tc>
        <w:tc>
          <w:tcPr>
            <w:tcW w:w="5380" w:type="dxa"/>
            <w:vAlign w:val="bottom"/>
          </w:tcPr>
          <w:p>
            <w:pPr>
              <w:jc w:val="right"/>
              <w:spacing w:after="0"/>
              <w:rPr>
                <w:sz w:val="20"/>
                <w:szCs w:val="20"/>
                <w:color w:val="auto"/>
              </w:rPr>
            </w:pPr>
            <w:r>
              <w:rPr>
                <w:rFonts w:ascii="Arial" w:cs="Arial" w:eastAsia="Arial" w:hAnsi="Arial"/>
                <w:sz w:val="18"/>
                <w:szCs w:val="18"/>
                <w:color w:val="auto"/>
              </w:rPr>
              <w:t>Andrea Simpson</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Investor Relations Manager</w:t>
            </w:r>
          </w:p>
        </w:tc>
        <w:tc>
          <w:tcPr>
            <w:tcW w:w="5380" w:type="dxa"/>
            <w:vAlign w:val="bottom"/>
          </w:tcPr>
          <w:p>
            <w:pPr>
              <w:jc w:val="right"/>
              <w:spacing w:after="0"/>
              <w:rPr>
                <w:sz w:val="20"/>
                <w:szCs w:val="20"/>
                <w:color w:val="auto"/>
              </w:rPr>
            </w:pPr>
            <w:r>
              <w:rPr>
                <w:rFonts w:ascii="Arial" w:cs="Arial" w:eastAsia="Arial" w:hAnsi="Arial"/>
                <w:sz w:val="18"/>
                <w:szCs w:val="18"/>
                <w:color w:val="auto"/>
              </w:rPr>
              <w:t>Vice President, Marketing</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301.998.8265</w:t>
            </w:r>
          </w:p>
        </w:tc>
        <w:tc>
          <w:tcPr>
            <w:tcW w:w="5380" w:type="dxa"/>
            <w:vAlign w:val="bottom"/>
          </w:tcPr>
          <w:p>
            <w:pPr>
              <w:jc w:val="right"/>
              <w:spacing w:after="0"/>
              <w:rPr>
                <w:sz w:val="20"/>
                <w:szCs w:val="20"/>
                <w:color w:val="auto"/>
              </w:rPr>
            </w:pPr>
            <w:r>
              <w:rPr>
                <w:rFonts w:ascii="Arial" w:cs="Arial" w:eastAsia="Arial" w:hAnsi="Arial"/>
                <w:sz w:val="18"/>
                <w:szCs w:val="18"/>
                <w:color w:val="auto"/>
              </w:rPr>
              <w:t>617.684.1511</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lbrady@federalrealty.com</w:t>
            </w:r>
          </w:p>
        </w:tc>
        <w:tc>
          <w:tcPr>
            <w:tcW w:w="5380" w:type="dxa"/>
            <w:vAlign w:val="bottom"/>
          </w:tcPr>
          <w:p>
            <w:pPr>
              <w:jc w:val="right"/>
              <w:spacing w:after="0"/>
              <w:rPr>
                <w:sz w:val="20"/>
                <w:szCs w:val="20"/>
                <w:color w:val="auto"/>
              </w:rPr>
            </w:pPr>
            <w:r>
              <w:rPr>
                <w:rFonts w:ascii="Arial" w:cs="Arial" w:eastAsia="Arial" w:hAnsi="Arial"/>
                <w:sz w:val="18"/>
                <w:szCs w:val="18"/>
                <w:i w:val="1"/>
                <w:iCs w:val="1"/>
                <w:color w:val="auto"/>
              </w:rPr>
              <w:t>asimpson@federalrealty.com</w:t>
            </w: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Announces Second Quarter 2018 Operating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Announces 51st consecutive annual dividend increase -</w:t>
      </w:r>
    </w:p>
    <w:p>
      <w:pPr>
        <w:spacing w:after="0" w:line="297" w:lineRule="exact"/>
        <w:rPr>
          <w:sz w:val="20"/>
          <w:szCs w:val="20"/>
          <w:color w:val="auto"/>
        </w:rPr>
      </w:pPr>
    </w:p>
    <w:p>
      <w:pPr>
        <w:spacing w:after="0" w:line="371" w:lineRule="auto"/>
        <w:rPr>
          <w:sz w:val="20"/>
          <w:szCs w:val="20"/>
          <w:color w:val="auto"/>
        </w:rPr>
      </w:pPr>
      <w:r>
        <w:rPr>
          <w:rFonts w:ascii="Arial" w:cs="Arial" w:eastAsia="Arial" w:hAnsi="Arial"/>
          <w:sz w:val="18"/>
          <w:szCs w:val="18"/>
          <w:color w:val="auto"/>
        </w:rPr>
        <w:t xml:space="preserve">ROCKVILLE, Md. (August 1, 2018) - </w:t>
      </w:r>
      <w:r>
        <w:rPr>
          <w:rFonts w:ascii="Arial" w:cs="Arial" w:eastAsia="Arial" w:hAnsi="Arial"/>
          <w:sz w:val="18"/>
          <w:szCs w:val="18"/>
          <w:u w:val="single" w:color="auto"/>
          <w:color w:val="auto"/>
        </w:rPr>
        <w:t>Federal Realty Investment Trust</w:t>
      </w:r>
      <w:r>
        <w:rPr>
          <w:rFonts w:ascii="Arial" w:cs="Arial" w:eastAsia="Arial" w:hAnsi="Arial"/>
          <w:sz w:val="18"/>
          <w:szCs w:val="18"/>
          <w:color w:val="auto"/>
        </w:rPr>
        <w:t xml:space="preserve"> (NYSE:FRT) today reported operating results for its second quarter ended June 30, 2018. Highlights of the quarter and recent activity include:</w:t>
      </w:r>
    </w:p>
    <w:p>
      <w:pPr>
        <w:spacing w:after="0" w:line="116" w:lineRule="exact"/>
        <w:rPr>
          <w:sz w:val="20"/>
          <w:szCs w:val="20"/>
          <w:color w:val="auto"/>
        </w:rPr>
      </w:pPr>
    </w:p>
    <w:p>
      <w:pPr>
        <w:ind w:left="660" w:hanging="328"/>
        <w:spacing w:after="0" w:line="35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earnings per diluted share of $0.84 for the quarter compared to $1.05 in second quarter 2017, which included a $0.26 gain on sale of real estate.</w:t>
      </w:r>
    </w:p>
    <w:p>
      <w:pPr>
        <w:spacing w:after="0" w:line="14" w:lineRule="exact"/>
        <w:rPr>
          <w:rFonts w:ascii="Arial" w:cs="Arial" w:eastAsia="Arial" w:hAnsi="Arial"/>
          <w:sz w:val="18"/>
          <w:szCs w:val="18"/>
          <w:color w:val="auto"/>
        </w:rPr>
      </w:pPr>
    </w:p>
    <w:p>
      <w:pPr>
        <w:ind w:left="660" w:right="20" w:hanging="328"/>
        <w:spacing w:after="0" w:line="35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funds from operations available for common shareholders (FFO) per diluted share of $1.55 for the quarter compared to $1.49 in second quarter 2017.</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comparable property property operating income (POI) growth of 3.6% for the second quarter.</w:t>
      </w:r>
    </w:p>
    <w:p>
      <w:pPr>
        <w:spacing w:after="0" w:line="103" w:lineRule="exact"/>
        <w:rPr>
          <w:rFonts w:ascii="Arial" w:cs="Arial" w:eastAsia="Arial" w:hAnsi="Arial"/>
          <w:sz w:val="18"/>
          <w:szCs w:val="18"/>
          <w:color w:val="auto"/>
        </w:rPr>
      </w:pPr>
    </w:p>
    <w:p>
      <w:pPr>
        <w:ind w:left="660" w:hanging="328"/>
        <w:spacing w:after="0" w:line="34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Signed leases for 449,247 sf of comparable space (474,578 sf total) in the second quarter at an average rent of $34.75 psf and achieved cash basis rollover growth on those comparable spaces of 10%.</w:t>
      </w:r>
    </w:p>
    <w:p>
      <w:pPr>
        <w:spacing w:after="0" w:line="19" w:lineRule="exact"/>
        <w:rPr>
          <w:rFonts w:ascii="Arial" w:cs="Arial" w:eastAsia="Arial" w:hAnsi="Arial"/>
          <w:sz w:val="18"/>
          <w:szCs w:val="18"/>
          <w:color w:val="auto"/>
        </w:rPr>
      </w:pPr>
    </w:p>
    <w:p>
      <w:pPr>
        <w:ind w:left="660" w:right="20" w:hanging="328"/>
        <w:spacing w:after="0" w:line="352"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Increased regular quarterly dividend rate on common shares to $1.02 per share, representing the 51st consecutive year of common dividend increases.</w:t>
      </w:r>
    </w:p>
    <w:p>
      <w:pPr>
        <w:spacing w:after="0" w:line="14"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2018 FFO per diluted share guidance range to $6.13 - $6.23.</w:t>
      </w:r>
    </w:p>
    <w:p>
      <w:pPr>
        <w:spacing w:after="0" w:line="200" w:lineRule="exact"/>
        <w:rPr>
          <w:sz w:val="20"/>
          <w:szCs w:val="20"/>
          <w:color w:val="auto"/>
        </w:rPr>
      </w:pPr>
    </w:p>
    <w:p>
      <w:pPr>
        <w:spacing w:after="0" w:line="214" w:lineRule="exact"/>
        <w:rPr>
          <w:sz w:val="20"/>
          <w:szCs w:val="20"/>
          <w:color w:val="auto"/>
        </w:rPr>
      </w:pPr>
    </w:p>
    <w:p>
      <w:pPr>
        <w:jc w:val="both"/>
        <w:spacing w:after="0" w:line="362" w:lineRule="auto"/>
        <w:rPr>
          <w:sz w:val="20"/>
          <w:szCs w:val="20"/>
          <w:color w:val="auto"/>
        </w:rPr>
      </w:pPr>
      <w:r>
        <w:rPr>
          <w:rFonts w:ascii="Arial" w:cs="Arial" w:eastAsia="Arial" w:hAnsi="Arial"/>
          <w:sz w:val="18"/>
          <w:szCs w:val="18"/>
          <w:color w:val="323232"/>
        </w:rPr>
        <w:t>"</w:t>
      </w:r>
      <w:r>
        <w:rPr>
          <w:rFonts w:ascii="Arial" w:cs="Arial" w:eastAsia="Arial" w:hAnsi="Arial"/>
          <w:sz w:val="18"/>
          <w:szCs w:val="18"/>
          <w:color w:val="000000"/>
        </w:rPr>
        <w:t>Continued solid growth in our property level operating income this quarter along with solid progress in developing and delivering great new</w:t>
      </w:r>
      <w:r>
        <w:rPr>
          <w:rFonts w:ascii="Arial" w:cs="Arial" w:eastAsia="Arial" w:hAnsi="Arial"/>
          <w:sz w:val="18"/>
          <w:szCs w:val="18"/>
          <w:color w:val="323232"/>
        </w:rPr>
        <w:t xml:space="preserve"> </w:t>
      </w:r>
      <w:r>
        <w:rPr>
          <w:rFonts w:ascii="Arial" w:cs="Arial" w:eastAsia="Arial" w:hAnsi="Arial"/>
          <w:sz w:val="18"/>
          <w:szCs w:val="18"/>
          <w:color w:val="000000"/>
        </w:rPr>
        <w:t>retail and mixed use destinations for the years to come, gives us great confidence in our ability to raise our dividend to shareholders for a REIT record 51st year in a row, that is, since 1967,” said Donald C. Wood, President and Chief Executive Officer of Federal Realty. “As I celebrate my own 20th year anniversary with the Company in 2018 and 15th as its chief executive, I still marvel at the quality of the real estate and balance sheet that allows us to build on this incredibly unique and rare feat year in and year out. It’s only possible by truly acting with long term real estate value creation always top of mind.</w:t>
      </w:r>
      <w:r>
        <w:rPr>
          <w:rFonts w:ascii="Arial" w:cs="Arial" w:eastAsia="Arial" w:hAnsi="Arial"/>
          <w:sz w:val="18"/>
          <w:szCs w:val="18"/>
          <w:color w:val="1D1D1D"/>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6134735</wp:posOffset>
            </wp:positionH>
            <wp:positionV relativeFrom="page">
              <wp:posOffset>88900</wp:posOffset>
            </wp:positionV>
            <wp:extent cx="1269365" cy="377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269365" cy="377190"/>
                    </a:xfrm>
                    <a:prstGeom prst="rect">
                      <a:avLst/>
                    </a:prstGeom>
                    <a:noFill/>
                  </pic:spPr>
                </pic:pic>
              </a:graphicData>
            </a:graphic>
          </wp:anchor>
        </w:drawing>
        <w:t>Financial Results</w:t>
      </w:r>
    </w:p>
    <w:p>
      <w:pPr>
        <w:spacing w:after="0" w:line="220"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Net income available for common shareholders was $61.6 million and earnings per diluted share was $0.84 for second quarter 2018 versus $76.2 million and $1.05, respectively, for second quarter 2017 which included a $0.26 gain on sale of real estate.</w:t>
      </w:r>
    </w:p>
    <w:p>
      <w:pPr>
        <w:spacing w:after="0" w:line="116"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In second quarter 2018, Federal Realty generated FFO of $114.8 million, or $1.55 per diluted share. This compares to FFO of $108.6 million, or $1.49 per diluted share, in second quarter 2017.</w:t>
      </w:r>
    </w:p>
    <w:p>
      <w:pPr>
        <w:spacing w:after="0" w:line="116"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Results</w:t>
      </w:r>
    </w:p>
    <w:p>
      <w:pPr>
        <w:spacing w:after="0" w:line="261"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In second quarter 2018, comparable property POI increased 3.6%. Comparable property POI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w:t>
      </w:r>
    </w:p>
    <w:p>
      <w:pPr>
        <w:spacing w:after="0" w:line="122"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The overall portfolio was 95.0% leased as of June 30, 2018, compared to 94.8% on March 31, 2018 and 94.5% on June 30, 2017. Federal Realty’s comparable portfolio was 95.5% leased on June 30, 2018, compared to 95.3% on March 31, 2018 and June 30, 2017.</w:t>
      </w:r>
    </w:p>
    <w:p>
      <w:pPr>
        <w:spacing w:after="0" w:line="116" w:lineRule="exact"/>
        <w:rPr>
          <w:sz w:val="20"/>
          <w:szCs w:val="20"/>
          <w:color w:val="auto"/>
        </w:rPr>
      </w:pPr>
    </w:p>
    <w:p>
      <w:pPr>
        <w:ind w:right="40"/>
        <w:spacing w:after="0" w:line="362" w:lineRule="auto"/>
        <w:rPr>
          <w:sz w:val="20"/>
          <w:szCs w:val="20"/>
          <w:color w:val="auto"/>
        </w:rPr>
      </w:pPr>
      <w:r>
        <w:rPr>
          <w:rFonts w:ascii="Arial" w:cs="Arial" w:eastAsia="Arial" w:hAnsi="Arial"/>
          <w:sz w:val="18"/>
          <w:szCs w:val="18"/>
          <w:color w:val="auto"/>
        </w:rPr>
        <w:t>During second quarter 2018, Federal Realty signed 106 leases for 474,578 square feet of retail space. On a comparable space basis (i.e., spaces for which there was a former tenant), Federal Realty leased 449,247 square feet at an average cash basis contractual rent increase (i.e., excluding the impact of straight-line rents) of 10%. The average contractual rent on this comparable space for the first year of the new leases is $34.75 per square foot compared to the average contractual rent of $31.61 per square foot for the last year of the prior leases. The previous average contractual rent was calculated by including both the minimum rent and any percentage rent actually paid during the last year of the lease term for the re-leased space. On a straight-line basis, rent increases for comparable retail space averaged 20% for second quarter 2018.</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Other Quarterly Activities and Recent Developments</w:t>
      </w:r>
    </w:p>
    <w:p>
      <w:pPr>
        <w:spacing w:after="0" w:line="261" w:lineRule="exact"/>
        <w:rPr>
          <w:sz w:val="20"/>
          <w:szCs w:val="20"/>
          <w:color w:val="auto"/>
        </w:rPr>
      </w:pPr>
    </w:p>
    <w:p>
      <w:pPr>
        <w:jc w:val="both"/>
        <w:ind w:left="660" w:hanging="328"/>
        <w:spacing w:after="0" w:line="36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June 15, 2018 - Federal Realty formed a new joint venture with Primestor Development Inc. to develop Jordan Downs Plaza shopping center in the Watts neighborhood of Los Angeles. When completed, Jordan Downs Plaza will be an approximately 113,000 square foot grocery anchored shopping center. The Trust expects the net project costs to be approximately $40 million.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95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6134735</wp:posOffset>
            </wp:positionH>
            <wp:positionV relativeFrom="page">
              <wp:posOffset>88900</wp:posOffset>
            </wp:positionV>
            <wp:extent cx="1269365" cy="37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269365" cy="377190"/>
                    </a:xfrm>
                    <a:prstGeom prst="rect">
                      <a:avLst/>
                    </a:prstGeom>
                    <a:noFill/>
                  </pic:spPr>
                </pic:pic>
              </a:graphicData>
            </a:graphic>
          </wp:anchor>
        </w:drawing>
        <w:t>Regular Quarterly Dividends</w:t>
      </w:r>
    </w:p>
    <w:p>
      <w:pPr>
        <w:spacing w:after="0" w:line="261"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Federal Realty also announced today that its Board of Trustees increased the regular dividend rate on its common shares, declaring a regular quarterly cash dividend of $1.02 per share, resulting in an indicated annual rate of $4.08 per share. The regular common dividend will be payable on October 15, 2018, to common shareholders of record on September 21, 2018. This increase represents the 51st consecutive year that Federal Realty has increased its common dividend, the longest record of consecutive annual dividend increases in the REIT sector, and one of only a small number of companies in any sector to accomplish such a record.</w:t>
      </w:r>
    </w:p>
    <w:p>
      <w:pPr>
        <w:spacing w:after="0" w:line="123"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Federal Realty’s Board of Trustees also declared a quarterly cash dividend on its Class C depositary shares, each representing 1/1000 of a 5.000% Series C Cumulative Preferred Share of Beneficial Interest, of $0.3125 per depositary share. All dividends on the depositary shares will be payable on October 15, 2018 to shareholders of record as of October 1, 2018.</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Guidance</w:t>
      </w:r>
    </w:p>
    <w:p>
      <w:pPr>
        <w:spacing w:after="0" w:line="261"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Federal Realty increased its 2018 guidance for FFO per diluted share to $6.13 to $6.23 and increased its 2018 earnings per diluted share guidance to $3.14 to $3.24.</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61"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Federal Realty’s management team will present an in-depth discussion of the Trust’s operating performance on its second quarter 2018 earnings conference call, which is scheduled for Thursday, August 2, 2018 at 10:00AM ET. To participate, please call 877.445.3230 five to ten minutes prior to the call start time and use the passcode 9687996 (required). A replay of the webcast will be available on Federal Realty’s website at www.federalrealty.com. A telephonic replay of the conference call will also be available through August 9, 2018 by dialing 855.859.2056; Passcode: 9687996.</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Federal Realty</w:t>
      </w:r>
    </w:p>
    <w:p>
      <w:pPr>
        <w:spacing w:after="0" w:line="261" w:lineRule="exact"/>
        <w:rPr>
          <w:sz w:val="20"/>
          <w:szCs w:val="20"/>
          <w:color w:val="auto"/>
        </w:rPr>
      </w:pPr>
    </w:p>
    <w:p>
      <w:pPr>
        <w:jc w:val="both"/>
        <w:spacing w:after="0" w:line="362" w:lineRule="auto"/>
        <w:rPr>
          <w:sz w:val="20"/>
          <w:szCs w:val="20"/>
          <w:color w:val="auto"/>
        </w:rPr>
      </w:pPr>
      <w:r>
        <w:rPr>
          <w:rFonts w:ascii="Arial" w:cs="Arial" w:eastAsia="Arial" w:hAnsi="Arial"/>
          <w:sz w:val="18"/>
          <w:szCs w:val="18"/>
          <w:color w:val="auto"/>
        </w:rPr>
        <w:t>Federal Realty is a recognized leader in the ownership, operation and redevelopment of high-quality retail based properties located primarily in major coastal markets from Washington, D.C. to Boston as well as San Francisco and Los Angeles. Founded in 1962, Federal Realty’s mission is to deliver long term, sustainable growth through investing in densely populated, affluent communities where retail demand exceeds supply. Its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105 properties include approximately 3,000 tenants, in approximately 24 million square feet, and over 2,600 residential units.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008" w:right="239" w:bottom="1440" w:gutter="0" w:footer="0" w:header="0"/>
        </w:sectPr>
      </w:pPr>
    </w:p>
    <w:bookmarkStart w:id="8" w:name="page9"/>
    <w:bookmarkEnd w:id="8"/>
    <w:p>
      <w:pPr>
        <w:ind w:right="280"/>
        <w:spacing w:after="0" w:line="36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6134735</wp:posOffset>
            </wp:positionH>
            <wp:positionV relativeFrom="page">
              <wp:posOffset>88900</wp:posOffset>
            </wp:positionV>
            <wp:extent cx="1269365"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69365" cy="377190"/>
                    </a:xfrm>
                    <a:prstGeom prst="rect">
                      <a:avLst/>
                    </a:prstGeom>
                    <a:noFill/>
                  </pic:spPr>
                </pic:pic>
              </a:graphicData>
            </a:graphic>
          </wp:anchor>
        </w:drawing>
        <w:t>Federal Realty has increased its quarterly dividends to its shareholders for 51 consecutive years, the longest record in the REIT industry. Federal Realty is an S&amp;P 500 index member and its shares are traded on the NYSE under the symbol FRT. For additional information about Federal Realty and its properties, visit www.FederalRealty.com.</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Language</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13, 2018, and include the following:</w:t>
      </w:r>
    </w:p>
    <w:p>
      <w:pPr>
        <w:spacing w:after="0" w:line="125" w:lineRule="exact"/>
        <w:rPr>
          <w:sz w:val="20"/>
          <w:szCs w:val="20"/>
          <w:color w:val="auto"/>
        </w:rPr>
      </w:pPr>
    </w:p>
    <w:p>
      <w:pPr>
        <w:ind w:left="66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spacing w:after="0" w:line="30"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redevelopments or renovation projects that we do pursue may cost more, take more time to complete, or fail to perform as expected;</w:t>
      </w:r>
    </w:p>
    <w:p>
      <w:pPr>
        <w:spacing w:after="0" w:line="30" w:lineRule="exact"/>
        <w:rPr>
          <w:rFonts w:ascii="Arial" w:cs="Arial" w:eastAsia="Arial" w:hAnsi="Arial"/>
          <w:sz w:val="18"/>
          <w:szCs w:val="18"/>
          <w:color w:val="auto"/>
        </w:rPr>
      </w:pPr>
    </w:p>
    <w:p>
      <w:pPr>
        <w:jc w:val="both"/>
        <w:ind w:left="660" w:hanging="328"/>
        <w:spacing w:after="0" w:line="28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we are investing a significant amount in ground-up development projects that may not perform as planned, may be dependent on third parties to deliver critical aspects of certain projects, requires spending a substantial amount upfront in infrastructure, and assumes receipt of public funding which has been committed but not entirely funded;</w:t>
      </w:r>
    </w:p>
    <w:p>
      <w:pPr>
        <w:spacing w:after="0" w:line="31" w:lineRule="exact"/>
        <w:rPr>
          <w:rFonts w:ascii="Arial" w:cs="Arial" w:eastAsia="Arial" w:hAnsi="Arial"/>
          <w:sz w:val="18"/>
          <w:szCs w:val="18"/>
          <w:color w:val="auto"/>
        </w:rPr>
      </w:pPr>
    </w:p>
    <w:p>
      <w:pPr>
        <w:jc w:val="both"/>
        <w:ind w:left="660" w:hanging="328"/>
        <w:spacing w:after="0" w:line="29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our growth will be limited if we cannot obtain additional capital;</w:t>
      </w:r>
    </w:p>
    <w:p>
      <w:pPr>
        <w:spacing w:after="0" w:line="12"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30" w:lineRule="exact"/>
        <w:rPr>
          <w:rFonts w:ascii="Arial" w:cs="Arial" w:eastAsia="Arial" w:hAnsi="Arial"/>
          <w:sz w:val="18"/>
          <w:szCs w:val="18"/>
          <w:color w:val="auto"/>
        </w:rPr>
      </w:pPr>
    </w:p>
    <w:p>
      <w:pPr>
        <w:jc w:val="both"/>
        <w:ind w:left="660" w:right="20" w:hanging="328"/>
        <w:spacing w:after="0" w:line="28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1" w:lineRule="exact"/>
        <w:rPr>
          <w:rFonts w:ascii="Arial" w:cs="Arial" w:eastAsia="Arial" w:hAnsi="Arial"/>
          <w:sz w:val="18"/>
          <w:szCs w:val="18"/>
          <w:color w:val="auto"/>
        </w:rPr>
      </w:pPr>
    </w:p>
    <w:p>
      <w:pPr>
        <w:jc w:val="both"/>
        <w:ind w:left="660" w:right="20" w:hanging="328"/>
        <w:spacing w:after="0" w:line="29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with the Securities and Exchange Commission on February 13, 2018.</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030" w:right="23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Income Statements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Pr>
          <w:p>
            <w:pPr>
              <w:spacing w:after="0"/>
              <w:rPr>
                <w:sz w:val="16"/>
                <w:szCs w:val="16"/>
                <w:color w:val="auto"/>
              </w:rPr>
            </w:pPr>
          </w:p>
        </w:tc>
        <w:tc>
          <w:tcPr>
            <w:tcW w:w="222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6"/>
        </w:trPr>
        <w:tc>
          <w:tcPr>
            <w:tcW w:w="5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Pr>
          <w:p>
            <w:pPr>
              <w:spacing w:after="0"/>
              <w:rPr>
                <w:sz w:val="24"/>
                <w:szCs w:val="24"/>
                <w:color w:val="auto"/>
              </w:rPr>
            </w:pPr>
          </w:p>
        </w:tc>
        <w:tc>
          <w:tcPr>
            <w:tcW w:w="13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4"/>
        </w:trPr>
        <w:tc>
          <w:tcPr>
            <w:tcW w:w="5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5280" w:type="dxa"/>
            <w:vAlign w:val="bottom"/>
          </w:tcPr>
          <w:p>
            <w:pPr>
              <w:ind w:left="40"/>
              <w:spacing w:after="0"/>
              <w:rPr>
                <w:sz w:val="20"/>
                <w:szCs w:val="20"/>
                <w:color w:val="auto"/>
              </w:rPr>
            </w:pPr>
            <w:r>
              <w:rPr>
                <w:rFonts w:ascii="Arial" w:cs="Arial" w:eastAsia="Arial" w:hAnsi="Arial"/>
                <w:sz w:val="18"/>
                <w:szCs w:val="18"/>
                <w:color w:val="auto"/>
              </w:rPr>
              <w:t>REVENUE</w:t>
            </w: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income</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220,476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204,246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441,057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408,693</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Other property income</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3,692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3,068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7,759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5,258</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 interest income</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37"/>
        </w:trPr>
        <w:tc>
          <w:tcPr>
            <w:tcW w:w="528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224,902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208,049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450,307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415,438</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Rental expenses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39,905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37,128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84,678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78,237</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taxes</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56,755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51,612</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8,413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8,643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16,342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16,910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58,381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52,666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116,491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104,045</w:t>
            </w:r>
          </w:p>
        </w:tc>
        <w:tc>
          <w:tcPr>
            <w:tcW w:w="0" w:type="dxa"/>
            <w:vAlign w:val="bottom"/>
          </w:tcPr>
          <w:p>
            <w:pPr>
              <w:spacing w:after="0"/>
              <w:rPr>
                <w:sz w:val="1"/>
                <w:szCs w:val="1"/>
                <w:color w:val="auto"/>
              </w:rPr>
            </w:pPr>
          </w:p>
        </w:tc>
      </w:tr>
      <w:tr>
        <w:trPr>
          <w:trHeight w:val="237"/>
        </w:trPr>
        <w:tc>
          <w:tcPr>
            <w:tcW w:w="528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135,006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124,959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274,266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250,804</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89,896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83,090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176,041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164,634</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Other interest income</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(47,665)</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Loss from real estate partnerships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59,137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121,176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117,029</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Gain on sale of real estate, net</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3,972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18,996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7,288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19,174</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65,533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78,133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128,464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136,203</w:t>
            </w:r>
          </w:p>
        </w:tc>
        <w:tc>
          <w:tcPr>
            <w:tcW w:w="0" w:type="dxa"/>
            <w:vAlign w:val="bottom"/>
          </w:tcPr>
          <w:p>
            <w:pPr>
              <w:spacing w:after="0"/>
              <w:rPr>
                <w:sz w:val="1"/>
                <w:szCs w:val="1"/>
                <w:color w:val="auto"/>
              </w:rPr>
            </w:pPr>
          </w:p>
        </w:tc>
      </w:tr>
      <w:tr>
        <w:trPr>
          <w:trHeight w:val="243"/>
        </w:trPr>
        <w:tc>
          <w:tcPr>
            <w:tcW w:w="5280" w:type="dxa"/>
            <w:vAlign w:val="bottom"/>
          </w:tcPr>
          <w:p>
            <w:pPr>
              <w:ind w:left="300"/>
              <w:spacing w:after="0"/>
              <w:rPr>
                <w:sz w:val="20"/>
                <w:szCs w:val="20"/>
                <w:color w:val="auto"/>
              </w:rPr>
            </w:pPr>
            <w:r>
              <w:rPr>
                <w:rFonts w:ascii="Arial" w:cs="Arial" w:eastAsia="Arial" w:hAnsi="Arial"/>
                <w:sz w:val="18"/>
                <w:szCs w:val="18"/>
                <w:color w:val="auto"/>
              </w:rPr>
              <w:t>Net income attributable to noncontrolling interests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63,595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76,291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124,842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132,481</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Dividends on preferred shares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61,584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76,156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120,821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132,210</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BASIC:</w:t>
            </w:r>
          </w:p>
        </w:tc>
        <w:tc>
          <w:tcPr>
            <w:tcW w:w="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80" w:type="dxa"/>
            <w:vAlign w:val="bottom"/>
            <w:vMerge w:val="continue"/>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available for common shareholders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0.84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Weighted average number of common shares</w:t>
            </w:r>
          </w:p>
        </w:tc>
        <w:tc>
          <w:tcPr>
            <w:tcW w:w="7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72,990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72,001</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72,948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71,928</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DILUTED:</w:t>
            </w:r>
          </w:p>
        </w:tc>
        <w:tc>
          <w:tcPr>
            <w:tcW w:w="7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280" w:type="dxa"/>
            <w:vAlign w:val="bottom"/>
          </w:tcPr>
          <w:p>
            <w:pPr>
              <w:ind w:left="280"/>
              <w:spacing w:after="0"/>
              <w:rPr>
                <w:sz w:val="20"/>
                <w:szCs w:val="20"/>
                <w:color w:val="auto"/>
              </w:rPr>
            </w:pPr>
            <w:r>
              <w:rPr>
                <w:rFonts w:ascii="Arial" w:cs="Arial" w:eastAsia="Arial" w:hAnsi="Arial"/>
                <w:sz w:val="18"/>
                <w:szCs w:val="18"/>
                <w:color w:val="auto"/>
              </w:rPr>
              <w:t>Net income available for common shareholders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0.84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51"/>
        </w:trPr>
        <w:tc>
          <w:tcPr>
            <w:tcW w:w="52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number of common shares</w:t>
            </w: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73,025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72,124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72,997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72,061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780" w:type="dxa"/>
            <w:vAlign w:val="bottom"/>
            <w:vMerge w:val="restart"/>
          </w:tcPr>
          <w:p>
            <w:pPr>
              <w:jc w:val="right"/>
              <w:ind w:right="210"/>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28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276"/>
        </w:trPr>
        <w:tc>
          <w:tcPr>
            <w:tcW w:w="88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2620" w:type="dxa"/>
            <w:vAlign w:val="bottom"/>
            <w:gridSpan w:val="5"/>
          </w:tcPr>
          <w:p>
            <w:pPr>
              <w:jc w:val="right"/>
              <w:spacing w:after="0" w:line="153" w:lineRule="exact"/>
              <w:rPr>
                <w:sz w:val="20"/>
                <w:szCs w:val="20"/>
                <w:color w:val="auto"/>
              </w:rPr>
            </w:pPr>
            <w:r>
              <w:rPr>
                <w:rFonts w:ascii="Arial" w:cs="Arial" w:eastAsia="Arial" w:hAnsi="Arial"/>
                <w:sz w:val="14"/>
                <w:szCs w:val="14"/>
                <w:b w:val="1"/>
                <w:bCs w:val="1"/>
                <w:color w:val="auto"/>
                <w:w w:val="91"/>
              </w:rPr>
              <w:t>(in thousands, except share and per share</w:t>
            </w:r>
          </w:p>
        </w:tc>
        <w:tc>
          <w:tcPr>
            <w:tcW w:w="0" w:type="dxa"/>
            <w:vAlign w:val="bottom"/>
          </w:tcPr>
          <w:p>
            <w:pPr>
              <w:spacing w:after="0"/>
              <w:rPr>
                <w:sz w:val="1"/>
                <w:szCs w:val="1"/>
                <w:color w:val="auto"/>
              </w:rPr>
            </w:pPr>
          </w:p>
        </w:tc>
      </w:tr>
      <w:tr>
        <w:trPr>
          <w:trHeight w:val="186"/>
        </w:trPr>
        <w:tc>
          <w:tcPr>
            <w:tcW w:w="8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data)</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800" w:type="dxa"/>
            <w:vAlign w:val="bottom"/>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w w:val="98"/>
              </w:rPr>
              <w:t>Operating (including $1,660,403 and $1,639,486 of consolidated variable interest entities, respectively)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7,181,679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6,950,188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Construction-in-progress (including $47,251 and $43,393 of consolidated variable interest entities,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535,658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684,873</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Assets held for sale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27,773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7,745,110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7,635,061</w:t>
            </w:r>
          </w:p>
        </w:tc>
        <w:tc>
          <w:tcPr>
            <w:tcW w:w="0" w:type="dxa"/>
            <w:vAlign w:val="bottom"/>
          </w:tcPr>
          <w:p>
            <w:pPr>
              <w:spacing w:after="0"/>
              <w:rPr>
                <w:sz w:val="1"/>
                <w:szCs w:val="1"/>
                <w:color w:val="auto"/>
              </w:rPr>
            </w:pPr>
          </w:p>
        </w:tc>
      </w:tr>
      <w:tr>
        <w:trPr>
          <w:trHeight w:val="229"/>
        </w:trPr>
        <w:tc>
          <w:tcPr>
            <w:tcW w:w="8800" w:type="dxa"/>
            <w:vAlign w:val="bottom"/>
          </w:tcPr>
          <w:p>
            <w:pPr>
              <w:ind w:left="720"/>
              <w:spacing w:after="0"/>
              <w:rPr>
                <w:sz w:val="20"/>
                <w:szCs w:val="20"/>
                <w:color w:val="auto"/>
              </w:rPr>
            </w:pPr>
            <w:r>
              <w:rPr>
                <w:rFonts w:ascii="Arial" w:cs="Arial" w:eastAsia="Arial" w:hAnsi="Arial"/>
                <w:sz w:val="18"/>
                <w:szCs w:val="18"/>
                <w:color w:val="auto"/>
                <w:w w:val="93"/>
              </w:rPr>
              <w:t>Less accumulated depreciation and amortization (including $268,723 and $247,410 of consolidated variable</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720"/>
              <w:spacing w:after="0"/>
              <w:rPr>
                <w:sz w:val="20"/>
                <w:szCs w:val="20"/>
                <w:color w:val="auto"/>
              </w:rPr>
            </w:pPr>
            <w:r>
              <w:rPr>
                <w:rFonts w:ascii="Arial" w:cs="Arial" w:eastAsia="Arial" w:hAnsi="Arial"/>
                <w:sz w:val="18"/>
                <w:szCs w:val="18"/>
                <w:color w:val="auto"/>
              </w:rPr>
              <w:t>interest entities, respectively)</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(1,970,173)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(1,876,544)</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5,774,937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5,758,517</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56,116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15,188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and notes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149,861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209,877</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Mortgage notes receivable, net</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30,429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30,429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23,941</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268,747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237,803</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6,302,703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6,275,755</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800" w:type="dxa"/>
            <w:vAlign w:val="bottom"/>
          </w:tcPr>
          <w:p>
            <w:pPr>
              <w:ind w:left="720"/>
              <w:spacing w:after="0"/>
              <w:rPr>
                <w:sz w:val="20"/>
                <w:szCs w:val="20"/>
                <w:color w:val="auto"/>
              </w:rPr>
            </w:pPr>
            <w:r>
              <w:rPr>
                <w:rFonts w:ascii="Arial" w:cs="Arial" w:eastAsia="Arial" w:hAnsi="Arial"/>
                <w:sz w:val="18"/>
                <w:szCs w:val="18"/>
                <w:color w:val="auto"/>
              </w:rPr>
              <w:t>Mortgages payable, net (including $447,246 and $460,372 of consolidated variable interest entities,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720"/>
              <w:spacing w:after="0"/>
              <w:rPr>
                <w:sz w:val="20"/>
                <w:szCs w:val="20"/>
                <w:color w:val="auto"/>
              </w:rPr>
            </w:pPr>
            <w:r>
              <w:rPr>
                <w:rFonts w:ascii="Arial" w:cs="Arial" w:eastAsia="Arial" w:hAnsi="Arial"/>
                <w:sz w:val="18"/>
                <w:szCs w:val="18"/>
                <w:color w:val="auto"/>
              </w:rPr>
              <w:t>respectively)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477,706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491,505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Capital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71,538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71,556</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Notes payable, net</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368,389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320,265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Senior notes and debentures,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2,402,851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2,401,440</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178,665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196,332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payable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75,757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75,931</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Security deposits payable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17,187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16,667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liabilities and deferred credits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181,601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169,388</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3,773,694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3,743,084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Redeemable noncontrolling interests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141,417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141,157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Preferred shares, authorized 15,000,000 shares, $.01 par:</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0"/>
              </w:rPr>
              <w:t>5.0% Series C Cumulative Redeemable Preferred Shares, (stated at liquidation preference $25,000 per share),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6,000 shares issued and outstanding</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29"/>
        </w:trPr>
        <w:tc>
          <w:tcPr>
            <w:tcW w:w="8800" w:type="dxa"/>
            <w:vAlign w:val="bottom"/>
          </w:tcPr>
          <w:p>
            <w:pPr>
              <w:ind w:left="820"/>
              <w:spacing w:after="0"/>
              <w:rPr>
                <w:sz w:val="20"/>
                <w:szCs w:val="20"/>
                <w:color w:val="auto"/>
              </w:rPr>
            </w:pPr>
            <w:r>
              <w:rPr>
                <w:rFonts w:ascii="Arial" w:cs="Arial" w:eastAsia="Arial" w:hAnsi="Arial"/>
                <w:sz w:val="18"/>
                <w:szCs w:val="18"/>
                <w:color w:val="auto"/>
                <w:w w:val="93"/>
              </w:rPr>
              <w:t>5.417% Series 1 Cumulative Convertible Preferred Shares, (stated at liquidation preference $25 per share),</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820"/>
              <w:spacing w:after="0"/>
              <w:rPr>
                <w:sz w:val="20"/>
                <w:szCs w:val="20"/>
                <w:color w:val="auto"/>
              </w:rPr>
            </w:pPr>
            <w:r>
              <w:rPr>
                <w:rFonts w:ascii="Arial" w:cs="Arial" w:eastAsia="Arial" w:hAnsi="Arial"/>
                <w:sz w:val="18"/>
                <w:szCs w:val="18"/>
                <w:color w:val="auto"/>
              </w:rPr>
              <w:t>399,896 shares issued and outstanding</w:t>
            </w: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9,997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3"/>
                <w:shd w:val="clear" w:color="auto" w:fill="CCEEFF"/>
              </w:rPr>
              <w:t>Common shares of beneficial interest, $.01 par, 100,000,000 shares authorized, 73,434,943 and 73,090,877</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shares issued and outstanding,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2,884,771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2,855,321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dividends in excess of 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(780,973)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(749,367)</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2,264,944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2,266,706</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122,648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124,808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2,387,592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2,391,514</w:t>
            </w:r>
          </w:p>
        </w:tc>
        <w:tc>
          <w:tcPr>
            <w:tcW w:w="0" w:type="dxa"/>
            <w:vAlign w:val="bottom"/>
          </w:tcPr>
          <w:p>
            <w:pPr>
              <w:spacing w:after="0"/>
              <w:rPr>
                <w:sz w:val="1"/>
                <w:szCs w:val="1"/>
                <w:color w:val="auto"/>
              </w:rPr>
            </w:pP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6,302,703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6,275,755</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124"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742" w:right="239" w:bottom="1124" w:gutter="0" w:footer="0" w:header="0"/>
          <w:type w:val="continuous"/>
        </w:sectPr>
      </w:pPr>
    </w:p>
    <w:bookmarkStart w:id="11" w:name="page12"/>
    <w:bookmarkEnd w:id="1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Funds From Operations / Other Supplemental Information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244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r>
      <w:tr>
        <w:trPr>
          <w:trHeight w:val="250"/>
        </w:trPr>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2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09"/>
        </w:trPr>
        <w:tc>
          <w:tcPr>
            <w:tcW w:w="580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Funds from Operations available for common shareholders (FFO) (1)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500" w:type="dxa"/>
            <w:vAlign w:val="bottom"/>
            <w:tcBorders>
              <w:top w:val="single" w:sz="8" w:color="auto"/>
            </w:tcBorders>
            <w:shd w:val="clear" w:color="auto" w:fill="CCEEFF"/>
          </w:tcPr>
          <w:p>
            <w:pPr>
              <w:spacing w:after="0"/>
              <w:rPr>
                <w:sz w:val="4"/>
                <w:szCs w:val="4"/>
                <w:color w:val="auto"/>
              </w:rPr>
            </w:pPr>
          </w:p>
        </w:tc>
        <w:tc>
          <w:tcPr>
            <w:tcW w:w="1060" w:type="dxa"/>
            <w:vAlign w:val="bottom"/>
            <w:tcBorders>
              <w:top w:val="single" w:sz="8" w:color="auto"/>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43"/>
        </w:trPr>
        <w:tc>
          <w:tcPr>
            <w:tcW w:w="5800" w:type="dxa"/>
            <w:vAlign w:val="bottom"/>
            <w:gridSpan w:val="6"/>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65,533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78,133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128,464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136,203</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(3,722)</w:t>
            </w:r>
          </w:p>
        </w:tc>
      </w:tr>
      <w:tr>
        <w:trPr>
          <w:trHeight w:val="243"/>
        </w:trPr>
        <w:tc>
          <w:tcPr>
            <w:tcW w:w="5800" w:type="dxa"/>
            <w:vAlign w:val="bottom"/>
            <w:gridSpan w:val="6"/>
          </w:tcPr>
          <w:p>
            <w:pPr>
              <w:ind w:left="40"/>
              <w:spacing w:after="0"/>
              <w:rPr>
                <w:sz w:val="20"/>
                <w:szCs w:val="20"/>
                <w:color w:val="auto"/>
              </w:rPr>
            </w:pPr>
            <w:r>
              <w:rPr>
                <w:rFonts w:ascii="Arial" w:cs="Arial" w:eastAsia="Arial" w:hAnsi="Arial"/>
                <w:sz w:val="18"/>
                <w:szCs w:val="18"/>
                <w:color w:val="auto"/>
              </w:rPr>
              <w:t>Gain on sale of real estate, net (2)</w:t>
            </w: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(3,972)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(18,814)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(7,288)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(18,884)</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52,011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45,634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103,362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90,316</w:t>
            </w:r>
          </w:p>
        </w:tc>
      </w:tr>
      <w:tr>
        <w:trPr>
          <w:trHeight w:val="243"/>
        </w:trPr>
        <w:tc>
          <w:tcPr>
            <w:tcW w:w="5800" w:type="dxa"/>
            <w:vAlign w:val="bottom"/>
            <w:gridSpan w:val="6"/>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4,702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5,066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9,302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9,750</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7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Funds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116,336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108,177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230,218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213,663</w:t>
            </w:r>
          </w:p>
        </w:tc>
      </w:tr>
      <w:tr>
        <w:trPr>
          <w:trHeight w:val="243"/>
        </w:trPr>
        <w:tc>
          <w:tcPr>
            <w:tcW w:w="5800" w:type="dxa"/>
            <w:vAlign w:val="bottom"/>
            <w:gridSpan w:val="6"/>
          </w:tcPr>
          <w:p>
            <w:pPr>
              <w:ind w:left="40"/>
              <w:spacing w:after="0"/>
              <w:rPr>
                <w:sz w:val="20"/>
                <w:szCs w:val="20"/>
                <w:color w:val="auto"/>
              </w:rPr>
            </w:pPr>
            <w:r>
              <w:rPr>
                <w:rFonts w:ascii="Arial" w:cs="Arial" w:eastAsia="Arial" w:hAnsi="Arial"/>
                <w:sz w:val="18"/>
                <w:szCs w:val="18"/>
                <w:color w:val="auto"/>
              </w:rPr>
              <w:t>Dividends on preferred shares (3)</w:t>
            </w: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(3,750)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1,567</w:t>
            </w:r>
          </w:p>
        </w:tc>
      </w:tr>
      <w:tr>
        <w:trPr>
          <w:trHeight w:val="243"/>
        </w:trPr>
        <w:tc>
          <w:tcPr>
            <w:tcW w:w="5800" w:type="dxa"/>
            <w:vAlign w:val="bottom"/>
            <w:gridSpan w:val="6"/>
          </w:tcPr>
          <w:p>
            <w:pPr>
              <w:ind w:left="40"/>
              <w:spacing w:after="0"/>
              <w:rPr>
                <w:sz w:val="20"/>
                <w:szCs w:val="20"/>
                <w:color w:val="auto"/>
              </w:rPr>
            </w:pPr>
            <w:r>
              <w:rPr>
                <w:rFonts w:ascii="Arial" w:cs="Arial" w:eastAsia="Arial" w:hAnsi="Arial"/>
                <w:sz w:val="18"/>
                <w:szCs w:val="18"/>
                <w:color w:val="auto"/>
              </w:rPr>
              <w:t>Income attributable to unvested shares</w:t>
            </w: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(707)</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7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114,822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108,603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227,216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214,523</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91"/>
        </w:trPr>
        <w:tc>
          <w:tcPr>
            <w:tcW w:w="5800" w:type="dxa"/>
            <w:vAlign w:val="bottom"/>
            <w:tcBorders>
              <w:bottom w:val="single" w:sz="8" w:color="CCEEFF"/>
            </w:tcBorders>
            <w:gridSpan w:val="6"/>
          </w:tcPr>
          <w:p>
            <w:pPr>
              <w:ind w:left="40"/>
              <w:spacing w:after="0"/>
              <w:rPr>
                <w:sz w:val="20"/>
                <w:szCs w:val="20"/>
                <w:color w:val="auto"/>
              </w:rPr>
            </w:pPr>
            <w:r>
              <w:rPr>
                <w:rFonts w:ascii="Arial" w:cs="Arial" w:eastAsia="Arial" w:hAnsi="Arial"/>
                <w:sz w:val="18"/>
                <w:szCs w:val="18"/>
                <w:color w:val="auto"/>
              </w:rPr>
              <w:t>Weighted average number of common shares, diluted (3)</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73,880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73,019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73,859</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72,956</w:t>
            </w:r>
          </w:p>
        </w:tc>
      </w:tr>
      <w:tr>
        <w:trPr>
          <w:trHeight w:val="251"/>
        </w:trPr>
        <w:tc>
          <w:tcPr>
            <w:tcW w:w="58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FFO per diluted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2.94</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03"/>
        </w:trPr>
        <w:tc>
          <w:tcPr>
            <w:tcW w:w="5800" w:type="dxa"/>
            <w:vAlign w:val="bottom"/>
            <w:gridSpan w:val="6"/>
            <w:shd w:val="clear" w:color="auto" w:fill="CCEEFF"/>
          </w:tcPr>
          <w:p>
            <w:pPr>
              <w:ind w:left="40"/>
              <w:spacing w:after="0" w:line="202" w:lineRule="exact"/>
              <w:rPr>
                <w:sz w:val="20"/>
                <w:szCs w:val="20"/>
                <w:color w:val="auto"/>
              </w:rPr>
            </w:pPr>
            <w:r>
              <w:rPr>
                <w:rFonts w:ascii="Arial" w:cs="Arial" w:eastAsia="Arial" w:hAnsi="Arial"/>
                <w:sz w:val="18"/>
                <w:szCs w:val="18"/>
                <w:color w:val="auto"/>
              </w:rPr>
              <w:t>Summary of Capital Expenditures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43"/>
        </w:trPr>
        <w:tc>
          <w:tcPr>
            <w:tcW w:w="5800" w:type="dxa"/>
            <w:vAlign w:val="bottom"/>
            <w:gridSpan w:val="6"/>
          </w:tcPr>
          <w:p>
            <w:pPr>
              <w:ind w:left="40"/>
              <w:spacing w:after="0"/>
              <w:rPr>
                <w:sz w:val="20"/>
                <w:szCs w:val="20"/>
                <w:color w:val="auto"/>
              </w:rPr>
            </w:pPr>
            <w:r>
              <w:rPr>
                <w:rFonts w:ascii="Arial" w:cs="Arial" w:eastAsia="Arial" w:hAnsi="Arial"/>
                <w:sz w:val="18"/>
                <w:szCs w:val="18"/>
                <w:color w:val="auto"/>
              </w:rPr>
              <w:t>Non-maintenance capital expenditures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7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Development, redevelopment and expansions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74,439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109,821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141,165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215,647</w:t>
            </w:r>
          </w:p>
        </w:tc>
      </w:tr>
      <w:tr>
        <w:trPr>
          <w:trHeight w:val="243"/>
        </w:trPr>
        <w:tc>
          <w:tcPr>
            <w:tcW w:w="40" w:type="dxa"/>
            <w:vAlign w:val="bottom"/>
          </w:tcPr>
          <w:p>
            <w:pPr>
              <w:spacing w:after="0"/>
              <w:rPr>
                <w:sz w:val="21"/>
                <w:szCs w:val="21"/>
                <w:color w:val="auto"/>
              </w:rPr>
            </w:pPr>
          </w:p>
        </w:tc>
        <w:tc>
          <w:tcPr>
            <w:tcW w:w="5760" w:type="dxa"/>
            <w:vAlign w:val="bottom"/>
            <w:gridSpan w:val="5"/>
          </w:tcPr>
          <w:p>
            <w:pPr>
              <w:ind w:left="340"/>
              <w:spacing w:after="0"/>
              <w:rPr>
                <w:sz w:val="20"/>
                <w:szCs w:val="20"/>
                <w:color w:val="auto"/>
              </w:rPr>
            </w:pPr>
            <w:r>
              <w:rPr>
                <w:rFonts w:ascii="Arial" w:cs="Arial" w:eastAsia="Arial" w:hAnsi="Arial"/>
                <w:sz w:val="18"/>
                <w:szCs w:val="18"/>
                <w:color w:val="auto"/>
              </w:rPr>
              <w:t>Tenant improvements and incentives</w:t>
            </w: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11,685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12,587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23,458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21,737</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Total non-maintenance capital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86,124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122,408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164,623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237,384</w:t>
            </w:r>
          </w:p>
        </w:tc>
      </w:tr>
      <w:tr>
        <w:trPr>
          <w:trHeight w:val="243"/>
        </w:trPr>
        <w:tc>
          <w:tcPr>
            <w:tcW w:w="40" w:type="dxa"/>
            <w:vAlign w:val="bottom"/>
          </w:tcPr>
          <w:p>
            <w:pPr>
              <w:spacing w:after="0"/>
              <w:rPr>
                <w:sz w:val="21"/>
                <w:szCs w:val="21"/>
                <w:color w:val="auto"/>
              </w:rPr>
            </w:pPr>
          </w:p>
        </w:tc>
        <w:tc>
          <w:tcPr>
            <w:tcW w:w="5760" w:type="dxa"/>
            <w:vAlign w:val="bottom"/>
            <w:gridSpan w:val="5"/>
          </w:tcPr>
          <w:p>
            <w:pPr>
              <w:ind w:left="340"/>
              <w:spacing w:after="0"/>
              <w:rPr>
                <w:sz w:val="20"/>
                <w:szCs w:val="20"/>
                <w:color w:val="auto"/>
              </w:rPr>
            </w:pPr>
            <w:r>
              <w:rPr>
                <w:rFonts w:ascii="Arial" w:cs="Arial" w:eastAsia="Arial" w:hAnsi="Arial"/>
                <w:sz w:val="18"/>
                <w:szCs w:val="18"/>
                <w:color w:val="auto"/>
              </w:rPr>
              <w:t>Maintenance capital expenditures</w:t>
            </w: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3,119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6,471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6,457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9,898</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8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Total capital expenditures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89,243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128,879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171,080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247,282</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03"/>
        </w:trPr>
        <w:tc>
          <w:tcPr>
            <w:tcW w:w="5800" w:type="dxa"/>
            <w:vAlign w:val="bottom"/>
            <w:gridSpan w:val="6"/>
            <w:shd w:val="clear" w:color="auto" w:fill="CCEEFF"/>
          </w:tcPr>
          <w:p>
            <w:pPr>
              <w:ind w:left="40"/>
              <w:spacing w:after="0" w:line="202" w:lineRule="exact"/>
              <w:rPr>
                <w:sz w:val="20"/>
                <w:szCs w:val="20"/>
                <w:color w:val="auto"/>
              </w:rPr>
            </w:pPr>
            <w:r>
              <w:rPr>
                <w:rFonts w:ascii="Arial" w:cs="Arial" w:eastAsia="Arial" w:hAnsi="Arial"/>
                <w:sz w:val="18"/>
                <w:szCs w:val="18"/>
                <w:color w:val="auto"/>
              </w:rPr>
              <w:t>Dividends and Payout Ratios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43"/>
        </w:trPr>
        <w:tc>
          <w:tcPr>
            <w:tcW w:w="5800" w:type="dxa"/>
            <w:vAlign w:val="bottom"/>
            <w:gridSpan w:val="6"/>
          </w:tcPr>
          <w:p>
            <w:pPr>
              <w:ind w:left="40"/>
              <w:spacing w:after="0"/>
              <w:rPr>
                <w:sz w:val="20"/>
                <w:szCs w:val="20"/>
                <w:color w:val="auto"/>
              </w:rPr>
            </w:pPr>
            <w:r>
              <w:rPr>
                <w:rFonts w:ascii="Arial" w:cs="Arial" w:eastAsia="Arial" w:hAnsi="Arial"/>
                <w:sz w:val="18"/>
                <w:szCs w:val="18"/>
                <w:color w:val="auto"/>
              </w:rPr>
              <w:t>Regular common dividends declared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73,246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70,755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146,399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141,451</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Dividend payout ratio as a percentage of FFO</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84"/>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800" w:type="dxa"/>
            <w:vAlign w:val="bottom"/>
            <w:gridSpan w:val="6"/>
            <w:shd w:val="clear" w:color="auto" w:fill="CCEEFF"/>
          </w:tcPr>
          <w:p>
            <w:pPr>
              <w:ind w:left="40"/>
              <w:spacing w:after="0" w:line="202" w:lineRule="exact"/>
              <w:rPr>
                <w:sz w:val="20"/>
                <w:szCs w:val="20"/>
                <w:color w:val="auto"/>
              </w:rPr>
            </w:pPr>
            <w:r>
              <w:rPr>
                <w:rFonts w:ascii="Arial" w:cs="Arial" w:eastAsia="Arial" w:hAnsi="Arial"/>
                <w:sz w:val="18"/>
                <w:szCs w:val="18"/>
                <w:color w:val="auto"/>
              </w:rPr>
              <w:t>Noncontrolling Interests Supplemental Information (4)</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500" w:type="dxa"/>
            <w:vAlign w:val="bottom"/>
            <w:tcBorders>
              <w:top w:val="single" w:sz="8" w:color="auto"/>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43"/>
        </w:trPr>
        <w:tc>
          <w:tcPr>
            <w:tcW w:w="5800" w:type="dxa"/>
            <w:vAlign w:val="bottom"/>
            <w:gridSpan w:val="6"/>
          </w:tcPr>
          <w:p>
            <w:pPr>
              <w:ind w:left="40"/>
              <w:spacing w:after="0"/>
              <w:rPr>
                <w:sz w:val="20"/>
                <w:szCs w:val="20"/>
                <w:color w:val="auto"/>
              </w:rPr>
            </w:pPr>
            <w:r>
              <w:rPr>
                <w:rFonts w:ascii="Arial" w:cs="Arial" w:eastAsia="Arial" w:hAnsi="Arial"/>
                <w:sz w:val="18"/>
                <w:szCs w:val="18"/>
                <w:color w:val="auto"/>
              </w:rPr>
              <w:t>Property operating income (1)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3,380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6,713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6,303</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(2,716)</w:t>
            </w:r>
          </w:p>
        </w:tc>
      </w:tr>
      <w:tr>
        <w:trPr>
          <w:trHeight w:val="243"/>
        </w:trPr>
        <w:tc>
          <w:tcPr>
            <w:tcW w:w="5800" w:type="dxa"/>
            <w:vAlign w:val="bottom"/>
            <w:gridSpan w:val="6"/>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(1,433)</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8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1,179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1,058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2,088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2,154</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9"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5" w:lineRule="exact"/>
        <w:rPr>
          <w:rFonts w:ascii="Arial" w:cs="Arial" w:eastAsia="Arial" w:hAnsi="Arial"/>
          <w:sz w:val="16"/>
          <w:szCs w:val="16"/>
          <w:color w:val="auto"/>
        </w:rPr>
      </w:pPr>
    </w:p>
    <w:p>
      <w:pPr>
        <w:ind w:left="660" w:right="80" w:hanging="652"/>
        <w:spacing w:after="0" w:line="246"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Gain on sale of real estate for the three and six months ended June 30, 2018 is related to condominium units sold at Assembly Row and Pike &amp; Rose. Gains for the three and six months ended June 30, 2017 also include gains related to Assembly Row condominium units under the percentage-of-completion method. Effective January 1, 2018, we adopted a new accounting standard related to revenue recognition, which results in a change in our revenue recognition policy for condominium sales. See Note 2 of our June 30, 2018 Form 10-Q for additional information regarding the adoption.</w:t>
      </w:r>
    </w:p>
    <w:p>
      <w:pPr>
        <w:spacing w:after="0" w:line="1" w:lineRule="exact"/>
        <w:rPr>
          <w:rFonts w:ascii="Arial" w:cs="Arial" w:eastAsia="Arial" w:hAnsi="Arial"/>
          <w:sz w:val="16"/>
          <w:szCs w:val="16"/>
          <w:color w:val="auto"/>
        </w:rPr>
      </w:pPr>
    </w:p>
    <w:p>
      <w:pPr>
        <w:ind w:left="660" w:right="520" w:hanging="652"/>
        <w:spacing w:after="0" w:line="246"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three and six months ended June 30, 2018 and 2017, dividends on our Series 1 preferred shares are not deducted in the calculation of FFO available to common shareholders, as the related shares are dilutive and included in "weighted average common shares, diluted."</w:t>
      </w:r>
    </w:p>
    <w:p>
      <w:pPr>
        <w:ind w:left="660" w:hanging="652"/>
        <w:spacing w:after="0"/>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Amounts reflect the components of "net income attributable to noncontrolling interests," but excludes "income attributable to operating partnership units."</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742" w:right="239" w:bottom="1440" w:gutter="0" w:footer="0" w:header="0"/>
          <w:type w:val="continuous"/>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6"/>
                <w:szCs w:val="16"/>
                <w:color w:val="auto"/>
              </w:rPr>
            </w:pPr>
          </w:p>
        </w:tc>
      </w:tr>
      <w:tr>
        <w:trPr>
          <w:trHeight w:val="264"/>
        </w:trPr>
        <w:tc>
          <w:tcPr>
            <w:tcW w:w="8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r>
      <w:tr>
        <w:trPr>
          <w:trHeight w:val="250"/>
        </w:trPr>
        <w:tc>
          <w:tcPr>
            <w:tcW w:w="8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2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w w:val="98"/>
              </w:rPr>
              <w:t>(in thousands, except per share data)</w:t>
            </w:r>
          </w:p>
        </w:tc>
      </w:tr>
      <w:tr>
        <w:trPr>
          <w:trHeight w:val="256"/>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Common shares outstanding and operating partnership units (1)</w:t>
            </w:r>
          </w:p>
        </w:tc>
        <w:tc>
          <w:tcPr>
            <w:tcW w:w="30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74,187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73,039</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Market price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126.55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126.39</w:t>
            </w:r>
          </w:p>
        </w:tc>
      </w:tr>
      <w:tr>
        <w:trPr>
          <w:trHeight w:val="237"/>
        </w:trPr>
        <w:tc>
          <w:tcPr>
            <w:tcW w:w="8200" w:type="dxa"/>
            <w:vAlign w:val="bottom"/>
          </w:tcPr>
          <w:p>
            <w:pPr>
              <w:ind w:left="500"/>
              <w:spacing w:after="0"/>
              <w:rPr>
                <w:sz w:val="20"/>
                <w:szCs w:val="20"/>
                <w:color w:val="auto"/>
              </w:rPr>
            </w:pPr>
            <w:r>
              <w:rPr>
                <w:rFonts w:ascii="Arial" w:cs="Arial" w:eastAsia="Arial" w:hAnsi="Arial"/>
                <w:sz w:val="18"/>
                <w:szCs w:val="18"/>
                <w:color w:val="auto"/>
              </w:rPr>
              <w:t>Common equity market capitalization including operating partnership units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9,388,365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9,231,399</w:t>
            </w:r>
          </w:p>
        </w:tc>
      </w:tr>
      <w:tr>
        <w:trPr>
          <w:trHeight w:val="27"/>
        </w:trPr>
        <w:tc>
          <w:tcPr>
            <w:tcW w:w="8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7"/>
        </w:trPr>
        <w:tc>
          <w:tcPr>
            <w:tcW w:w="8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Series C preferred shares outstanding</w:t>
            </w:r>
          </w:p>
        </w:tc>
        <w:tc>
          <w:tcPr>
            <w:tcW w:w="30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Liquidation price per Series C preferred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25,000.00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37"/>
        </w:trPr>
        <w:tc>
          <w:tcPr>
            <w:tcW w:w="8200" w:type="dxa"/>
            <w:vAlign w:val="bottom"/>
          </w:tcPr>
          <w:p>
            <w:pPr>
              <w:ind w:left="500"/>
              <w:spacing w:after="0"/>
              <w:rPr>
                <w:sz w:val="20"/>
                <w:szCs w:val="20"/>
                <w:color w:val="auto"/>
              </w:rPr>
            </w:pPr>
            <w:r>
              <w:rPr>
                <w:rFonts w:ascii="Arial" w:cs="Arial" w:eastAsia="Arial" w:hAnsi="Arial"/>
                <w:sz w:val="18"/>
                <w:szCs w:val="18"/>
                <w:color w:val="auto"/>
              </w:rPr>
              <w:t>Series C preferred equity market capitalization</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8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7"/>
        </w:trPr>
        <w:tc>
          <w:tcPr>
            <w:tcW w:w="8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Series 1 preferred shares outstanding (2)</w:t>
            </w:r>
          </w:p>
        </w:tc>
        <w:tc>
          <w:tcPr>
            <w:tcW w:w="30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400</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Liquidation price per Series 1 preferred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25.00</w:t>
            </w:r>
          </w:p>
        </w:tc>
      </w:tr>
      <w:tr>
        <w:trPr>
          <w:trHeight w:val="237"/>
        </w:trPr>
        <w:tc>
          <w:tcPr>
            <w:tcW w:w="8200" w:type="dxa"/>
            <w:vAlign w:val="bottom"/>
          </w:tcPr>
          <w:p>
            <w:pPr>
              <w:ind w:left="500"/>
              <w:spacing w:after="0"/>
              <w:rPr>
                <w:sz w:val="20"/>
                <w:szCs w:val="20"/>
                <w:color w:val="auto"/>
              </w:rPr>
            </w:pPr>
            <w:r>
              <w:rPr>
                <w:rFonts w:ascii="Arial" w:cs="Arial" w:eastAsia="Arial" w:hAnsi="Arial"/>
                <w:sz w:val="18"/>
                <w:szCs w:val="18"/>
                <w:color w:val="auto"/>
              </w:rPr>
              <w:t>Series 1 preferred equity market capitalization</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10,000</w:t>
            </w:r>
          </w:p>
        </w:tc>
      </w:tr>
      <w:tr>
        <w:trPr>
          <w:trHeight w:val="27"/>
        </w:trPr>
        <w:tc>
          <w:tcPr>
            <w:tcW w:w="8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7"/>
        </w:trPr>
        <w:tc>
          <w:tcPr>
            <w:tcW w:w="8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Equity market capitalization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9,548,365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9,241,399</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84"/>
        </w:trPr>
        <w:tc>
          <w:tcPr>
            <w:tcW w:w="8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Total debt (3)</w:t>
            </w:r>
          </w:p>
        </w:tc>
        <w:tc>
          <w:tcPr>
            <w:tcW w:w="30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3,320,484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3,142,988</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84"/>
        </w:trPr>
        <w:tc>
          <w:tcPr>
            <w:tcW w:w="82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r>
      <w:tr>
        <w:trPr>
          <w:trHeight w:val="297"/>
        </w:trPr>
        <w:tc>
          <w:tcPr>
            <w:tcW w:w="8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market capitalization</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12,868,849</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12,384,387</w:t>
            </w:r>
          </w:p>
        </w:tc>
      </w:tr>
      <w:tr>
        <w:trPr>
          <w:trHeight w:val="271"/>
        </w:trPr>
        <w:tc>
          <w:tcPr>
            <w:tcW w:w="8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Total debt to market capitalization at market price per common share</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84"/>
        </w:trPr>
        <w:tc>
          <w:tcPr>
            <w:tcW w:w="8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Fixed rate debt ratio:</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Fixed rate debt and capital lease obligations (4)</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8200" w:type="dxa"/>
            <w:vAlign w:val="bottom"/>
          </w:tcPr>
          <w:p>
            <w:pPr>
              <w:ind w:left="500"/>
              <w:spacing w:after="0"/>
              <w:rPr>
                <w:sz w:val="20"/>
                <w:szCs w:val="20"/>
                <w:color w:val="auto"/>
              </w:rPr>
            </w:pPr>
            <w:r>
              <w:rPr>
                <w:rFonts w:ascii="Arial" w:cs="Arial" w:eastAsia="Arial" w:hAnsi="Arial"/>
                <w:sz w:val="18"/>
                <w:szCs w:val="18"/>
                <w:color w:val="auto"/>
              </w:rPr>
              <w:t>Variable rate debt</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
        </w:trPr>
        <w:tc>
          <w:tcPr>
            <w:tcW w:w="8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8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u w:val="single" w:color="auto"/>
          <w:color w:val="auto"/>
        </w:rPr>
        <w:t>Notes:</w:t>
      </w:r>
    </w:p>
    <w:p>
      <w:pPr>
        <w:spacing w:after="0" w:line="49"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Amounts include 752,036 and 787,962 operating partnership units outstanding at June 30, 2018 and 2017,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ind w:left="660" w:right="520" w:hanging="652"/>
        <w:spacing w:after="0" w:line="275"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Total debt includes capital leases, mortgages payable, notes payable, senior notes and debentures, net of premiums/discounts and debt issuance costs from our consolidated balance sheet</w:t>
      </w:r>
      <w:r>
        <w:rPr>
          <w:rFonts w:ascii="Arial" w:cs="Arial" w:eastAsia="Arial" w:hAnsi="Arial"/>
          <w:sz w:val="14"/>
          <w:szCs w:val="14"/>
          <w:color w:val="auto"/>
        </w:rPr>
        <w:t>.</w:t>
      </w:r>
    </w:p>
    <w:p>
      <w:pPr>
        <w:spacing w:after="0" w:line="24" w:lineRule="exact"/>
        <w:rPr>
          <w:rFonts w:ascii="Arial" w:cs="Arial" w:eastAsia="Arial" w:hAnsi="Arial"/>
          <w:sz w:val="16"/>
          <w:szCs w:val="16"/>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Fixed rate debt includes our $275.0 million term loan as the rate is effectively fixed by two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Rental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6"/>
                <w:szCs w:val="16"/>
                <w:color w:val="auto"/>
              </w:rPr>
            </w:pPr>
          </w:p>
        </w:tc>
      </w:tr>
      <w:tr>
        <w:trPr>
          <w:trHeight w:val="276"/>
        </w:trPr>
        <w:tc>
          <w:tcPr>
            <w:tcW w:w="5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5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 (1)</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Retail and commercial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153,423</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144,276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305,573</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286,419</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17,105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13,441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33,120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26,944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42,531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39,877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87,735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81,395</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2,707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5,481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5,220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4,710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4,255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9,148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8,715</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220,476</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204,246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441,057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408,693</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right="140" w:hanging="652"/>
        <w:spacing w:after="0" w:line="25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Minimum rents include $1.4 million and $3.8 million for the three months ended June 30, 2018 and 2017, respectively, and $3.3 million and $7.4 million for the six months ended June 30, 2018 and 2017, respectively, to recognize minimum rents on a straight-line basis. In addition, minimum rents include $1.0 million and $1.3 million for the three months ended June 30, 2018 and 2017, respectively, and $1.8 million and $2.4 million for the six months ended June 30, 2018 and 2017, respectively, to recognize income from the amortization of in-place leases.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4" w:name="page15"/>
    <w:bookmarkEnd w:id="14"/>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Comparable Property Information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2018</w:t>
      </w:r>
    </w:p>
    <w:p>
      <w:pPr>
        <w:spacing w:after="0" w:line="334" w:lineRule="exact"/>
        <w:rPr>
          <w:sz w:val="20"/>
          <w:szCs w:val="20"/>
          <w:color w:val="auto"/>
        </w:rPr>
      </w:pPr>
    </w:p>
    <w:p>
      <w:pPr>
        <w:ind w:left="40" w:right="220"/>
        <w:spacing w:after="0" w:line="272" w:lineRule="auto"/>
        <w:rPr>
          <w:sz w:val="20"/>
          <w:szCs w:val="20"/>
          <w:color w:val="auto"/>
        </w:rPr>
      </w:pPr>
      <w:r>
        <w:rPr>
          <w:rFonts w:ascii="Arial" w:cs="Arial" w:eastAsia="Arial" w:hAnsi="Arial"/>
          <w:sz w:val="16"/>
          <w:szCs w:val="16"/>
          <w:color w:val="auto"/>
        </w:rPr>
        <w:t>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The assets excluded from Comparable Properties in Q2 include: Assembly Row - Phase 2, CocoWalk, Pike &amp; Rose, The Point at Plaza El Segundo, The Shops at Sunset Place, Towson Residential, 700 Santana Row, and all properties acquired or disposed of from Q2 2017 to Q2 2018. Comparable Property property operating income (“Comparable Property POI”) is a non-GAAP measure used by management in evaluating the operating performance of our properties period over period.</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Reconciliation of GAAP operating income to Comparable Property POI</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3"/>
          </w:tcPr>
          <w:p>
            <w:pPr>
              <w:jc w:val="center"/>
              <w:ind w:left="496"/>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76"/>
        </w:trPr>
        <w:tc>
          <w:tcPr>
            <w:tcW w:w="7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r>
      <w:tr>
        <w:trPr>
          <w:trHeight w:val="264"/>
        </w:trPr>
        <w:tc>
          <w:tcPr>
            <w:tcW w:w="7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w w:val="89"/>
              </w:rPr>
              <w:t>2017</w:t>
            </w:r>
          </w:p>
        </w:tc>
        <w:tc>
          <w:tcPr>
            <w:tcW w:w="1100" w:type="dxa"/>
            <w:vAlign w:val="bottom"/>
          </w:tcPr>
          <w:p>
            <w:pPr>
              <w:spacing w:after="0"/>
              <w:rPr>
                <w:sz w:val="22"/>
                <w:szCs w:val="22"/>
                <w:color w:val="auto"/>
              </w:rPr>
            </w:pPr>
          </w:p>
        </w:tc>
      </w:tr>
      <w:tr>
        <w:trPr>
          <w:trHeight w:val="250"/>
        </w:trPr>
        <w:tc>
          <w:tcPr>
            <w:tcW w:w="7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gridSpan w:val="3"/>
          </w:tcPr>
          <w:p>
            <w:pPr>
              <w:jc w:val="center"/>
              <w:ind w:left="476"/>
              <w:spacing w:after="0"/>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Operating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89,896</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83,090</w:t>
            </w:r>
          </w:p>
        </w:tc>
        <w:tc>
          <w:tcPr>
            <w:tcW w:w="1100" w:type="dxa"/>
            <w:vAlign w:val="bottom"/>
          </w:tcPr>
          <w:p>
            <w:pPr>
              <w:spacing w:after="0"/>
              <w:rPr>
                <w:sz w:val="22"/>
                <w:szCs w:val="22"/>
                <w:color w:val="auto"/>
              </w:rPr>
            </w:pP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Add:</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58,381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52,666</w:t>
            </w:r>
          </w:p>
        </w:tc>
        <w:tc>
          <w:tcPr>
            <w:tcW w:w="1100" w:type="dxa"/>
            <w:vAlign w:val="bottom"/>
          </w:tcPr>
          <w:p>
            <w:pPr>
              <w:spacing w:after="0"/>
              <w:rPr>
                <w:sz w:val="21"/>
                <w:szCs w:val="21"/>
                <w:color w:val="auto"/>
              </w:rPr>
            </w:pP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1"/>
                <w:szCs w:val="21"/>
                <w:color w:val="auto"/>
              </w:rPr>
            </w:pP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8,413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8,643</w:t>
            </w:r>
          </w:p>
        </w:tc>
        <w:tc>
          <w:tcPr>
            <w:tcW w:w="1100" w:type="dxa"/>
            <w:vAlign w:val="bottom"/>
          </w:tcPr>
          <w:p>
            <w:pPr>
              <w:spacing w:after="0"/>
              <w:rPr>
                <w:sz w:val="21"/>
                <w:szCs w:val="21"/>
                <w:color w:val="auto"/>
              </w:rPr>
            </w:pPr>
          </w:p>
        </w:tc>
      </w:tr>
      <w:tr>
        <w:trPr>
          <w:trHeight w:val="27"/>
        </w:trPr>
        <w:tc>
          <w:tcPr>
            <w:tcW w:w="7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44"/>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Property operating income (POI)</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156,690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144,399</w:t>
            </w:r>
          </w:p>
        </w:tc>
        <w:tc>
          <w:tcPr>
            <w:tcW w:w="1100" w:type="dxa"/>
            <w:vAlign w:val="bottom"/>
          </w:tcPr>
          <w:p>
            <w:pPr>
              <w:spacing w:after="0"/>
              <w:rPr>
                <w:sz w:val="21"/>
                <w:szCs w:val="21"/>
                <w:color w:val="auto"/>
              </w:rPr>
            </w:pP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Less: Non-comparable POI - acquisitions/dispositions</w:t>
            </w:r>
          </w:p>
        </w:tc>
        <w:tc>
          <w:tcPr>
            <w:tcW w:w="380" w:type="dxa"/>
            <w:vAlign w:val="bottom"/>
          </w:tcPr>
          <w:p>
            <w:pPr>
              <w:spacing w:after="0"/>
              <w:rPr>
                <w:sz w:val="21"/>
                <w:szCs w:val="21"/>
                <w:color w:val="auto"/>
              </w:rPr>
            </w:pP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(5,250)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(1,287)</w:t>
            </w:r>
          </w:p>
        </w:tc>
        <w:tc>
          <w:tcPr>
            <w:tcW w:w="1100" w:type="dxa"/>
            <w:vAlign w:val="bottom"/>
          </w:tcPr>
          <w:p>
            <w:pPr>
              <w:spacing w:after="0"/>
              <w:rPr>
                <w:sz w:val="21"/>
                <w:szCs w:val="21"/>
                <w:color w:val="auto"/>
              </w:rPr>
            </w:pPr>
          </w:p>
        </w:tc>
      </w:tr>
      <w:tr>
        <w:trPr>
          <w:trHeight w:val="27"/>
        </w:trPr>
        <w:tc>
          <w:tcPr>
            <w:tcW w:w="7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Less: Non-comparable POI - redevelopment, development &amp; other</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(11,401)</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(7,920)</w:t>
            </w:r>
          </w:p>
        </w:tc>
        <w:tc>
          <w:tcPr>
            <w:tcW w:w="1100" w:type="dxa"/>
            <w:vAlign w:val="bottom"/>
          </w:tcPr>
          <w:p>
            <w:pPr>
              <w:spacing w:after="0"/>
              <w:rPr>
                <w:sz w:val="23"/>
                <w:szCs w:val="23"/>
                <w:color w:val="auto"/>
              </w:rPr>
            </w:pPr>
          </w:p>
        </w:tc>
      </w:tr>
      <w:tr>
        <w:trPr>
          <w:trHeight w:val="237"/>
        </w:trPr>
        <w:tc>
          <w:tcPr>
            <w:tcW w:w="7140" w:type="dxa"/>
            <w:vAlign w:val="bottom"/>
          </w:tcPr>
          <w:p>
            <w:pPr>
              <w:ind w:left="380"/>
              <w:spacing w:after="0"/>
              <w:rPr>
                <w:sz w:val="20"/>
                <w:szCs w:val="20"/>
                <w:color w:val="auto"/>
              </w:rPr>
            </w:pPr>
            <w:r>
              <w:rPr>
                <w:rFonts w:ascii="Arial" w:cs="Arial" w:eastAsia="Arial" w:hAnsi="Arial"/>
                <w:sz w:val="18"/>
                <w:szCs w:val="18"/>
                <w:color w:val="auto"/>
              </w:rPr>
              <w:t>Comparable Property POI</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rPr>
              <w:t>140,039</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135,192</w:t>
            </w:r>
          </w:p>
        </w:tc>
        <w:tc>
          <w:tcPr>
            <w:tcW w:w="1100" w:type="dxa"/>
            <w:vAlign w:val="bottom"/>
          </w:tcPr>
          <w:p>
            <w:pPr>
              <w:spacing w:after="0"/>
              <w:rPr>
                <w:sz w:val="20"/>
                <w:szCs w:val="20"/>
                <w:color w:val="auto"/>
              </w:rPr>
            </w:pPr>
          </w:p>
        </w:tc>
      </w:tr>
      <w:tr>
        <w:trPr>
          <w:trHeight w:val="459"/>
        </w:trPr>
        <w:tc>
          <w:tcPr>
            <w:tcW w:w="7140" w:type="dxa"/>
            <w:vAlign w:val="bottom"/>
          </w:tcPr>
          <w:p>
            <w:pPr>
              <w:ind w:left="40"/>
              <w:spacing w:after="0"/>
              <w:rPr>
                <w:sz w:val="20"/>
                <w:szCs w:val="20"/>
                <w:color w:val="auto"/>
              </w:rPr>
            </w:pPr>
            <w:r>
              <w:rPr>
                <w:rFonts w:ascii="Arial" w:cs="Arial" w:eastAsia="Arial" w:hAnsi="Arial"/>
                <w:sz w:val="18"/>
                <w:szCs w:val="18"/>
                <w:i w:val="1"/>
                <w:iCs w:val="1"/>
                <w:color w:val="auto"/>
              </w:rPr>
              <w:t>Additional information regarding the components of Comparable Property POI</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5"/>
        </w:trPr>
        <w:tc>
          <w:tcPr>
            <w:tcW w:w="7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gridSpan w:val="3"/>
          </w:tcPr>
          <w:p>
            <w:pPr>
              <w:jc w:val="center"/>
              <w:ind w:left="496"/>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6"/>
        </w:trPr>
        <w:tc>
          <w:tcPr>
            <w:tcW w:w="7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r>
      <w:tr>
        <w:trPr>
          <w:trHeight w:val="264"/>
        </w:trPr>
        <w:tc>
          <w:tcPr>
            <w:tcW w:w="7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w w:val="89"/>
              </w:rPr>
              <w:t>2017</w:t>
            </w:r>
          </w:p>
        </w:tc>
        <w:tc>
          <w:tcPr>
            <w:tcW w:w="11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w w:val="97"/>
              </w:rPr>
              <w:t>% Change</w:t>
            </w:r>
          </w:p>
        </w:tc>
      </w:tr>
      <w:tr>
        <w:trPr>
          <w:trHeight w:val="264"/>
        </w:trPr>
        <w:tc>
          <w:tcPr>
            <w:tcW w:w="7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80" w:type="dxa"/>
            <w:vAlign w:val="bottom"/>
            <w:gridSpan w:val="3"/>
          </w:tcPr>
          <w:p>
            <w:pPr>
              <w:jc w:val="center"/>
              <w:ind w:left="476"/>
              <w:spacing w:after="0"/>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6"/>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Rental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192,702</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187,272</w:t>
            </w: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Other property income</w:t>
            </w:r>
          </w:p>
        </w:tc>
        <w:tc>
          <w:tcPr>
            <w:tcW w:w="380" w:type="dxa"/>
            <w:vAlign w:val="bottom"/>
          </w:tcPr>
          <w:p>
            <w:pPr>
              <w:spacing w:after="0"/>
              <w:rPr>
                <w:sz w:val="21"/>
                <w:szCs w:val="21"/>
                <w:color w:val="auto"/>
              </w:rPr>
            </w:pP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3,489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4,064</w:t>
            </w:r>
          </w:p>
        </w:tc>
        <w:tc>
          <w:tcPr>
            <w:tcW w:w="1100" w:type="dxa"/>
            <w:vAlign w:val="bottom"/>
          </w:tcPr>
          <w:p>
            <w:pPr>
              <w:spacing w:after="0"/>
              <w:rPr>
                <w:sz w:val="21"/>
                <w:szCs w:val="21"/>
                <w:color w:val="auto"/>
              </w:rPr>
            </w:pPr>
          </w:p>
        </w:tc>
      </w:tr>
      <w:tr>
        <w:trPr>
          <w:trHeight w:val="27"/>
        </w:trPr>
        <w:tc>
          <w:tcPr>
            <w:tcW w:w="7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7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196,191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191,336</w:t>
            </w:r>
          </w:p>
        </w:tc>
        <w:tc>
          <w:tcPr>
            <w:tcW w:w="1100" w:type="dxa"/>
            <w:vAlign w:val="bottom"/>
            <w:tcBorders>
              <w:bottom w:val="single" w:sz="8" w:color="CCEEFF"/>
            </w:tcBorders>
            <w:shd w:val="clear" w:color="auto" w:fill="CCEEFF"/>
          </w:tcPr>
          <w:p>
            <w:pPr>
              <w:spacing w:after="0"/>
              <w:rPr>
                <w:sz w:val="21"/>
                <w:szCs w:val="21"/>
                <w:color w:val="auto"/>
              </w:rPr>
            </w:pPr>
          </w:p>
        </w:tc>
      </w:tr>
      <w:tr>
        <w:trPr>
          <w:trHeight w:val="230"/>
        </w:trPr>
        <w:tc>
          <w:tcPr>
            <w:tcW w:w="7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Rental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(31,882)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(31,680)</w:t>
            </w: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Real estate taxes</w:t>
            </w:r>
          </w:p>
        </w:tc>
        <w:tc>
          <w:tcPr>
            <w:tcW w:w="380" w:type="dxa"/>
            <w:vAlign w:val="bottom"/>
          </w:tcPr>
          <w:p>
            <w:pPr>
              <w:spacing w:after="0"/>
              <w:rPr>
                <w:sz w:val="21"/>
                <w:szCs w:val="21"/>
                <w:color w:val="auto"/>
              </w:rPr>
            </w:pP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(24,270)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(24,464)</w:t>
            </w:r>
          </w:p>
        </w:tc>
        <w:tc>
          <w:tcPr>
            <w:tcW w:w="1100" w:type="dxa"/>
            <w:vAlign w:val="bottom"/>
          </w:tcPr>
          <w:p>
            <w:pPr>
              <w:spacing w:after="0"/>
              <w:rPr>
                <w:sz w:val="21"/>
                <w:szCs w:val="21"/>
                <w:color w:val="auto"/>
              </w:rPr>
            </w:pPr>
          </w:p>
        </w:tc>
      </w:tr>
      <w:tr>
        <w:trPr>
          <w:trHeight w:val="27"/>
        </w:trPr>
        <w:tc>
          <w:tcPr>
            <w:tcW w:w="7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7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(56,152)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(56,144)</w:t>
            </w:r>
          </w:p>
        </w:tc>
        <w:tc>
          <w:tcPr>
            <w:tcW w:w="1100" w:type="dxa"/>
            <w:vAlign w:val="bottom"/>
            <w:tcBorders>
              <w:bottom w:val="single" w:sz="8" w:color="CCEEFF"/>
            </w:tcBorders>
            <w:shd w:val="clear" w:color="auto" w:fill="CCEEFF"/>
          </w:tcPr>
          <w:p>
            <w:pPr>
              <w:spacing w:after="0"/>
              <w:rPr>
                <w:sz w:val="21"/>
                <w:szCs w:val="21"/>
                <w:color w:val="auto"/>
              </w:rPr>
            </w:pPr>
          </w:p>
        </w:tc>
      </w:tr>
      <w:tr>
        <w:trPr>
          <w:trHeight w:val="216"/>
        </w:trPr>
        <w:tc>
          <w:tcPr>
            <w:tcW w:w="7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Comparable Property POI</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140,039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135,192</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7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Comparable Property POI as a percentage of total POI</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100" w:type="dxa"/>
            <w:vAlign w:val="bottom"/>
            <w:tcBorders>
              <w:bottom w:val="single" w:sz="8" w:color="CCEEFF"/>
            </w:tcBorders>
            <w:shd w:val="clear" w:color="auto" w:fill="CCEEFF"/>
          </w:tcPr>
          <w:p>
            <w:pPr>
              <w:spacing w:after="0"/>
              <w:rPr>
                <w:sz w:val="21"/>
                <w:szCs w:val="21"/>
                <w:color w:val="auto"/>
              </w:rPr>
            </w:pPr>
          </w:p>
        </w:tc>
      </w:tr>
      <w:tr>
        <w:trPr>
          <w:trHeight w:val="432"/>
        </w:trPr>
        <w:tc>
          <w:tcPr>
            <w:tcW w:w="7140" w:type="dxa"/>
            <w:vAlign w:val="bottom"/>
          </w:tcPr>
          <w:p>
            <w:pPr>
              <w:ind w:left="40"/>
              <w:spacing w:after="0"/>
              <w:rPr>
                <w:sz w:val="20"/>
                <w:szCs w:val="20"/>
                <w:color w:val="auto"/>
              </w:rPr>
            </w:pPr>
            <w:r>
              <w:rPr>
                <w:rFonts w:ascii="Arial" w:cs="Arial" w:eastAsia="Arial" w:hAnsi="Arial"/>
                <w:sz w:val="18"/>
                <w:szCs w:val="18"/>
                <w:i w:val="1"/>
                <w:iCs w:val="1"/>
                <w:color w:val="auto"/>
              </w:rPr>
              <w:t>Comparable Property - Occupancy Statistics (1)</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99" w:lineRule="exact"/>
        <w:rPr>
          <w:sz w:val="20"/>
          <w:szCs w:val="20"/>
          <w:color w:val="auto"/>
        </w:rPr>
      </w:pPr>
    </w:p>
    <w:p>
      <w:pPr>
        <w:sectPr>
          <w:pgSz w:w="11900" w:h="16838" w:orient="portrait"/>
          <w:cols w:equalWidth="0" w:num="1">
            <w:col w:w="11420"/>
          </w:cols>
          <w:pgMar w:left="240" w:top="742" w:right="239" w:bottom="0" w:gutter="0" w:footer="0" w:header="0"/>
        </w:sectPr>
      </w:pPr>
    </w:p>
    <w:p>
      <w:pPr>
        <w:spacing w:after="0" w:line="200" w:lineRule="exact"/>
        <w:rPr>
          <w:sz w:val="20"/>
          <w:szCs w:val="20"/>
          <w:color w:val="auto"/>
        </w:rPr>
      </w:pPr>
    </w:p>
    <w:p>
      <w:pPr>
        <w:spacing w:after="0" w:line="308" w:lineRule="exact"/>
        <w:rPr>
          <w:sz w:val="20"/>
          <w:szCs w:val="20"/>
          <w:color w:val="auto"/>
        </w:rPr>
      </w:pPr>
    </w:p>
    <w:p>
      <w:pPr>
        <w:ind w:left="380"/>
        <w:spacing w:after="0"/>
        <w:rPr>
          <w:sz w:val="20"/>
          <w:szCs w:val="20"/>
          <w:color w:val="auto"/>
        </w:rPr>
      </w:pPr>
      <w:r>
        <w:rPr>
          <w:rFonts w:ascii="Arial" w:cs="Arial" w:eastAsia="Arial" w:hAnsi="Arial"/>
          <w:sz w:val="18"/>
          <w:szCs w:val="18"/>
          <w:color w:val="auto"/>
          <w:shd w:val="clear" w:color="auto" w:fill="CCEEFF"/>
        </w:rPr>
        <w:t>GLA - comparable retail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Leased % - comparable retail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Occupancy % - comparable retail properties</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Comparable Property - Summary of Capital Expenditures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80" w:right="1960"/>
        <w:spacing w:after="0" w:line="340" w:lineRule="auto"/>
        <w:rPr>
          <w:sz w:val="20"/>
          <w:szCs w:val="20"/>
          <w:color w:val="auto"/>
        </w:rPr>
      </w:pPr>
      <w:r>
        <w:rPr>
          <w:rFonts w:ascii="Arial" w:cs="Arial" w:eastAsia="Arial" w:hAnsi="Arial"/>
          <w:sz w:val="18"/>
          <w:szCs w:val="18"/>
          <w:color w:val="auto"/>
          <w:shd w:val="clear" w:color="auto" w:fill="CCEEFF"/>
        </w:rPr>
        <w:t xml:space="preserve">Redevelopment and tenant improvements and incentives </w:t>
      </w:r>
      <w:r>
        <w:rPr>
          <w:rFonts w:ascii="Arial" w:cs="Arial" w:eastAsia="Arial" w:hAnsi="Arial"/>
          <w:sz w:val="18"/>
          <w:szCs w:val="18"/>
          <w:color w:val="auto"/>
        </w:rPr>
        <w:t>Maintenance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720" w:hanging="685"/>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See page 25 for entire portfolio occupancy statistics.</w:t>
      </w:r>
    </w:p>
    <w:p>
      <w:pPr>
        <w:spacing w:after="0" w:line="72" w:lineRule="exact"/>
        <w:rPr>
          <w:rFonts w:ascii="Arial" w:cs="Arial" w:eastAsia="Arial" w:hAnsi="Arial"/>
          <w:sz w:val="16"/>
          <w:szCs w:val="16"/>
          <w:color w:val="auto"/>
        </w:rPr>
      </w:pPr>
    </w:p>
    <w:p>
      <w:pPr>
        <w:ind w:left="720" w:hanging="685"/>
        <w:spacing w:after="0"/>
        <w:tabs>
          <w:tab w:leader="none" w:pos="7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See page 9 for "Summary of Capital Expenditures" for our entire portfolio.</w:t>
      </w:r>
    </w:p>
    <w:p>
      <w:pPr>
        <w:spacing w:after="0" w:line="20" w:lineRule="exact"/>
        <w:rPr>
          <w:sz w:val="20"/>
          <w:szCs w:val="20"/>
          <w:color w:val="auto"/>
        </w:rPr>
      </w:pPr>
      <w:r>
        <w:rPr>
          <w:sz w:val="20"/>
          <w:szCs w:val="20"/>
          <w:color w:val="auto"/>
        </w:rPr>
        <w:br w:type="column"/>
      </w:r>
    </w:p>
    <w:p>
      <w:pPr>
        <w:ind w:left="1260"/>
        <w:spacing w:after="0"/>
        <w:rPr>
          <w:sz w:val="20"/>
          <w:szCs w:val="20"/>
          <w:color w:val="auto"/>
        </w:rPr>
      </w:pPr>
      <w:r>
        <w:rPr>
          <w:rFonts w:ascii="Arial" w:cs="Arial" w:eastAsia="Arial" w:hAnsi="Arial"/>
          <w:sz w:val="14"/>
          <w:szCs w:val="14"/>
          <w:b w:val="1"/>
          <w:bCs w:val="1"/>
          <w:color w:val="auto"/>
        </w:rPr>
        <w:t>At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2023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w w:val="89"/>
              </w:rPr>
              <w:t>2017</w:t>
            </w:r>
          </w:p>
        </w:tc>
      </w:tr>
      <w:tr>
        <w:trPr>
          <w:trHeight w:val="243"/>
        </w:trPr>
        <w:tc>
          <w:tcPr>
            <w:tcW w:w="320" w:type="dxa"/>
            <w:vAlign w:val="bottom"/>
          </w:tcPr>
          <w:p>
            <w:pPr>
              <w:spacing w:after="0"/>
              <w:rPr>
                <w:sz w:val="21"/>
                <w:szCs w:val="21"/>
                <w:color w:val="auto"/>
              </w:rPr>
            </w:pPr>
          </w:p>
        </w:tc>
        <w:tc>
          <w:tcPr>
            <w:tcW w:w="1220" w:type="dxa"/>
            <w:vAlign w:val="bottom"/>
          </w:tcPr>
          <w:p>
            <w:pPr>
              <w:jc w:val="right"/>
              <w:ind w:right="118"/>
              <w:spacing w:after="0"/>
              <w:rPr>
                <w:sz w:val="20"/>
                <w:szCs w:val="20"/>
                <w:color w:val="auto"/>
              </w:rPr>
            </w:pPr>
            <w:r>
              <w:rPr>
                <w:rFonts w:ascii="Arial" w:cs="Arial" w:eastAsia="Arial" w:hAnsi="Arial"/>
                <w:sz w:val="18"/>
                <w:szCs w:val="18"/>
                <w:color w:val="auto"/>
              </w:rPr>
              <w:t>21,785,000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21,783,000</w:t>
            </w:r>
          </w:p>
        </w:tc>
      </w:tr>
      <w:tr>
        <w:trPr>
          <w:trHeight w:val="270"/>
        </w:trPr>
        <w:tc>
          <w:tcPr>
            <w:tcW w:w="3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95.3%</w:t>
            </w:r>
          </w:p>
        </w:tc>
      </w:tr>
      <w:tr>
        <w:trPr>
          <w:trHeight w:val="270"/>
        </w:trPr>
        <w:tc>
          <w:tcPr>
            <w:tcW w:w="3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93.7%</w:t>
            </w:r>
          </w:p>
        </w:tc>
      </w:tr>
      <w:tr>
        <w:trPr>
          <w:trHeight w:val="785"/>
        </w:trPr>
        <w:tc>
          <w:tcPr>
            <w:tcW w:w="320" w:type="dxa"/>
            <w:vAlign w:val="bottom"/>
          </w:tcPr>
          <w:p>
            <w:pPr>
              <w:spacing w:after="0"/>
              <w:rPr>
                <w:sz w:val="24"/>
                <w:szCs w:val="24"/>
                <w:color w:val="auto"/>
              </w:rPr>
            </w:pPr>
          </w:p>
        </w:tc>
        <w:tc>
          <w:tcPr>
            <w:tcW w:w="1940" w:type="dxa"/>
            <w:vAlign w:val="bottom"/>
            <w:gridSpan w:val="3"/>
          </w:tcPr>
          <w:p>
            <w:pPr>
              <w:jc w:val="center"/>
              <w:ind w:left="558"/>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24"/>
                <w:szCs w:val="24"/>
                <w:color w:val="auto"/>
              </w:rPr>
            </w:pPr>
          </w:p>
        </w:tc>
      </w:tr>
      <w:tr>
        <w:trPr>
          <w:trHeight w:val="276"/>
        </w:trPr>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24"/>
                <w:szCs w:val="24"/>
                <w:color w:val="auto"/>
              </w:rPr>
            </w:pPr>
          </w:p>
        </w:tc>
      </w:tr>
      <w:tr>
        <w:trPr>
          <w:trHeight w:val="264"/>
        </w:trPr>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w w:val="89"/>
              </w:rPr>
              <w:t>2017</w:t>
            </w:r>
          </w:p>
        </w:tc>
      </w:tr>
      <w:tr>
        <w:trPr>
          <w:trHeight w:val="244"/>
        </w:trPr>
        <w:tc>
          <w:tcPr>
            <w:tcW w:w="320" w:type="dxa"/>
            <w:vAlign w:val="bottom"/>
          </w:tcPr>
          <w:p>
            <w:pPr>
              <w:spacing w:after="0"/>
              <w:rPr>
                <w:sz w:val="21"/>
                <w:szCs w:val="21"/>
                <w:color w:val="auto"/>
              </w:rPr>
            </w:pPr>
          </w:p>
        </w:tc>
        <w:tc>
          <w:tcPr>
            <w:tcW w:w="1940" w:type="dxa"/>
            <w:vAlign w:val="bottom"/>
            <w:gridSpan w:val="3"/>
          </w:tcPr>
          <w:p>
            <w:pPr>
              <w:jc w:val="center"/>
              <w:ind w:left="538"/>
              <w:spacing w:after="0"/>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spacing w:after="0"/>
              <w:rPr>
                <w:sz w:val="21"/>
                <w:szCs w:val="21"/>
                <w:color w:val="auto"/>
              </w:rPr>
            </w:pPr>
          </w:p>
        </w:tc>
      </w:tr>
      <w:tr>
        <w:trPr>
          <w:trHeight w:val="255"/>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8"/>
              <w:spacing w:after="0"/>
              <w:rPr>
                <w:sz w:val="20"/>
                <w:szCs w:val="20"/>
                <w:color w:val="auto"/>
              </w:rPr>
            </w:pPr>
            <w:r>
              <w:rPr>
                <w:rFonts w:ascii="Arial" w:cs="Arial" w:eastAsia="Arial" w:hAnsi="Arial"/>
                <w:sz w:val="18"/>
                <w:szCs w:val="18"/>
                <w:color w:val="auto"/>
              </w:rPr>
              <w:t>25,938</w:t>
            </w:r>
          </w:p>
        </w:tc>
        <w:tc>
          <w:tcPr>
            <w:tcW w:w="100" w:type="dxa"/>
            <w:vAlign w:val="bottom"/>
          </w:tcPr>
          <w:p>
            <w:pPr>
              <w:spacing w:after="0"/>
              <w:rPr>
                <w:sz w:val="22"/>
                <w:szCs w:val="22"/>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28,133</w:t>
            </w:r>
          </w:p>
        </w:tc>
      </w:tr>
      <w:tr>
        <w:trPr>
          <w:trHeight w:val="270"/>
        </w:trPr>
        <w:tc>
          <w:tcPr>
            <w:tcW w:w="320" w:type="dxa"/>
            <w:vAlign w:val="bottom"/>
          </w:tcPr>
          <w:p>
            <w:pPr>
              <w:spacing w:after="0"/>
              <w:rPr>
                <w:sz w:val="23"/>
                <w:szCs w:val="23"/>
                <w:color w:val="auto"/>
              </w:rPr>
            </w:pPr>
          </w:p>
        </w:tc>
        <w:tc>
          <w:tcPr>
            <w:tcW w:w="1220" w:type="dxa"/>
            <w:vAlign w:val="bottom"/>
          </w:tcPr>
          <w:p>
            <w:pPr>
              <w:jc w:val="right"/>
              <w:ind w:right="118"/>
              <w:spacing w:after="0"/>
              <w:rPr>
                <w:sz w:val="20"/>
                <w:szCs w:val="20"/>
                <w:color w:val="auto"/>
              </w:rPr>
            </w:pPr>
            <w:r>
              <w:rPr>
                <w:rFonts w:ascii="Arial" w:cs="Arial" w:eastAsia="Arial" w:hAnsi="Arial"/>
                <w:sz w:val="18"/>
                <w:szCs w:val="18"/>
                <w:color w:val="auto"/>
              </w:rPr>
              <w:t>2,892</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5,937</w:t>
            </w:r>
          </w:p>
        </w:tc>
      </w:tr>
      <w:tr>
        <w:trPr>
          <w:trHeight w:val="27"/>
        </w:trPr>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8"/>
              <w:spacing w:after="0"/>
              <w:rPr>
                <w:sz w:val="20"/>
                <w:szCs w:val="20"/>
                <w:color w:val="auto"/>
              </w:rPr>
            </w:pPr>
            <w:r>
              <w:rPr>
                <w:rFonts w:ascii="Arial" w:cs="Arial" w:eastAsia="Arial" w:hAnsi="Arial"/>
                <w:sz w:val="18"/>
                <w:szCs w:val="18"/>
                <w:color w:val="auto"/>
              </w:rPr>
              <w:t>28,830</w:t>
            </w:r>
          </w:p>
        </w:tc>
        <w:tc>
          <w:tcPr>
            <w:tcW w:w="10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34,070</w:t>
            </w:r>
          </w:p>
        </w:tc>
      </w:tr>
    </w:tbl>
    <w:p>
      <w:pPr>
        <w:sectPr>
          <w:pgSz w:w="11900" w:h="16838" w:orient="portrait"/>
          <w:cols w:equalWidth="0" w:num="2">
            <w:col w:w="6420" w:space="720"/>
            <w:col w:w="4280"/>
          </w:cols>
          <w:pgMar w:left="240" w:top="742" w:right="239" w:bottom="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019"/>
          </w:cols>
          <w:pgMar w:left="1440" w:top="125" w:right="1440" w:bottom="1440" w:gutter="0" w:footer="0" w:header="0"/>
        </w:sectPr>
      </w:pPr>
    </w:p>
    <w:bookmarkStart w:id="16" w:name="page17"/>
    <w:bookmarkEnd w:id="16"/>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 of Outstanding Debt and Capital Lease Obligations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2018</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1100"/>
              <w:spacing w:after="0"/>
              <w:rPr>
                <w:sz w:val="20"/>
                <w:szCs w:val="20"/>
                <w:color w:val="auto"/>
              </w:rPr>
            </w:pPr>
            <w:r>
              <w:rPr>
                <w:rFonts w:ascii="Arial" w:cs="Arial" w:eastAsia="Arial" w:hAnsi="Arial"/>
                <w:sz w:val="14"/>
                <w:szCs w:val="14"/>
                <w:b w:val="1"/>
                <w:bCs w:val="1"/>
                <w:color w:val="auto"/>
              </w:rPr>
              <w:t>As of June 30, 2018</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3"/>
              </w:rPr>
              <w:t>Stated maturity date</w:t>
            </w:r>
          </w:p>
        </w:tc>
        <w:tc>
          <w:tcPr>
            <w:tcW w:w="100" w:type="dxa"/>
            <w:vAlign w:val="bottom"/>
            <w:vMerge w:val="restart"/>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Stated interest rate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vMerge w:val="restart"/>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59"/>
              <w:spacing w:after="0" w:line="153"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effective rate (5)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w w:val="90"/>
              </w:rPr>
              <w:t>Mortgages Payable (1)</w:t>
            </w:r>
          </w:p>
        </w:tc>
        <w:tc>
          <w:tcPr>
            <w:tcW w:w="2760" w:type="dxa"/>
            <w:vAlign w:val="bottom"/>
            <w:tcBorders>
              <w:bottom w:val="single" w:sz="8" w:color="CCEEFF"/>
            </w:tcBorders>
            <w:gridSpan w:val="4"/>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i w:val="1"/>
                <w:iCs w:val="1"/>
                <w:color w:val="auto"/>
              </w:rPr>
              <w:t>Secured fixed rate</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Rollingwood Apartments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5/1/2019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20,578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The Shops at Sunset Place</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9/1/2020</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65,538</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29th Place</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1/31/2021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4,231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Sylmar Towne Center</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6/6/2021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17,185</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Plaza Del Sol</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12/1/2021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8,496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The AVENUE at White Marsh</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1/1/2022</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52,705</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Montrose Crossing</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1/10/2022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70,191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Azalea</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11/1/2025</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Bell Gardens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8/1/2026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13,061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Plaza El Segundo</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6/5/2027</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125,000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The Grove at Shrewsbury (East)</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9/1/2027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43,600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Brook 35</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7/1/2029</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4.65%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11,500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Chelsea</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1/15/2031</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6,105</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gridSpan w:val="6"/>
          </w:tcPr>
          <w:p>
            <w:pPr>
              <w:ind w:left="700"/>
              <w:spacing w:after="0"/>
              <w:rPr>
                <w:sz w:val="20"/>
                <w:szCs w:val="20"/>
                <w:color w:val="auto"/>
              </w:rPr>
            </w:pPr>
            <w:r>
              <w:rPr>
                <w:rFonts w:ascii="Arial" w:cs="Arial" w:eastAsia="Arial" w:hAnsi="Arial"/>
                <w:sz w:val="16"/>
                <w:szCs w:val="16"/>
                <w:color w:val="auto"/>
              </w:rPr>
              <w:t>Subtotal</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478,190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6"/>
            <w:shd w:val="clear" w:color="auto" w:fill="CCEEFF"/>
          </w:tcPr>
          <w:p>
            <w:pPr>
              <w:ind w:left="920"/>
              <w:spacing w:after="0"/>
              <w:rPr>
                <w:sz w:val="20"/>
                <w:szCs w:val="20"/>
                <w:color w:val="auto"/>
              </w:rPr>
            </w:pPr>
            <w:r>
              <w:rPr>
                <w:rFonts w:ascii="Arial" w:cs="Arial" w:eastAsia="Arial" w:hAnsi="Arial"/>
                <w:sz w:val="16"/>
                <w:szCs w:val="16"/>
                <w:color w:val="auto"/>
                <w:w w:val="91"/>
              </w:rPr>
              <w:t>Net unamortized premium and debt issuance costs</w:t>
            </w: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gridSpan w:val="6"/>
          </w:tcPr>
          <w:p>
            <w:pPr>
              <w:ind w:left="700"/>
              <w:spacing w:after="0"/>
              <w:rPr>
                <w:sz w:val="20"/>
                <w:szCs w:val="20"/>
                <w:color w:val="auto"/>
              </w:rPr>
            </w:pPr>
            <w:r>
              <w:rPr>
                <w:rFonts w:ascii="Arial" w:cs="Arial" w:eastAsia="Arial" w:hAnsi="Arial"/>
                <w:sz w:val="16"/>
                <w:szCs w:val="16"/>
                <w:color w:val="auto"/>
              </w:rPr>
              <w:t>Total mortgages payable, net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477,706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4.10%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260" w:type="dxa"/>
            <w:vAlign w:val="bottom"/>
            <w:gridSpan w:val="7"/>
          </w:tcPr>
          <w:p>
            <w:pPr>
              <w:ind w:left="20"/>
              <w:spacing w:after="0"/>
              <w:rPr>
                <w:sz w:val="20"/>
                <w:szCs w:val="20"/>
                <w:color w:val="auto"/>
              </w:rPr>
            </w:pPr>
            <w:r>
              <w:rPr>
                <w:rFonts w:ascii="Arial" w:cs="Arial" w:eastAsia="Arial" w:hAnsi="Arial"/>
                <w:sz w:val="16"/>
                <w:szCs w:val="16"/>
                <w:color w:val="auto"/>
              </w:rPr>
              <w:t>Notes payable</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i w:val="1"/>
                <w:iCs w:val="1"/>
                <w:color w:val="auto"/>
              </w:rPr>
              <w:t>Unsecured fixed rate</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Term loan (2)</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11/21/2018</w:t>
            </w: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LIBOR + 0.90%</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Various</w:t>
            </w:r>
          </w:p>
        </w:tc>
        <w:tc>
          <w:tcPr>
            <w:tcW w:w="180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1"/>
              </w:rPr>
              <w:t>Various through 2028</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4,672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i w:val="1"/>
                <w:iCs w:val="1"/>
                <w:color w:val="auto"/>
              </w:rPr>
              <w:t>Unsecured variable rate</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Revolving credit facility (3)</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4/20/2020</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LIBOR + 0.825%</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89,000</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gridSpan w:val="6"/>
          </w:tcPr>
          <w:p>
            <w:pPr>
              <w:ind w:left="700"/>
              <w:spacing w:after="0"/>
              <w:rPr>
                <w:sz w:val="20"/>
                <w:szCs w:val="20"/>
                <w:color w:val="auto"/>
              </w:rPr>
            </w:pPr>
            <w:r>
              <w:rPr>
                <w:rFonts w:ascii="Arial" w:cs="Arial" w:eastAsia="Arial" w:hAnsi="Arial"/>
                <w:sz w:val="16"/>
                <w:szCs w:val="16"/>
                <w:color w:val="auto"/>
              </w:rPr>
              <w:t>Subtotal</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368,672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6"/>
            <w:shd w:val="clear" w:color="auto" w:fill="CCEEFF"/>
          </w:tcPr>
          <w:p>
            <w:pPr>
              <w:ind w:left="920"/>
              <w:spacing w:after="0"/>
              <w:rPr>
                <w:sz w:val="20"/>
                <w:szCs w:val="20"/>
                <w:color w:val="auto"/>
              </w:rPr>
            </w:pPr>
            <w:r>
              <w:rPr>
                <w:rFonts w:ascii="Arial" w:cs="Arial" w:eastAsia="Arial" w:hAnsi="Arial"/>
                <w:sz w:val="16"/>
                <w:szCs w:val="16"/>
                <w:color w:val="auto"/>
              </w:rPr>
              <w:t>Net unamortized debt issuance costs</w:t>
            </w: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gridSpan w:val="6"/>
          </w:tcPr>
          <w:p>
            <w:pPr>
              <w:ind w:left="700"/>
              <w:spacing w:after="0"/>
              <w:rPr>
                <w:sz w:val="20"/>
                <w:szCs w:val="20"/>
                <w:color w:val="auto"/>
              </w:rPr>
            </w:pPr>
            <w:r>
              <w:rPr>
                <w:rFonts w:ascii="Arial" w:cs="Arial" w:eastAsia="Arial" w:hAnsi="Arial"/>
                <w:sz w:val="16"/>
                <w:szCs w:val="16"/>
                <w:color w:val="auto"/>
              </w:rPr>
              <w:t>Total notes payable, net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368,389</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2.93%</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w w:val="91"/>
              </w:rPr>
              <w:t>(6)</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260" w:type="dxa"/>
            <w:vAlign w:val="bottom"/>
            <w:gridSpan w:val="7"/>
          </w:tcPr>
          <w:p>
            <w:pPr>
              <w:ind w:left="20"/>
              <w:spacing w:after="0"/>
              <w:rPr>
                <w:sz w:val="20"/>
                <w:szCs w:val="20"/>
                <w:color w:val="auto"/>
              </w:rPr>
            </w:pPr>
            <w:r>
              <w:rPr>
                <w:rFonts w:ascii="Arial" w:cs="Arial" w:eastAsia="Arial" w:hAnsi="Arial"/>
                <w:sz w:val="16"/>
                <w:szCs w:val="16"/>
                <w:color w:val="auto"/>
              </w:rPr>
              <w:t>Senior notes and debentures</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i w:val="1"/>
                <w:iCs w:val="1"/>
                <w:color w:val="auto"/>
              </w:rPr>
              <w:t>Unsecured fixed rate</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2.55% notes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1/15/2021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2.55%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3.00%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8/1/2022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2.75% notes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6/1/2023</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2.75%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3.95%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1/15/2024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7.48% debentures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8/15/2026</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29,200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3.25%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7/15/2027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475,000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6.82% medium term notes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8/1/2027</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6.82%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4.50%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12/1/2044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3.625% notes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8/1/2046</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2,419,200</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920"/>
              <w:spacing w:after="0"/>
              <w:rPr>
                <w:sz w:val="20"/>
                <w:szCs w:val="20"/>
                <w:color w:val="auto"/>
              </w:rPr>
            </w:pPr>
            <w:r>
              <w:rPr>
                <w:rFonts w:ascii="Arial" w:cs="Arial" w:eastAsia="Arial" w:hAnsi="Arial"/>
                <w:sz w:val="16"/>
                <w:szCs w:val="16"/>
                <w:color w:val="auto"/>
                <w:w w:val="92"/>
              </w:rPr>
              <w:t>Net unamortized discount and debt issuance costs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(16,349)</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Arial" w:cs="Arial" w:eastAsia="Arial" w:hAnsi="Arial"/>
                <w:sz w:val="16"/>
                <w:szCs w:val="16"/>
                <w:color w:val="auto"/>
              </w:rPr>
              <w:t>Total senior notes and debentures, net</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2,402,851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3.76%</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2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7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9"/>
            <w:shd w:val="clear" w:color="auto" w:fill="CCEEFF"/>
          </w:tcPr>
          <w:p>
            <w:pPr>
              <w:ind w:left="20"/>
              <w:spacing w:after="0"/>
              <w:rPr>
                <w:sz w:val="20"/>
                <w:szCs w:val="20"/>
                <w:color w:val="auto"/>
              </w:rPr>
            </w:pPr>
            <w:r>
              <w:rPr>
                <w:rFonts w:ascii="Arial" w:cs="Arial" w:eastAsia="Arial" w:hAnsi="Arial"/>
                <w:sz w:val="16"/>
                <w:szCs w:val="16"/>
                <w:color w:val="auto"/>
              </w:rPr>
              <w:t>Total mortgages payable, notes payable, and senior notes and debentures, net</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3,248,946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w w:val="91"/>
              </w:rPr>
              <w:t>Capital lease obligations</w:t>
            </w:r>
          </w:p>
        </w:tc>
        <w:tc>
          <w:tcPr>
            <w:tcW w:w="2640" w:type="dxa"/>
            <w:vAlign w:val="bottom"/>
            <w:tcBorders>
              <w:bottom w:val="single" w:sz="8" w:color="CCEEFF"/>
            </w:tcBorders>
            <w:gridSpan w:val="3"/>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Various</w:t>
            </w: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Various through 2106</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Various</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71,538</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8.04%</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6"/>
                <w:szCs w:val="16"/>
                <w:color w:val="auto"/>
              </w:rPr>
              <w:t>Total debt and capital lease obligations, net</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3,320,484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6"/>
                <w:szCs w:val="16"/>
                <w:color w:val="auto"/>
              </w:rPr>
              <w:t>Total fixed rate debt and capital lease obligations, net</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3,231,484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3.83%</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60" w:type="dxa"/>
            <w:vAlign w:val="bottom"/>
            <w:gridSpan w:val="7"/>
          </w:tcPr>
          <w:p>
            <w:pPr>
              <w:ind w:left="20"/>
              <w:spacing w:after="0"/>
              <w:rPr>
                <w:sz w:val="20"/>
                <w:szCs w:val="20"/>
                <w:color w:val="auto"/>
              </w:rPr>
            </w:pPr>
            <w:r>
              <w:rPr>
                <w:rFonts w:ascii="Arial" w:cs="Arial" w:eastAsia="Arial" w:hAnsi="Arial"/>
                <w:sz w:val="16"/>
                <w:szCs w:val="16"/>
                <w:color w:val="auto"/>
              </w:rPr>
              <w:t>Total variable rate debt</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89,000</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2.81%</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w w:val="91"/>
              </w:rPr>
              <w:t>(6)</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4260" w:type="dxa"/>
            <w:vAlign w:val="bottom"/>
            <w:gridSpan w:val="7"/>
            <w:shd w:val="clear" w:color="auto" w:fill="CCEEFF"/>
          </w:tcPr>
          <w:p>
            <w:pPr>
              <w:ind w:left="20"/>
              <w:spacing w:after="0"/>
              <w:rPr>
                <w:sz w:val="20"/>
                <w:szCs w:val="20"/>
                <w:color w:val="auto"/>
              </w:rPr>
            </w:pPr>
            <w:r>
              <w:rPr>
                <w:rFonts w:ascii="Arial" w:cs="Arial" w:eastAsia="Arial" w:hAnsi="Arial"/>
                <w:sz w:val="16"/>
                <w:szCs w:val="16"/>
                <w:color w:val="auto"/>
              </w:rPr>
              <w:t>Total debt and capital lease obligations, net</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3,320,484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3.81%</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1"/>
              </w:rPr>
              <w:t>(6)</w:t>
            </w:r>
          </w:p>
        </w:tc>
        <w:tc>
          <w:tcPr>
            <w:tcW w:w="0" w:type="dxa"/>
            <w:vAlign w:val="bottom"/>
          </w:tcPr>
          <w:p>
            <w:pPr>
              <w:spacing w:after="0"/>
              <w:rPr>
                <w:sz w:val="1"/>
                <w:szCs w:val="1"/>
                <w:color w:val="auto"/>
              </w:rPr>
            </w:pPr>
          </w:p>
        </w:tc>
      </w:tr>
    </w:tbl>
    <w:p>
      <w:pPr>
        <w:sectPr>
          <w:pgSz w:w="11900" w:h="16900" w:orient="portrait"/>
          <w:cols w:equalWidth="0" w:num="1">
            <w:col w:w="11400"/>
          </w:cols>
          <w:pgMar w:left="260" w:top="747" w:right="239" w:bottom="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166370</wp:posOffset>
            </wp:positionH>
            <wp:positionV relativeFrom="page">
              <wp:posOffset>88900</wp:posOffset>
            </wp:positionV>
            <wp:extent cx="723773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7730" cy="34290"/>
                    </a:xfrm>
                    <a:prstGeom prst="rect">
                      <a:avLst/>
                    </a:prstGeom>
                    <a:noFill/>
                  </pic:spPr>
                </pic:pic>
              </a:graphicData>
            </a:graphic>
          </wp:anchor>
        </w:drawing>
        <w:t>13</w:t>
      </w:r>
    </w:p>
    <w:p>
      <w:pPr>
        <w:sectPr>
          <w:pgSz w:w="11900" w:h="16838" w:orient="portrait"/>
          <w:cols w:equalWidth="0" w:num="1">
            <w:col w:w="9019"/>
          </w:cols>
          <w:pgMar w:left="1440" w:top="422" w:right="1440" w:bottom="1440" w:gutter="0" w:footer="0" w:header="0"/>
        </w:sectPr>
      </w:pPr>
    </w:p>
    <w:bookmarkStart w:id="18" w:name="page19"/>
    <w:bookmarkEnd w:id="18"/>
    <w:tbl>
      <w:tblPr>
        <w:tblLayout w:type="fixed"/>
        <w:tblInd w:w="7440" w:type="dxa"/>
        <w:tblCellMar>
          <w:top w:w="0" w:type="dxa"/>
          <w:left w:w="0" w:type="dxa"/>
          <w:bottom w:w="0" w:type="dxa"/>
          <w:right w:w="0" w:type="dxa"/>
        </w:tblCellMar>
      </w:tblPr>
      <w:tr>
        <w:trPr>
          <w:trHeight w:val="186"/>
        </w:trPr>
        <w:tc>
          <w:tcPr>
            <w:tcW w:w="20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Six Months Ended</w:t>
            </w:r>
          </w:p>
        </w:tc>
      </w:tr>
      <w:tr>
        <w:trPr>
          <w:trHeight w:val="276"/>
        </w:trPr>
        <w:tc>
          <w:tcPr>
            <w:tcW w:w="660" w:type="dxa"/>
            <w:vAlign w:val="bottom"/>
          </w:tcPr>
          <w:p>
            <w:pPr>
              <w:spacing w:after="0"/>
              <w:rPr>
                <w:sz w:val="24"/>
                <w:szCs w:val="24"/>
                <w:color w:val="auto"/>
              </w:rPr>
            </w:pPr>
          </w:p>
        </w:tc>
        <w:tc>
          <w:tcPr>
            <w:tcW w:w="1400" w:type="dxa"/>
            <w:vAlign w:val="bottom"/>
            <w:gridSpan w:val="4"/>
          </w:tcPr>
          <w:p>
            <w:pPr>
              <w:ind w:left="60"/>
              <w:spacing w:after="0"/>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24"/>
                <w:szCs w:val="24"/>
                <w:color w:val="auto"/>
              </w:rPr>
            </w:pPr>
          </w:p>
        </w:tc>
        <w:tc>
          <w:tcPr>
            <w:tcW w:w="1260" w:type="dxa"/>
            <w:vAlign w:val="bottom"/>
          </w:tcPr>
          <w:p>
            <w:pPr>
              <w:jc w:val="center"/>
              <w:ind w:right="588"/>
              <w:spacing w:after="0"/>
              <w:rPr>
                <w:sz w:val="20"/>
                <w:szCs w:val="20"/>
                <w:color w:val="auto"/>
              </w:rPr>
            </w:pPr>
            <w:r>
              <w:rPr>
                <w:rFonts w:ascii="Arial" w:cs="Arial" w:eastAsia="Arial" w:hAnsi="Arial"/>
                <w:sz w:val="14"/>
                <w:szCs w:val="14"/>
                <w:b w:val="1"/>
                <w:bCs w:val="1"/>
                <w:color w:val="auto"/>
                <w:w w:val="92"/>
              </w:rPr>
              <w:t>June 30,</w:t>
            </w:r>
          </w:p>
        </w:tc>
      </w:tr>
      <w:tr>
        <w:trPr>
          <w:trHeight w:val="264"/>
        </w:trPr>
        <w:tc>
          <w:tcPr>
            <w:tcW w:w="6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26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Operational Statistics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Ratio of EBITDAre to combined fixed charges and preferred share dividends (7)</w:t>
            </w:r>
          </w:p>
        </w:tc>
        <w:tc>
          <w:tcPr>
            <w:tcW w:w="188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4.20x</w:t>
            </w:r>
          </w:p>
        </w:tc>
        <w:tc>
          <w:tcPr>
            <w:tcW w:w="1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4.44x</w:t>
            </w:r>
          </w:p>
        </w:tc>
        <w:tc>
          <w:tcPr>
            <w:tcW w:w="1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4.16x</w:t>
            </w:r>
          </w:p>
        </w:tc>
        <w:tc>
          <w:tcPr>
            <w:tcW w:w="7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6"/>
              </w:rPr>
              <w:t>4.46x</w:t>
            </w:r>
          </w:p>
        </w:tc>
      </w:tr>
      <w:tr>
        <w:trPr>
          <w:trHeight w:val="33"/>
        </w:trPr>
        <w:tc>
          <w:tcPr>
            <w:tcW w:w="678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right="100" w:hanging="652"/>
        <w:spacing w:after="0" w:line="273"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Mortgages payable does not include our share of the debt on our unconsolidated real estate partnerships. At June 30, 2018, our share was approximately $33.7 million. At June 30, 2018, our noncontrolling interests share of mortgages payable was $59.9 million.</w:t>
      </w:r>
    </w:p>
    <w:p>
      <w:pPr>
        <w:spacing w:after="0" w:line="11" w:lineRule="exact"/>
        <w:rPr>
          <w:rFonts w:ascii="Arial" w:cs="Arial" w:eastAsia="Arial" w:hAnsi="Arial"/>
          <w:sz w:val="14"/>
          <w:szCs w:val="14"/>
          <w:color w:val="auto"/>
        </w:rPr>
      </w:pPr>
    </w:p>
    <w:p>
      <w:pPr>
        <w:jc w:val="both"/>
        <w:ind w:left="660" w:right="200" w:hanging="652"/>
        <w:spacing w:after="0" w:line="257"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$275.0 million term loan is subject to a one year extension, at our option, which would extend the maturity date to November 21, 2019. We also entered into two interest rate swap agreements to fix the variable rate portion of our $275.0 million term loan at 1.72% through November 1, 2018. The swap agreements effectively fix the rate on the term loan at 2.62% and thus, the loan is included in fixed rate debt.</w:t>
      </w:r>
    </w:p>
    <w:p>
      <w:pPr>
        <w:spacing w:after="0" w:line="31" w:lineRule="exact"/>
        <w:rPr>
          <w:rFonts w:ascii="Arial" w:cs="Arial" w:eastAsia="Arial" w:hAnsi="Arial"/>
          <w:sz w:val="14"/>
          <w:szCs w:val="14"/>
          <w:color w:val="auto"/>
        </w:rPr>
      </w:pPr>
    </w:p>
    <w:p>
      <w:pPr>
        <w:ind w:left="660" w:right="580" w:hanging="652"/>
        <w:spacing w:after="0" w:line="335" w:lineRule="auto"/>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 xml:space="preserve">The maximum amount drawn under our revolving credit facility during the </w:t>
      </w:r>
      <w:r>
        <w:rPr>
          <w:rFonts w:ascii="Arial" w:cs="Arial" w:eastAsia="Arial" w:hAnsi="Arial"/>
          <w:sz w:val="14"/>
          <w:szCs w:val="14"/>
          <w:color w:val="auto"/>
        </w:rPr>
        <w:t>three</w:t>
      </w:r>
      <w:r>
        <w:rPr>
          <w:rFonts w:ascii="Arial" w:cs="Arial" w:eastAsia="Arial" w:hAnsi="Arial"/>
          <w:sz w:val="13"/>
          <w:szCs w:val="13"/>
          <w:color w:val="auto"/>
        </w:rPr>
        <w:t xml:space="preserve"> and six months ended June 30, 2018 was $177.0 million. The weighted average interest rate on borrowings under our revolving credit facility, before amortization of debt fees, for the </w:t>
      </w:r>
      <w:r>
        <w:rPr>
          <w:rFonts w:ascii="Arial" w:cs="Arial" w:eastAsia="Arial" w:hAnsi="Arial"/>
          <w:sz w:val="14"/>
          <w:szCs w:val="14"/>
          <w:color w:val="auto"/>
        </w:rPr>
        <w:t>three</w:t>
      </w:r>
      <w:r>
        <w:rPr>
          <w:rFonts w:ascii="Arial" w:cs="Arial" w:eastAsia="Arial" w:hAnsi="Arial"/>
          <w:sz w:val="13"/>
          <w:szCs w:val="13"/>
          <w:color w:val="auto"/>
        </w:rPr>
        <w:t xml:space="preserve"> and six months ended June 30, 2018 was 2.7% and 2.5%, respectively.</w:t>
      </w:r>
    </w:p>
    <w:p>
      <w:pPr>
        <w:ind w:left="660" w:hanging="652"/>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weighted average remaining term on our mortgages payable, notes payable, and senior notes and debentures, is 10 years.</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weighted average effective interest rate includes the amortization of any debt issuance costs and discounts and premiums, if applicable, except as described in Note 6.</w:t>
      </w:r>
    </w:p>
    <w:p>
      <w:pPr>
        <w:spacing w:after="0" w:line="55" w:lineRule="exact"/>
        <w:rPr>
          <w:rFonts w:ascii="Arial" w:cs="Arial" w:eastAsia="Arial" w:hAnsi="Arial"/>
          <w:sz w:val="14"/>
          <w:szCs w:val="14"/>
          <w:color w:val="auto"/>
        </w:rPr>
      </w:pPr>
    </w:p>
    <w:p>
      <w:pPr>
        <w:ind w:left="660" w:right="120" w:hanging="652"/>
        <w:spacing w:after="0" w:line="257"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$0.5 million in quarterly financing fees and quarterly debt fee amortization on our revolving credit facility which had $89.0 million outstanding on June 30, 2018. In addition, the weighted average effective interest rate is calculated using the fixed rate on our term loan of 2.62% as the result of the interest rate swap agreements discussed in Note 2. The term loan is included in fixed rate debt.</w:t>
      </w:r>
    </w:p>
    <w:p>
      <w:pPr>
        <w:spacing w:after="0" w:line="23" w:lineRule="exact"/>
        <w:rPr>
          <w:rFonts w:ascii="Arial" w:cs="Arial" w:eastAsia="Arial" w:hAnsi="Arial"/>
          <w:sz w:val="14"/>
          <w:szCs w:val="14"/>
          <w:color w:val="auto"/>
        </w:rPr>
      </w:pPr>
    </w:p>
    <w:p>
      <w:pPr>
        <w:ind w:left="660" w:right="40" w:hanging="652"/>
        <w:spacing w:after="0" w:line="273"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Fixed charges consist of interest on borrowed funds (including capitalized interest), amortization of debt discount/premium and debt costs, and the portion of rent expense representing an interest factor. EBITDAre is reconciled to net income in the Glossary of Terms.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6" w:right="239" w:bottom="1440" w:gutter="0" w:footer="0" w:header="0"/>
        </w:sectPr>
      </w:pPr>
    </w:p>
    <w:bookmarkStart w:id="19" w:name="page20"/>
    <w:bookmarkEnd w:id="1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2018</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Cumulative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center"/>
              <w:ind w:right="740"/>
              <w:spacing w:after="0"/>
              <w:rPr>
                <w:sz w:val="20"/>
                <w:szCs w:val="20"/>
                <w:color w:val="auto"/>
              </w:rPr>
            </w:pPr>
            <w:r>
              <w:rPr>
                <w:rFonts w:ascii="Arial" w:cs="Arial" w:eastAsia="Arial" w:hAnsi="Arial"/>
                <w:sz w:val="16"/>
                <w:szCs w:val="16"/>
                <w:b w:val="1"/>
                <w:bCs w:val="1"/>
                <w:color w:val="auto"/>
                <w:w w:val="88"/>
              </w:rPr>
              <w:t>Scheduled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Percent of Debt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Percent of Debt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Average Rate</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w:t>
            </w:r>
          </w:p>
        </w:tc>
        <w:tc>
          <w:tcPr>
            <w:tcW w:w="180" w:type="dxa"/>
            <w:vAlign w:val="bottom"/>
          </w:tcPr>
          <w:p>
            <w:pPr>
              <w:spacing w:after="0"/>
              <w:rPr>
                <w:sz w:val="18"/>
                <w:szCs w:val="18"/>
                <w:color w:val="auto"/>
              </w:rPr>
            </w:pPr>
          </w:p>
        </w:tc>
        <w:tc>
          <w:tcPr>
            <w:tcW w:w="1740" w:type="dxa"/>
            <w:vAlign w:val="bottom"/>
            <w:gridSpan w:val="2"/>
          </w:tcPr>
          <w:p>
            <w:pPr>
              <w:jc w:val="center"/>
              <w:ind w:right="740"/>
              <w:spacing w:after="0"/>
              <w:rPr>
                <w:sz w:val="20"/>
                <w:szCs w:val="20"/>
                <w:color w:val="auto"/>
              </w:rPr>
            </w:pPr>
            <w:r>
              <w:rPr>
                <w:rFonts w:ascii="Arial" w:cs="Arial" w:eastAsia="Arial" w:hAnsi="Arial"/>
                <w:sz w:val="16"/>
                <w:szCs w:val="16"/>
                <w:b w:val="1"/>
                <w:bCs w:val="1"/>
                <w:color w:val="auto"/>
                <w:w w:val="94"/>
              </w:rPr>
              <w:t>Amortization</w:t>
            </w:r>
          </w:p>
        </w:tc>
        <w:tc>
          <w:tcPr>
            <w:tcW w:w="180" w:type="dxa"/>
            <w:vAlign w:val="bottom"/>
          </w:tcPr>
          <w:p>
            <w:pPr>
              <w:spacing w:after="0"/>
              <w:rPr>
                <w:sz w:val="18"/>
                <w:szCs w:val="18"/>
                <w:color w:val="auto"/>
              </w:rPr>
            </w:pPr>
          </w:p>
        </w:tc>
        <w:tc>
          <w:tcPr>
            <w:tcW w:w="1160" w:type="dxa"/>
            <w:vAlign w:val="bottom"/>
          </w:tcPr>
          <w:p>
            <w:pPr>
              <w:jc w:val="right"/>
              <w:ind w:right="212"/>
              <w:spacing w:after="0"/>
              <w:rPr>
                <w:sz w:val="20"/>
                <w:szCs w:val="20"/>
                <w:color w:val="auto"/>
              </w:rPr>
            </w:pPr>
            <w:r>
              <w:rPr>
                <w:rFonts w:ascii="Arial" w:cs="Arial" w:eastAsia="Arial" w:hAnsi="Arial"/>
                <w:sz w:val="16"/>
                <w:szCs w:val="16"/>
                <w:b w:val="1"/>
                <w:bCs w:val="1"/>
                <w:color w:val="auto"/>
              </w:rPr>
              <w:t>Maturities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6"/>
                <w:szCs w:val="16"/>
                <w:b w:val="1"/>
                <w:bCs w:val="1"/>
                <w:color w:val="auto"/>
              </w:rPr>
              <w:t>Total</w:t>
            </w:r>
          </w:p>
        </w:tc>
        <w:tc>
          <w:tcPr>
            <w:tcW w:w="1320" w:type="dxa"/>
            <w:vAlign w:val="bottom"/>
          </w:tcPr>
          <w:p>
            <w:pPr>
              <w:jc w:val="right"/>
              <w:ind w:right="231"/>
              <w:spacing w:after="0"/>
              <w:rPr>
                <w:sz w:val="20"/>
                <w:szCs w:val="20"/>
                <w:color w:val="auto"/>
              </w:rPr>
            </w:pPr>
            <w:r>
              <w:rPr>
                <w:rFonts w:ascii="Arial" w:cs="Arial" w:eastAsia="Arial" w:hAnsi="Arial"/>
                <w:sz w:val="16"/>
                <w:szCs w:val="16"/>
                <w:b w:val="1"/>
                <w:bCs w:val="1"/>
                <w:color w:val="auto"/>
              </w:rPr>
              <w:t>Maturing</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Maturing</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2018</w:t>
            </w:r>
          </w:p>
        </w:tc>
        <w:tc>
          <w:tcPr>
            <w:tcW w:w="9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3,239</w:t>
            </w:r>
          </w:p>
        </w:tc>
        <w:tc>
          <w:tcPr>
            <w:tcW w:w="56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275,000</w:t>
            </w:r>
          </w:p>
        </w:tc>
        <w:tc>
          <w:tcPr>
            <w:tcW w:w="5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278,239</w:t>
            </w: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2019</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6,265</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20,160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26,425</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0.8%</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9.2%</w:t>
            </w: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2020</w:t>
            </w:r>
          </w:p>
        </w:tc>
        <w:tc>
          <w:tcPr>
            <w:tcW w:w="9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5,616</w:t>
            </w:r>
          </w:p>
        </w:tc>
        <w:tc>
          <w:tcPr>
            <w:tcW w:w="5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149,593</w:t>
            </w:r>
          </w:p>
        </w:tc>
        <w:tc>
          <w:tcPr>
            <w:tcW w:w="5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(2)</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155,209</w:t>
            </w:r>
          </w:p>
        </w:tc>
        <w:tc>
          <w:tcPr>
            <w:tcW w:w="3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2021</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3,740</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277,546</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281,286</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22.3%</w:t>
            </w: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2022</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1,522</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366,323</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367,845</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33.3%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2023</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1,550</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330,010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331,560</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43.2%</w:t>
            </w: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2024</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1,333</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300,000</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301,333</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52.2%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2025</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904</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40,000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40,904</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53.4%</w:t>
            </w: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2026</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688</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39,886</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40,574</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54.6%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2027</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573</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683,600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684,173</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20.5%</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75.1%</w:t>
            </w: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18,552</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811,500</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830,052</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43,982</w:t>
            </w:r>
          </w:p>
        </w:tc>
        <w:tc>
          <w:tcPr>
            <w:tcW w:w="5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3,293,618</w:t>
            </w:r>
          </w:p>
        </w:tc>
        <w:tc>
          <w:tcPr>
            <w:tcW w:w="56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40"/>
              <w:spacing w:after="0" w:line="263" w:lineRule="exact"/>
              <w:rPr>
                <w:sz w:val="20"/>
                <w:szCs w:val="20"/>
                <w:color w:val="auto"/>
              </w:rPr>
            </w:pPr>
            <w:r>
              <w:rPr>
                <w:rFonts w:ascii="Arial" w:cs="Arial" w:eastAsia="Arial" w:hAnsi="Arial"/>
                <w:sz w:val="18"/>
                <w:szCs w:val="18"/>
                <w:color w:val="auto"/>
              </w:rPr>
              <w:t xml:space="preserve">3,337,600  </w:t>
            </w:r>
            <w:r>
              <w:rPr>
                <w:rFonts w:ascii="Arial" w:cs="Arial" w:eastAsia="Arial" w:hAnsi="Arial"/>
                <w:sz w:val="28"/>
                <w:szCs w:val="28"/>
                <w:color w:val="auto"/>
                <w:vertAlign w:val="subscript"/>
              </w:rPr>
              <w:t>(3)</w:t>
            </w:r>
          </w:p>
        </w:tc>
        <w:tc>
          <w:tcPr>
            <w:tcW w:w="1320" w:type="dxa"/>
            <w:vAlign w:val="bottom"/>
          </w:tcPr>
          <w:p>
            <w:pPr>
              <w:jc w:val="right"/>
              <w:spacing w:after="0"/>
              <w:rPr>
                <w:sz w:val="20"/>
                <w:szCs w:val="20"/>
                <w:color w:val="auto"/>
              </w:rPr>
            </w:pPr>
            <w:r>
              <w:rPr>
                <w:rFonts w:ascii="Arial" w:cs="Arial" w:eastAsia="Arial" w:hAnsi="Arial"/>
                <w:sz w:val="18"/>
                <w:szCs w:val="18"/>
                <w:color w:val="auto"/>
              </w:rPr>
              <w:t>100.0%</w:t>
            </w: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183" w:lineRule="exact"/>
              <w:rPr>
                <w:sz w:val="20"/>
                <w:szCs w:val="20"/>
                <w:color w:val="auto"/>
              </w:rPr>
            </w:pPr>
            <w:r>
              <w:rPr>
                <w:rFonts w:ascii="Arial" w:cs="Arial" w:eastAsia="Arial" w:hAnsi="Arial"/>
                <w:sz w:val="16"/>
                <w:szCs w:val="16"/>
                <w:color w:val="auto"/>
                <w:w w:val="90"/>
              </w:rPr>
              <w:t>Notes:</w:t>
            </w:r>
          </w:p>
        </w:tc>
        <w:tc>
          <w:tcPr>
            <w:tcW w:w="98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0" w:type="dxa"/>
            <w:vAlign w:val="bottom"/>
            <w:tcBorders>
              <w:bottom w:val="single" w:sz="8" w:color="auto"/>
            </w:tcBorders>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$275.0 million unsecured term loan matures on November 21, 2018, subject to a one-year extension at our option.</w:t>
      </w:r>
    </w:p>
    <w:p>
      <w:pPr>
        <w:spacing w:after="0" w:line="59" w:lineRule="exact"/>
        <w:rPr>
          <w:rFonts w:ascii="Arial" w:cs="Arial" w:eastAsia="Arial" w:hAnsi="Arial"/>
          <w:sz w:val="16"/>
          <w:szCs w:val="16"/>
          <w:color w:val="auto"/>
        </w:rPr>
      </w:pPr>
    </w:p>
    <w:p>
      <w:pPr>
        <w:ind w:left="660" w:right="440" w:hanging="652"/>
        <w:spacing w:after="0" w:line="275"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$800.0 million revolving credit facility matures on April 20, 2020, subject to two six-month extensions at our option. As of June 30, 2018, there was $89.0 million outstanding under this credit facility.</w:t>
      </w:r>
    </w:p>
    <w:p>
      <w:pPr>
        <w:spacing w:after="0" w:line="10" w:lineRule="exact"/>
        <w:rPr>
          <w:rFonts w:ascii="Arial" w:cs="Arial" w:eastAsia="Arial" w:hAnsi="Arial"/>
          <w:sz w:val="16"/>
          <w:szCs w:val="16"/>
          <w:color w:val="auto"/>
        </w:rPr>
      </w:pPr>
    </w:p>
    <w:p>
      <w:pPr>
        <w:ind w:left="660" w:right="320" w:hanging="652"/>
        <w:spacing w:after="0" w:line="275"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total debt maturities differ from the total reported on the consolidated balance sheet due to the unamortized net premium/discount and debt issuance costs on certain mortgage loans, notes payable, and senior notes as of June 30, 2018.</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weighted average rate excludes $0.5 million in quarterly financing fees and quarterly debt fee amortization on our revolving credit facility.</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2" w:right="239" w:bottom="1440" w:gutter="0" w:footer="0" w:header="0"/>
        </w:sectPr>
      </w:pPr>
    </w:p>
    <w:bookmarkStart w:id="20" w:name="page21"/>
    <w:bookmarkEnd w:id="20"/>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Redevelopment Opportunities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2018</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The following redevelopment opportunities have received or will shortly receive all necessary approvals to proceed and are actively being worked on by the Trust.</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8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Projected</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Projected</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Cost to</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9"/>
        </w:trPr>
        <w:tc>
          <w:tcPr>
            <w:tcW w:w="152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Property</w:t>
            </w:r>
          </w:p>
        </w:tc>
        <w:tc>
          <w:tcPr>
            <w:tcW w:w="144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Location</w:t>
            </w:r>
          </w:p>
        </w:tc>
        <w:tc>
          <w:tcPr>
            <w:tcW w:w="492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Opportunity</w:t>
            </w:r>
          </w:p>
        </w:tc>
        <w:tc>
          <w:tcPr>
            <w:tcW w:w="86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Stabilization</w:t>
            </w:r>
          </w:p>
        </w:tc>
        <w:tc>
          <w:tcPr>
            <w:tcW w:w="0" w:type="dxa"/>
            <w:vAlign w:val="bottom"/>
          </w:tcPr>
          <w:p>
            <w:pPr>
              <w:spacing w:after="0"/>
              <w:rPr>
                <w:sz w:val="1"/>
                <w:szCs w:val="1"/>
                <w:color w:val="auto"/>
              </w:rPr>
            </w:pPr>
          </w:p>
        </w:tc>
      </w:tr>
      <w:tr>
        <w:trPr>
          <w:trHeight w:val="192"/>
        </w:trPr>
        <w:tc>
          <w:tcPr>
            <w:tcW w:w="152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49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ROI (2)</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Cost (1)</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78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Cocowalk</w:t>
            </w:r>
          </w:p>
        </w:tc>
        <w:tc>
          <w:tcPr>
            <w:tcW w:w="144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Coconut Grove, FL</w:t>
            </w:r>
          </w:p>
        </w:tc>
        <w:tc>
          <w:tcPr>
            <w:tcW w:w="492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w w:val="95"/>
              </w:rPr>
              <w:t>Shopping center redevelopment to include demolition of three story east wing of</w:t>
            </w:r>
          </w:p>
        </w:tc>
        <w:tc>
          <w:tcPr>
            <w:tcW w:w="860" w:type="dxa"/>
            <w:vAlign w:val="bottom"/>
            <w:shd w:val="clear" w:color="auto" w:fill="CCEEFF"/>
          </w:tcPr>
          <w:p>
            <w:pPr>
              <w:jc w:val="right"/>
              <w:ind w:right="108"/>
              <w:spacing w:after="0" w:line="157" w:lineRule="exact"/>
              <w:rPr>
                <w:sz w:val="20"/>
                <w:szCs w:val="20"/>
                <w:color w:val="auto"/>
              </w:rPr>
            </w:pPr>
            <w:r>
              <w:rPr>
                <w:rFonts w:ascii="Arial" w:cs="Arial" w:eastAsia="Arial" w:hAnsi="Arial"/>
                <w:sz w:val="14"/>
                <w:szCs w:val="14"/>
                <w:color w:val="auto"/>
              </w:rPr>
              <w:t>6%-7%</w:t>
            </w:r>
          </w:p>
        </w:tc>
        <w:tc>
          <w:tcPr>
            <w:tcW w:w="8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$73 - $77</w:t>
            </w: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$15</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6"/>
              </w:rPr>
              <w:t>2020</w:t>
            </w:r>
          </w:p>
        </w:tc>
        <w:tc>
          <w:tcPr>
            <w:tcW w:w="0" w:type="dxa"/>
            <w:vAlign w:val="bottom"/>
          </w:tcPr>
          <w:p>
            <w:pPr>
              <w:spacing w:after="0"/>
              <w:rPr>
                <w:sz w:val="1"/>
                <w:szCs w:val="1"/>
                <w:color w:val="auto"/>
              </w:rPr>
            </w:pPr>
          </w:p>
        </w:tc>
      </w:tr>
      <w:tr>
        <w:trPr>
          <w:trHeight w:val="149"/>
        </w:trPr>
        <w:tc>
          <w:tcPr>
            <w:tcW w:w="15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9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5"/>
              </w:rPr>
              <w:t>the property and construction of a 77,000 square foot 5-story office building with</w:t>
            </w:r>
          </w:p>
        </w:tc>
        <w:tc>
          <w:tcPr>
            <w:tcW w:w="8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an additional 13,000 square feet of ground floor retail</w:t>
            </w:r>
          </w:p>
        </w:tc>
        <w:tc>
          <w:tcPr>
            <w:tcW w:w="8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20" w:type="dxa"/>
            <w:vAlign w:val="bottom"/>
          </w:tcPr>
          <w:p>
            <w:pPr>
              <w:ind w:left="40"/>
              <w:spacing w:after="0" w:line="157" w:lineRule="exact"/>
              <w:rPr>
                <w:sz w:val="20"/>
                <w:szCs w:val="20"/>
                <w:color w:val="auto"/>
              </w:rPr>
            </w:pPr>
            <w:r>
              <w:rPr>
                <w:rFonts w:ascii="Arial" w:cs="Arial" w:eastAsia="Arial" w:hAnsi="Arial"/>
                <w:sz w:val="14"/>
                <w:szCs w:val="14"/>
                <w:color w:val="auto"/>
                <w:w w:val="97"/>
              </w:rPr>
              <w:t>Jordan Downs Plaza (5)</w:t>
            </w:r>
          </w:p>
        </w:tc>
        <w:tc>
          <w:tcPr>
            <w:tcW w:w="1440" w:type="dxa"/>
            <w:vAlign w:val="bottom"/>
          </w:tcPr>
          <w:p>
            <w:pPr>
              <w:ind w:left="120"/>
              <w:spacing w:after="0" w:line="157" w:lineRule="exact"/>
              <w:rPr>
                <w:sz w:val="20"/>
                <w:szCs w:val="20"/>
                <w:color w:val="auto"/>
              </w:rPr>
            </w:pPr>
            <w:r>
              <w:rPr>
                <w:rFonts w:ascii="Arial" w:cs="Arial" w:eastAsia="Arial" w:hAnsi="Arial"/>
                <w:sz w:val="14"/>
                <w:szCs w:val="14"/>
                <w:color w:val="auto"/>
              </w:rPr>
              <w:t>Los Angeles, CA</w:t>
            </w:r>
          </w:p>
        </w:tc>
        <w:tc>
          <w:tcPr>
            <w:tcW w:w="4920" w:type="dxa"/>
            <w:vAlign w:val="bottom"/>
          </w:tcPr>
          <w:p>
            <w:pPr>
              <w:ind w:left="160"/>
              <w:spacing w:after="0" w:line="157" w:lineRule="exact"/>
              <w:rPr>
                <w:sz w:val="20"/>
                <w:szCs w:val="20"/>
                <w:color w:val="auto"/>
              </w:rPr>
            </w:pPr>
            <w:r>
              <w:rPr>
                <w:rFonts w:ascii="Arial" w:cs="Arial" w:eastAsia="Arial" w:hAnsi="Arial"/>
                <w:sz w:val="14"/>
                <w:szCs w:val="14"/>
                <w:color w:val="auto"/>
              </w:rPr>
              <w:t>Development of a new 113,000 square foot single-story grocery anchored</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7%</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$38 - $42</w:t>
            </w: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$3</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2020</w:t>
            </w: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20" w:type="dxa"/>
            <w:vAlign w:val="bottom"/>
          </w:tcPr>
          <w:p>
            <w:pPr>
              <w:ind w:left="160"/>
              <w:spacing w:after="0"/>
              <w:rPr>
                <w:sz w:val="20"/>
                <w:szCs w:val="20"/>
                <w:color w:val="auto"/>
              </w:rPr>
            </w:pPr>
            <w:r>
              <w:rPr>
                <w:rFonts w:ascii="Arial" w:cs="Arial" w:eastAsia="Arial" w:hAnsi="Arial"/>
                <w:sz w:val="14"/>
                <w:szCs w:val="14"/>
                <w:color w:val="auto"/>
              </w:rPr>
              <w:t>neighborhood shopping center</w:t>
            </w: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Brick Plaza</w:t>
            </w:r>
          </w:p>
        </w:tc>
        <w:tc>
          <w:tcPr>
            <w:tcW w:w="1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Brick, NJ</w:t>
            </w: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9"/>
              </w:rPr>
              <w:t>Redevelopment and repositioning of anchor tenant and small shop spaces to</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2020</w:t>
            </w:r>
          </w:p>
        </w:tc>
        <w:tc>
          <w:tcPr>
            <w:tcW w:w="0" w:type="dxa"/>
            <w:vAlign w:val="bottom"/>
          </w:tcPr>
          <w:p>
            <w:pPr>
              <w:spacing w:after="0"/>
              <w:rPr>
                <w:sz w:val="1"/>
                <w:szCs w:val="1"/>
                <w:color w:val="auto"/>
              </w:rPr>
            </w:pPr>
          </w:p>
        </w:tc>
      </w:tr>
      <w:tr>
        <w:trPr>
          <w:trHeight w:val="194"/>
        </w:trPr>
        <w:tc>
          <w:tcPr>
            <w:tcW w:w="15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transform property into a market dominant center</w:t>
            </w:r>
          </w:p>
        </w:tc>
        <w:tc>
          <w:tcPr>
            <w:tcW w:w="8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520" w:type="dxa"/>
            <w:vAlign w:val="bottom"/>
          </w:tcPr>
          <w:p>
            <w:pPr>
              <w:ind w:left="40"/>
              <w:spacing w:after="0"/>
              <w:rPr>
                <w:sz w:val="20"/>
                <w:szCs w:val="20"/>
                <w:color w:val="auto"/>
              </w:rPr>
            </w:pPr>
            <w:r>
              <w:rPr>
                <w:rFonts w:ascii="Arial" w:cs="Arial" w:eastAsia="Arial" w:hAnsi="Arial"/>
                <w:sz w:val="14"/>
                <w:szCs w:val="14"/>
                <w:color w:val="auto"/>
              </w:rPr>
              <w:t>Towson Residential</w:t>
            </w:r>
          </w:p>
        </w:tc>
        <w:tc>
          <w:tcPr>
            <w:tcW w:w="1440" w:type="dxa"/>
            <w:vAlign w:val="bottom"/>
          </w:tcPr>
          <w:p>
            <w:pPr>
              <w:ind w:left="120"/>
              <w:spacing w:after="0"/>
              <w:rPr>
                <w:sz w:val="20"/>
                <w:szCs w:val="20"/>
                <w:color w:val="auto"/>
              </w:rPr>
            </w:pPr>
            <w:r>
              <w:rPr>
                <w:rFonts w:ascii="Arial" w:cs="Arial" w:eastAsia="Arial" w:hAnsi="Arial"/>
                <w:sz w:val="14"/>
                <w:szCs w:val="14"/>
                <w:color w:val="auto"/>
              </w:rPr>
              <w:t>Towson, MD</w:t>
            </w:r>
          </w:p>
        </w:tc>
        <w:tc>
          <w:tcPr>
            <w:tcW w:w="4920" w:type="dxa"/>
            <w:vAlign w:val="bottom"/>
          </w:tcPr>
          <w:p>
            <w:pPr>
              <w:ind w:left="160"/>
              <w:spacing w:after="0"/>
              <w:rPr>
                <w:sz w:val="20"/>
                <w:szCs w:val="20"/>
                <w:color w:val="auto"/>
              </w:rPr>
            </w:pPr>
            <w:r>
              <w:rPr>
                <w:rFonts w:ascii="Arial" w:cs="Arial" w:eastAsia="Arial" w:hAnsi="Arial"/>
                <w:sz w:val="14"/>
                <w:szCs w:val="14"/>
                <w:color w:val="auto"/>
              </w:rPr>
              <w:t>New 105 unit 5-story apartment building with above grade parking</w:t>
            </w:r>
          </w:p>
        </w:tc>
        <w:tc>
          <w:tcPr>
            <w:tcW w:w="860" w:type="dxa"/>
            <w:vAlign w:val="bottom"/>
          </w:tcPr>
          <w:p>
            <w:pPr>
              <w:jc w:val="right"/>
              <w:spacing w:after="0"/>
              <w:rPr>
                <w:sz w:val="20"/>
                <w:szCs w:val="20"/>
                <w:color w:val="auto"/>
              </w:rPr>
            </w:pPr>
            <w:r>
              <w:rPr>
                <w:rFonts w:ascii="Arial" w:cs="Arial" w:eastAsia="Arial" w:hAnsi="Arial"/>
                <w:sz w:val="14"/>
                <w:szCs w:val="14"/>
                <w:color w:val="auto"/>
              </w:rPr>
              <w:t>7%</w:t>
            </w:r>
          </w:p>
        </w:tc>
        <w:tc>
          <w:tcPr>
            <w:tcW w:w="880" w:type="dxa"/>
            <w:vAlign w:val="bottom"/>
          </w:tcPr>
          <w:p>
            <w:pPr>
              <w:jc w:val="right"/>
              <w:spacing w:after="0"/>
              <w:rPr>
                <w:sz w:val="20"/>
                <w:szCs w:val="20"/>
                <w:color w:val="auto"/>
              </w:rPr>
            </w:pPr>
            <w:r>
              <w:rPr>
                <w:rFonts w:ascii="Arial" w:cs="Arial" w:eastAsia="Arial" w:hAnsi="Arial"/>
                <w:sz w:val="14"/>
                <w:szCs w:val="14"/>
                <w:color w:val="auto"/>
              </w:rPr>
              <w:t>$20</w:t>
            </w:r>
          </w:p>
        </w:tc>
        <w:tc>
          <w:tcPr>
            <w:tcW w:w="780" w:type="dxa"/>
            <w:vAlign w:val="bottom"/>
          </w:tcPr>
          <w:p>
            <w:pPr>
              <w:jc w:val="right"/>
              <w:spacing w:after="0"/>
              <w:rPr>
                <w:sz w:val="20"/>
                <w:szCs w:val="20"/>
                <w:color w:val="auto"/>
              </w:rPr>
            </w:pPr>
            <w:r>
              <w:rPr>
                <w:rFonts w:ascii="Arial" w:cs="Arial" w:eastAsia="Arial" w:hAnsi="Arial"/>
                <w:sz w:val="14"/>
                <w:szCs w:val="14"/>
                <w:color w:val="auto"/>
              </w:rPr>
              <w:t>$20</w:t>
            </w: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63"/>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Willow Lawn</w:t>
            </w:r>
          </w:p>
        </w:tc>
        <w:tc>
          <w:tcPr>
            <w:tcW w:w="1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Richmond, VA</w:t>
            </w: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4"/>
              </w:rPr>
              <w:t>Demolition of small shop and mini anchor spaces to construct new 49,000 square</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49"/>
        </w:trPr>
        <w:tc>
          <w:tcPr>
            <w:tcW w:w="15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9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5"/>
              </w:rPr>
              <w:t>foot anchor space to accommodate new sporting goods retailer and new 17,000</w:t>
            </w:r>
          </w:p>
        </w:tc>
        <w:tc>
          <w:tcPr>
            <w:tcW w:w="8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square foot building for relocation of existing tenant</w:t>
            </w:r>
          </w:p>
        </w:tc>
        <w:tc>
          <w:tcPr>
            <w:tcW w:w="8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20" w:type="dxa"/>
            <w:vAlign w:val="bottom"/>
          </w:tcPr>
          <w:p>
            <w:pPr>
              <w:ind w:left="40"/>
              <w:spacing w:after="0" w:line="157" w:lineRule="exact"/>
              <w:rPr>
                <w:sz w:val="20"/>
                <w:szCs w:val="20"/>
                <w:color w:val="auto"/>
              </w:rPr>
            </w:pPr>
            <w:r>
              <w:rPr>
                <w:rFonts w:ascii="Arial" w:cs="Arial" w:eastAsia="Arial" w:hAnsi="Arial"/>
                <w:sz w:val="14"/>
                <w:szCs w:val="14"/>
                <w:color w:val="auto"/>
              </w:rPr>
              <w:t>Del Mar Village</w:t>
            </w:r>
          </w:p>
        </w:tc>
        <w:tc>
          <w:tcPr>
            <w:tcW w:w="1440" w:type="dxa"/>
            <w:vAlign w:val="bottom"/>
          </w:tcPr>
          <w:p>
            <w:pPr>
              <w:ind w:left="120"/>
              <w:spacing w:after="0" w:line="157" w:lineRule="exact"/>
              <w:rPr>
                <w:sz w:val="20"/>
                <w:szCs w:val="20"/>
                <w:color w:val="auto"/>
              </w:rPr>
            </w:pPr>
            <w:r>
              <w:rPr>
                <w:rFonts w:ascii="Arial" w:cs="Arial" w:eastAsia="Arial" w:hAnsi="Arial"/>
                <w:sz w:val="14"/>
                <w:szCs w:val="14"/>
                <w:color w:val="auto"/>
              </w:rPr>
              <w:t>Boca Raton, FL</w:t>
            </w:r>
          </w:p>
        </w:tc>
        <w:tc>
          <w:tcPr>
            <w:tcW w:w="4920" w:type="dxa"/>
            <w:vAlign w:val="bottom"/>
          </w:tcPr>
          <w:p>
            <w:pPr>
              <w:ind w:left="160"/>
              <w:spacing w:after="0" w:line="157" w:lineRule="exact"/>
              <w:rPr>
                <w:sz w:val="20"/>
                <w:szCs w:val="20"/>
                <w:color w:val="auto"/>
              </w:rPr>
            </w:pPr>
            <w:r>
              <w:rPr>
                <w:rFonts w:ascii="Arial" w:cs="Arial" w:eastAsia="Arial" w:hAnsi="Arial"/>
                <w:sz w:val="14"/>
                <w:szCs w:val="14"/>
                <w:color w:val="auto"/>
                <w:w w:val="95"/>
              </w:rPr>
              <w:t>Demolition of small shop spaces and relocation of tenants to accommodate new</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7%</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$11</w:t>
            </w: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$10</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20" w:type="dxa"/>
            <w:vAlign w:val="bottom"/>
          </w:tcPr>
          <w:p>
            <w:pPr>
              <w:ind w:left="160"/>
              <w:spacing w:after="0"/>
              <w:rPr>
                <w:sz w:val="20"/>
                <w:szCs w:val="20"/>
                <w:color w:val="auto"/>
              </w:rPr>
            </w:pPr>
            <w:r>
              <w:rPr>
                <w:rFonts w:ascii="Arial" w:cs="Arial" w:eastAsia="Arial" w:hAnsi="Arial"/>
                <w:sz w:val="14"/>
                <w:szCs w:val="14"/>
                <w:color w:val="auto"/>
              </w:rPr>
              <w:t>37,000 square foot fitness center tenant</w:t>
            </w: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Montrose Crossing</w:t>
            </w:r>
          </w:p>
        </w:tc>
        <w:tc>
          <w:tcPr>
            <w:tcW w:w="1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Rockville, MD</w:t>
            </w: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Demolition of 10,000 square foot restaurant building to construct an 18,000</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2019</w:t>
            </w:r>
          </w:p>
        </w:tc>
        <w:tc>
          <w:tcPr>
            <w:tcW w:w="0" w:type="dxa"/>
            <w:vAlign w:val="bottom"/>
          </w:tcPr>
          <w:p>
            <w:pPr>
              <w:spacing w:after="0"/>
              <w:rPr>
                <w:sz w:val="1"/>
                <w:szCs w:val="1"/>
                <w:color w:val="auto"/>
              </w:rPr>
            </w:pPr>
          </w:p>
        </w:tc>
      </w:tr>
      <w:tr>
        <w:trPr>
          <w:trHeight w:val="194"/>
        </w:trPr>
        <w:tc>
          <w:tcPr>
            <w:tcW w:w="15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square foot multi-tenant pad building</w:t>
            </w:r>
          </w:p>
        </w:tc>
        <w:tc>
          <w:tcPr>
            <w:tcW w:w="8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520" w:type="dxa"/>
            <w:vAlign w:val="bottom"/>
          </w:tcPr>
          <w:p>
            <w:pPr>
              <w:ind w:left="40"/>
              <w:spacing w:after="0"/>
              <w:rPr>
                <w:sz w:val="20"/>
                <w:szCs w:val="20"/>
                <w:color w:val="auto"/>
              </w:rPr>
            </w:pPr>
            <w:r>
              <w:rPr>
                <w:rFonts w:ascii="Arial" w:cs="Arial" w:eastAsia="Arial" w:hAnsi="Arial"/>
                <w:sz w:val="14"/>
                <w:szCs w:val="14"/>
                <w:color w:val="auto"/>
              </w:rPr>
              <w:t>Pike 7 Plaza</w:t>
            </w:r>
          </w:p>
        </w:tc>
        <w:tc>
          <w:tcPr>
            <w:tcW w:w="1440" w:type="dxa"/>
            <w:vAlign w:val="bottom"/>
          </w:tcPr>
          <w:p>
            <w:pPr>
              <w:ind w:left="120"/>
              <w:spacing w:after="0"/>
              <w:rPr>
                <w:sz w:val="20"/>
                <w:szCs w:val="20"/>
                <w:color w:val="auto"/>
              </w:rPr>
            </w:pPr>
            <w:r>
              <w:rPr>
                <w:rFonts w:ascii="Arial" w:cs="Arial" w:eastAsia="Arial" w:hAnsi="Arial"/>
                <w:sz w:val="14"/>
                <w:szCs w:val="14"/>
                <w:color w:val="auto"/>
              </w:rPr>
              <w:t>Vienna, VA</w:t>
            </w:r>
          </w:p>
        </w:tc>
        <w:tc>
          <w:tcPr>
            <w:tcW w:w="4920" w:type="dxa"/>
            <w:vAlign w:val="bottom"/>
          </w:tcPr>
          <w:p>
            <w:pPr>
              <w:ind w:left="160"/>
              <w:spacing w:after="0"/>
              <w:rPr>
                <w:sz w:val="20"/>
                <w:szCs w:val="20"/>
                <w:color w:val="auto"/>
              </w:rPr>
            </w:pPr>
            <w:r>
              <w:rPr>
                <w:rFonts w:ascii="Arial" w:cs="Arial" w:eastAsia="Arial" w:hAnsi="Arial"/>
                <w:sz w:val="14"/>
                <w:szCs w:val="14"/>
                <w:color w:val="auto"/>
              </w:rPr>
              <w:t>Addition of 8,300 square foot multi-tenant retail pad building</w:t>
            </w:r>
          </w:p>
        </w:tc>
        <w:tc>
          <w:tcPr>
            <w:tcW w:w="860" w:type="dxa"/>
            <w:vAlign w:val="bottom"/>
          </w:tcPr>
          <w:p>
            <w:pPr>
              <w:jc w:val="right"/>
              <w:spacing w:after="0"/>
              <w:rPr>
                <w:sz w:val="20"/>
                <w:szCs w:val="20"/>
                <w:color w:val="auto"/>
              </w:rPr>
            </w:pPr>
            <w:r>
              <w:rPr>
                <w:rFonts w:ascii="Arial" w:cs="Arial" w:eastAsia="Arial" w:hAnsi="Arial"/>
                <w:sz w:val="14"/>
                <w:szCs w:val="14"/>
                <w:color w:val="auto"/>
              </w:rPr>
              <w:t>7%</w:t>
            </w: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c>
          <w:tcPr>
            <w:tcW w:w="780" w:type="dxa"/>
            <w:vAlign w:val="bottom"/>
          </w:tcPr>
          <w:p>
            <w:pPr>
              <w:jc w:val="right"/>
              <w:spacing w:after="0"/>
              <w:rPr>
                <w:sz w:val="20"/>
                <w:szCs w:val="20"/>
                <w:color w:val="auto"/>
              </w:rPr>
            </w:pPr>
            <w:r>
              <w:rPr>
                <w:rFonts w:ascii="Arial" w:cs="Arial" w:eastAsia="Arial" w:hAnsi="Arial"/>
                <w:sz w:val="14"/>
                <w:szCs w:val="14"/>
                <w:color w:val="auto"/>
              </w:rPr>
              <w:t>$8</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2019</w:t>
            </w:r>
          </w:p>
        </w:tc>
        <w:tc>
          <w:tcPr>
            <w:tcW w:w="0" w:type="dxa"/>
            <w:vAlign w:val="bottom"/>
          </w:tcPr>
          <w:p>
            <w:pPr>
              <w:spacing w:after="0"/>
              <w:rPr>
                <w:sz w:val="1"/>
                <w:szCs w:val="1"/>
                <w:color w:val="auto"/>
              </w:rPr>
            </w:pPr>
          </w:p>
        </w:tc>
      </w:tr>
      <w:tr>
        <w:trPr>
          <w:trHeight w:val="163"/>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Mercer Mall</w:t>
            </w:r>
          </w:p>
        </w:tc>
        <w:tc>
          <w:tcPr>
            <w:tcW w:w="1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Lawrenceville, NJ</w:t>
            </w: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5"/>
              </w:rPr>
              <w:t>Redevelopment of recently acquired office building pre-leased to a single tenant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194"/>
        </w:trPr>
        <w:tc>
          <w:tcPr>
            <w:tcW w:w="15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user</w:t>
            </w:r>
          </w:p>
        </w:tc>
        <w:tc>
          <w:tcPr>
            <w:tcW w:w="8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520" w:type="dxa"/>
            <w:vAlign w:val="bottom"/>
          </w:tcPr>
          <w:p>
            <w:pPr>
              <w:ind w:left="40"/>
              <w:spacing w:after="0"/>
              <w:rPr>
                <w:sz w:val="20"/>
                <w:szCs w:val="20"/>
                <w:color w:val="auto"/>
              </w:rPr>
            </w:pPr>
            <w:r>
              <w:rPr>
                <w:rFonts w:ascii="Arial" w:cs="Arial" w:eastAsia="Arial" w:hAnsi="Arial"/>
                <w:sz w:val="14"/>
                <w:szCs w:val="14"/>
                <w:color w:val="auto"/>
              </w:rPr>
              <w:t>Wildwood</w:t>
            </w:r>
          </w:p>
        </w:tc>
        <w:tc>
          <w:tcPr>
            <w:tcW w:w="1440" w:type="dxa"/>
            <w:vAlign w:val="bottom"/>
          </w:tcPr>
          <w:p>
            <w:pPr>
              <w:ind w:left="120"/>
              <w:spacing w:after="0"/>
              <w:rPr>
                <w:sz w:val="20"/>
                <w:szCs w:val="20"/>
                <w:color w:val="auto"/>
              </w:rPr>
            </w:pPr>
            <w:r>
              <w:rPr>
                <w:rFonts w:ascii="Arial" w:cs="Arial" w:eastAsia="Arial" w:hAnsi="Arial"/>
                <w:sz w:val="14"/>
                <w:szCs w:val="14"/>
                <w:color w:val="auto"/>
              </w:rPr>
              <w:t>Bethesda, MD</w:t>
            </w:r>
          </w:p>
        </w:tc>
        <w:tc>
          <w:tcPr>
            <w:tcW w:w="4920" w:type="dxa"/>
            <w:vAlign w:val="bottom"/>
          </w:tcPr>
          <w:p>
            <w:pPr>
              <w:ind w:left="160"/>
              <w:spacing w:after="0"/>
              <w:rPr>
                <w:sz w:val="20"/>
                <w:szCs w:val="20"/>
                <w:color w:val="auto"/>
              </w:rPr>
            </w:pPr>
            <w:r>
              <w:rPr>
                <w:rFonts w:ascii="Arial" w:cs="Arial" w:eastAsia="Arial" w:hAnsi="Arial"/>
                <w:sz w:val="14"/>
                <w:szCs w:val="14"/>
                <w:color w:val="auto"/>
              </w:rPr>
              <w:t>4,900 square foot south end building expansion and site improvements</w:t>
            </w:r>
          </w:p>
        </w:tc>
        <w:tc>
          <w:tcPr>
            <w:tcW w:w="860" w:type="dxa"/>
            <w:vAlign w:val="bottom"/>
          </w:tcPr>
          <w:p>
            <w:pPr>
              <w:jc w:val="right"/>
              <w:spacing w:after="0"/>
              <w:rPr>
                <w:sz w:val="20"/>
                <w:szCs w:val="20"/>
                <w:color w:val="auto"/>
              </w:rPr>
            </w:pPr>
            <w:r>
              <w:rPr>
                <w:rFonts w:ascii="Arial" w:cs="Arial" w:eastAsia="Arial" w:hAnsi="Arial"/>
                <w:sz w:val="14"/>
                <w:szCs w:val="14"/>
                <w:color w:val="auto"/>
              </w:rPr>
              <w:t>7%</w:t>
            </w:r>
          </w:p>
        </w:tc>
        <w:tc>
          <w:tcPr>
            <w:tcW w:w="880" w:type="dxa"/>
            <w:vAlign w:val="bottom"/>
          </w:tcPr>
          <w:p>
            <w:pPr>
              <w:jc w:val="right"/>
              <w:spacing w:after="0"/>
              <w:rPr>
                <w:sz w:val="20"/>
                <w:szCs w:val="20"/>
                <w:color w:val="auto"/>
              </w:rPr>
            </w:pPr>
            <w:r>
              <w:rPr>
                <w:rFonts w:ascii="Arial" w:cs="Arial" w:eastAsia="Arial" w:hAnsi="Arial"/>
                <w:sz w:val="14"/>
                <w:szCs w:val="14"/>
                <w:color w:val="auto"/>
              </w:rPr>
              <w:t>$6</w:t>
            </w: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2019</w:t>
            </w:r>
          </w:p>
        </w:tc>
        <w:tc>
          <w:tcPr>
            <w:tcW w:w="0" w:type="dxa"/>
            <w:vAlign w:val="bottom"/>
          </w:tcPr>
          <w:p>
            <w:pPr>
              <w:spacing w:after="0"/>
              <w:rPr>
                <w:sz w:val="1"/>
                <w:szCs w:val="1"/>
                <w:color w:val="auto"/>
              </w:rPr>
            </w:pPr>
          </w:p>
        </w:tc>
      </w:tr>
      <w:tr>
        <w:trPr>
          <w:trHeight w:val="209"/>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Dedham Plaza</w:t>
            </w:r>
          </w:p>
        </w:tc>
        <w:tc>
          <w:tcPr>
            <w:tcW w:w="1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Dedham, MA</w:t>
            </w: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New 4,000 square foot pad site for restaurant tenant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157"/>
        </w:trPr>
        <w:tc>
          <w:tcPr>
            <w:tcW w:w="1520" w:type="dxa"/>
            <w:vAlign w:val="bottom"/>
          </w:tcPr>
          <w:p>
            <w:pPr>
              <w:ind w:left="40"/>
              <w:spacing w:after="0" w:line="157" w:lineRule="exact"/>
              <w:rPr>
                <w:sz w:val="20"/>
                <w:szCs w:val="20"/>
                <w:color w:val="auto"/>
              </w:rPr>
            </w:pPr>
            <w:r>
              <w:rPr>
                <w:rFonts w:ascii="Arial" w:cs="Arial" w:eastAsia="Arial" w:hAnsi="Arial"/>
                <w:sz w:val="14"/>
                <w:szCs w:val="14"/>
                <w:color w:val="auto"/>
              </w:rPr>
              <w:t>Willow Lawn</w:t>
            </w:r>
          </w:p>
        </w:tc>
        <w:tc>
          <w:tcPr>
            <w:tcW w:w="1440" w:type="dxa"/>
            <w:vAlign w:val="bottom"/>
          </w:tcPr>
          <w:p>
            <w:pPr>
              <w:ind w:left="120"/>
              <w:spacing w:after="0" w:line="157" w:lineRule="exact"/>
              <w:rPr>
                <w:sz w:val="20"/>
                <w:szCs w:val="20"/>
                <w:color w:val="auto"/>
              </w:rPr>
            </w:pPr>
            <w:r>
              <w:rPr>
                <w:rFonts w:ascii="Arial" w:cs="Arial" w:eastAsia="Arial" w:hAnsi="Arial"/>
                <w:sz w:val="14"/>
                <w:szCs w:val="14"/>
                <w:color w:val="auto"/>
              </w:rPr>
              <w:t>Richmond, VA</w:t>
            </w:r>
          </w:p>
        </w:tc>
        <w:tc>
          <w:tcPr>
            <w:tcW w:w="4920" w:type="dxa"/>
            <w:vAlign w:val="bottom"/>
          </w:tcPr>
          <w:p>
            <w:pPr>
              <w:ind w:left="160"/>
              <w:spacing w:after="0" w:line="157" w:lineRule="exact"/>
              <w:rPr>
                <w:sz w:val="20"/>
                <w:szCs w:val="20"/>
                <w:color w:val="auto"/>
              </w:rPr>
            </w:pPr>
            <w:r>
              <w:rPr>
                <w:rFonts w:ascii="Arial" w:cs="Arial" w:eastAsia="Arial" w:hAnsi="Arial"/>
                <w:sz w:val="14"/>
                <w:szCs w:val="14"/>
                <w:color w:val="auto"/>
                <w:w w:val="93"/>
              </w:rPr>
              <w:t>Conversion of vacant 5,000 square foot pad building to retail use to accommodate</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8%</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$2</w:t>
            </w: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$1</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2019</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920" w:type="dxa"/>
            <w:vAlign w:val="bottom"/>
          </w:tcPr>
          <w:p>
            <w:pPr>
              <w:ind w:left="160"/>
              <w:spacing w:after="0" w:line="149" w:lineRule="exact"/>
              <w:rPr>
                <w:sz w:val="20"/>
                <w:szCs w:val="20"/>
                <w:color w:val="auto"/>
              </w:rPr>
            </w:pPr>
            <w:r>
              <w:rPr>
                <w:rFonts w:ascii="Arial" w:cs="Arial" w:eastAsia="Arial" w:hAnsi="Arial"/>
                <w:sz w:val="14"/>
                <w:szCs w:val="14"/>
                <w:color w:val="auto"/>
                <w:w w:val="93"/>
              </w:rPr>
              <w:t>new 3,500 square foot fast casual restaurant tenant. Remainder of pad building to</w:t>
            </w: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2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tcPr>
          <w:p>
            <w:pPr>
              <w:spacing w:after="0"/>
              <w:rPr>
                <w:sz w:val="16"/>
                <w:szCs w:val="16"/>
                <w:color w:val="auto"/>
              </w:rPr>
            </w:pPr>
          </w:p>
        </w:tc>
        <w:tc>
          <w:tcPr>
            <w:tcW w:w="49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be demolished to construct new 2,200 square foot Starbucks pad site.</w:t>
            </w:r>
          </w:p>
        </w:tc>
        <w:tc>
          <w:tcPr>
            <w:tcW w:w="8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5"/>
              </w:rPr>
              <w:t>Total Active Redevelopment projects (4)</w:t>
            </w:r>
          </w:p>
        </w:tc>
        <w:tc>
          <w:tcPr>
            <w:tcW w:w="49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$222 - $230</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520" w:type="dxa"/>
            <w:vAlign w:val="bottom"/>
            <w:tcBorders>
              <w:bottom w:val="single" w:sz="8" w:color="CCEEFF"/>
            </w:tcBorders>
            <w:shd w:val="clear" w:color="auto" w:fill="CCEEFF"/>
          </w:tcPr>
          <w:p>
            <w:pPr>
              <w:spacing w:after="0"/>
              <w:rPr>
                <w:sz w:val="5"/>
                <w:szCs w:val="5"/>
                <w:color w:val="auto"/>
              </w:rPr>
            </w:pPr>
          </w:p>
        </w:tc>
        <w:tc>
          <w:tcPr>
            <w:tcW w:w="1440" w:type="dxa"/>
            <w:vAlign w:val="bottom"/>
            <w:tcBorders>
              <w:bottom w:val="single" w:sz="8" w:color="CCEEFF"/>
            </w:tcBorders>
            <w:shd w:val="clear" w:color="auto" w:fill="CCEEFF"/>
          </w:tcPr>
          <w:p>
            <w:pPr>
              <w:spacing w:after="0"/>
              <w:rPr>
                <w:sz w:val="5"/>
                <w:szCs w:val="5"/>
                <w:color w:val="auto"/>
              </w:rPr>
            </w:pPr>
          </w:p>
        </w:tc>
        <w:tc>
          <w:tcPr>
            <w:tcW w:w="4920" w:type="dxa"/>
            <w:vAlign w:val="bottom"/>
            <w:tcBorders>
              <w:bottom w:val="single" w:sz="8" w:color="CCEEFF"/>
            </w:tcBorders>
            <w:shd w:val="clear" w:color="auto" w:fill="CCEEFF"/>
          </w:tcPr>
          <w:p>
            <w:pPr>
              <w:spacing w:after="0"/>
              <w:rPr>
                <w:sz w:val="5"/>
                <w:szCs w:val="5"/>
                <w:color w:val="auto"/>
              </w:rPr>
            </w:pPr>
          </w:p>
        </w:tc>
        <w:tc>
          <w:tcPr>
            <w:tcW w:w="860" w:type="dxa"/>
            <w:vAlign w:val="bottom"/>
            <w:tcBorders>
              <w:bottom w:val="single" w:sz="8" w:color="auto"/>
            </w:tcBorders>
            <w:shd w:val="clear" w:color="auto" w:fill="CCEEFF"/>
          </w:tcPr>
          <w:p>
            <w:pPr>
              <w:spacing w:after="0"/>
              <w:rPr>
                <w:sz w:val="5"/>
                <w:szCs w:val="5"/>
                <w:color w:val="auto"/>
              </w:rPr>
            </w:pPr>
          </w:p>
        </w:tc>
        <w:tc>
          <w:tcPr>
            <w:tcW w:w="880" w:type="dxa"/>
            <w:vAlign w:val="bottom"/>
            <w:tcBorders>
              <w:bottom w:val="single" w:sz="8" w:color="auto"/>
            </w:tcBorders>
            <w:shd w:val="clear" w:color="auto" w:fill="CCEEFF"/>
          </w:tcPr>
          <w:p>
            <w:pPr>
              <w:spacing w:after="0"/>
              <w:rPr>
                <w:sz w:val="5"/>
                <w:szCs w:val="5"/>
                <w:color w:val="auto"/>
              </w:rPr>
            </w:pPr>
          </w:p>
        </w:tc>
        <w:tc>
          <w:tcPr>
            <w:tcW w:w="78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3" w:lineRule="exact"/>
        <w:rPr>
          <w:sz w:val="20"/>
          <w:szCs w:val="20"/>
          <w:color w:val="auto"/>
        </w:rPr>
      </w:pPr>
    </w:p>
    <w:p>
      <w:pPr>
        <w:ind w:left="660" w:hanging="652"/>
        <w:spacing w:after="0" w:line="260" w:lineRule="auto"/>
        <w:tabs>
          <w:tab w:leader="none" w:pos="6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60" w:lineRule="auto"/>
        <w:tabs>
          <w:tab w:leader="none" w:pos="6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does NOT include peripheral impacts, such as the impact on future lease rollovers at the property or the impact on the long-term value of the property.</w:t>
      </w:r>
    </w:p>
    <w:p>
      <w:pPr>
        <w:ind w:left="660" w:hanging="65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Stabilization is generally the year in which 90% physical occupancy of the redeveloped space is achieved. Economic stabilization may occur at a later point in time.</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Projected cost is net of the proceeds from our New Market Tax Credit structure. See Note 3 of our June 30, 2018 Form 10-Q for additional information.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60" w:right="239" w:bottom="1440" w:gutter="0" w:footer="0" w:header="0"/>
        </w:sectPr>
      </w:pPr>
    </w:p>
    <w:bookmarkStart w:id="21" w:name="page22"/>
    <w:bookmarkEnd w:id="21"/>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Assembly Row, Pike &amp; Rose, and Santana Row</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2018</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Projected POI Delivered</w:t>
            </w:r>
          </w:p>
        </w:tc>
        <w:tc>
          <w:tcPr>
            <w:tcW w:w="2840" w:type="dxa"/>
            <w:vAlign w:val="bottom"/>
          </w:tcPr>
          <w:p>
            <w:pPr>
              <w:spacing w:after="0"/>
              <w:rPr>
                <w:sz w:val="15"/>
                <w:szCs w:val="15"/>
                <w:color w:val="auto"/>
              </w:rPr>
            </w:pPr>
          </w:p>
        </w:tc>
      </w:tr>
      <w:tr>
        <w:trPr>
          <w:trHeight w:val="270"/>
        </w:trPr>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(as a % of Total)</w:t>
            </w:r>
          </w:p>
        </w:tc>
        <w:tc>
          <w:tcPr>
            <w:tcW w:w="2840" w:type="dxa"/>
            <w:vAlign w:val="bottom"/>
          </w:tcPr>
          <w:p>
            <w:pPr>
              <w:spacing w:after="0"/>
              <w:rPr>
                <w:sz w:val="23"/>
                <w:szCs w:val="23"/>
                <w:color w:val="auto"/>
              </w:rPr>
            </w:pPr>
          </w:p>
        </w:tc>
      </w:tr>
      <w:tr>
        <w:trPr>
          <w:trHeight w:val="244"/>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For Year Ended December 31,</w:t>
            </w:r>
          </w:p>
        </w:tc>
        <w:tc>
          <w:tcPr>
            <w:tcW w:w="2840" w:type="dxa"/>
            <w:vAlign w:val="bottom"/>
          </w:tcPr>
          <w:p>
            <w:pPr>
              <w:spacing w:after="0"/>
              <w:rPr>
                <w:sz w:val="21"/>
                <w:szCs w:val="21"/>
                <w:color w:val="auto"/>
              </w:rPr>
            </w:pPr>
          </w:p>
        </w:tc>
      </w:tr>
      <w:tr>
        <w:trPr>
          <w:trHeight w:val="182"/>
        </w:trPr>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720" w:type="dxa"/>
            <w:vAlign w:val="bottom"/>
          </w:tcPr>
          <w:p>
            <w:pPr>
              <w:jc w:val="center"/>
              <w:ind w:left="32"/>
              <w:spacing w:after="0"/>
              <w:rPr>
                <w:sz w:val="20"/>
                <w:szCs w:val="20"/>
                <w:color w:val="auto"/>
              </w:rPr>
            </w:pPr>
            <w:r>
              <w:rPr>
                <w:rFonts w:ascii="Arial" w:cs="Arial" w:eastAsia="Arial" w:hAnsi="Arial"/>
                <w:sz w:val="14"/>
                <w:szCs w:val="14"/>
                <w:b w:val="1"/>
                <w:bCs w:val="1"/>
                <w:color w:val="auto"/>
                <w:w w:val="84"/>
              </w:rPr>
              <w:t>Projected</w:t>
            </w:r>
          </w:p>
        </w:tc>
        <w:tc>
          <w:tcPr>
            <w:tcW w:w="280" w:type="dxa"/>
            <w:vAlign w:val="bottom"/>
          </w:tcPr>
          <w:p>
            <w:pPr>
              <w:spacing w:after="0"/>
              <w:rPr>
                <w:sz w:val="15"/>
                <w:szCs w:val="15"/>
                <w:color w:val="auto"/>
              </w:rPr>
            </w:pPr>
          </w:p>
        </w:tc>
        <w:tc>
          <w:tcPr>
            <w:tcW w:w="680" w:type="dxa"/>
            <w:vAlign w:val="bottom"/>
          </w:tcPr>
          <w:p>
            <w:pPr>
              <w:jc w:val="center"/>
              <w:ind w:left="32"/>
              <w:spacing w:after="0"/>
              <w:rPr>
                <w:sz w:val="20"/>
                <w:szCs w:val="20"/>
                <w:color w:val="auto"/>
              </w:rPr>
            </w:pPr>
            <w:r>
              <w:rPr>
                <w:rFonts w:ascii="Arial" w:cs="Arial" w:eastAsia="Arial" w:hAnsi="Arial"/>
                <w:sz w:val="14"/>
                <w:szCs w:val="14"/>
                <w:b w:val="1"/>
                <w:bCs w:val="1"/>
                <w:color w:val="auto"/>
                <w:w w:val="89"/>
              </w:rPr>
              <w:t>Total</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2"/>
              </w:rPr>
              <w:t>Costs to</w:t>
            </w:r>
          </w:p>
        </w:tc>
        <w:tc>
          <w:tcPr>
            <w:tcW w:w="7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3"/>
              </w:rPr>
              <w:t>(2)</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250"/>
        </w:trPr>
        <w:tc>
          <w:tcPr>
            <w:tcW w:w="10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Property (1)</w:t>
            </w: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Location</w:t>
            </w:r>
          </w:p>
        </w:tc>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Opportunity</w:t>
            </w:r>
          </w:p>
        </w:tc>
        <w:tc>
          <w:tcPr>
            <w:tcW w:w="72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rPr>
              <w:t>ROI (3)</w:t>
            </w:r>
          </w:p>
        </w:tc>
        <w:tc>
          <w:tcPr>
            <w:tcW w:w="2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88"/>
              </w:rPr>
              <w:t>Cost (4)</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120" w:type="dxa"/>
            <w:vAlign w:val="bottom"/>
          </w:tcPr>
          <w:p>
            <w:pPr>
              <w:spacing w:after="0"/>
              <w:rPr>
                <w:sz w:val="21"/>
                <w:szCs w:val="21"/>
                <w:color w:val="auto"/>
              </w:rPr>
            </w:pPr>
          </w:p>
        </w:tc>
        <w:tc>
          <w:tcPr>
            <w:tcW w:w="700" w:type="dxa"/>
            <w:vAlign w:val="bottom"/>
            <w:tcBorders>
              <w:bottom w:val="single" w:sz="8" w:color="auto"/>
            </w:tcBorders>
          </w:tcPr>
          <w:p>
            <w:pPr>
              <w:jc w:val="center"/>
              <w:ind w:left="132"/>
              <w:spacing w:after="0"/>
              <w:rPr>
                <w:sz w:val="20"/>
                <w:szCs w:val="20"/>
                <w:color w:val="auto"/>
              </w:rPr>
            </w:pPr>
            <w:r>
              <w:rPr>
                <w:rFonts w:ascii="Arial" w:cs="Arial" w:eastAsia="Arial" w:hAnsi="Arial"/>
                <w:sz w:val="14"/>
                <w:szCs w:val="14"/>
                <w:b w:val="1"/>
                <w:bCs w:val="1"/>
                <w:color w:val="auto"/>
                <w:w w:val="83"/>
              </w:rPr>
              <w:t>2018</w:t>
            </w:r>
          </w:p>
        </w:tc>
        <w:tc>
          <w:tcPr>
            <w:tcW w:w="1100" w:type="dxa"/>
            <w:vAlign w:val="bottom"/>
            <w:tcBorders>
              <w:bottom w:val="single" w:sz="8" w:color="auto"/>
            </w:tcBorders>
            <w:gridSpan w:val="2"/>
          </w:tcPr>
          <w:p>
            <w:pPr>
              <w:jc w:val="center"/>
              <w:ind w:left="132"/>
              <w:spacing w:after="0"/>
              <w:rPr>
                <w:sz w:val="20"/>
                <w:szCs w:val="20"/>
                <w:color w:val="auto"/>
              </w:rPr>
            </w:pPr>
            <w:r>
              <w:rPr>
                <w:rFonts w:ascii="Arial" w:cs="Arial" w:eastAsia="Arial" w:hAnsi="Arial"/>
                <w:sz w:val="14"/>
                <w:szCs w:val="14"/>
                <w:b w:val="1"/>
                <w:bCs w:val="1"/>
                <w:color w:val="auto"/>
                <w:w w:val="83"/>
              </w:rPr>
              <w:t>2019</w:t>
            </w:r>
          </w:p>
        </w:tc>
        <w:tc>
          <w:tcPr>
            <w:tcW w:w="120" w:type="dxa"/>
            <w:vAlign w:val="bottom"/>
          </w:tcPr>
          <w:p>
            <w:pPr>
              <w:spacing w:after="0"/>
              <w:rPr>
                <w:sz w:val="21"/>
                <w:szCs w:val="21"/>
                <w:color w:val="auto"/>
              </w:rPr>
            </w:pPr>
          </w:p>
        </w:tc>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Expected Opening Timeframe</w:t>
            </w:r>
          </w:p>
        </w:tc>
      </w:tr>
      <w:tr>
        <w:trPr>
          <w:trHeight w:val="165"/>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4"/>
                <w:szCs w:val="14"/>
                <w:color w:val="auto"/>
              </w:rPr>
              <w:t>(in</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(in</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Pr>
          <w:p>
            <w:pPr>
              <w:spacing w:after="0"/>
              <w:rPr>
                <w:sz w:val="14"/>
                <w:szCs w:val="14"/>
                <w:color w:val="auto"/>
              </w:rPr>
            </w:pPr>
          </w:p>
        </w:tc>
      </w:tr>
      <w:tr>
        <w:trPr>
          <w:trHeight w:val="172"/>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4"/>
                <w:szCs w:val="14"/>
                <w:color w:val="auto"/>
              </w:rPr>
              <w:t>millions)</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color w:val="auto"/>
                <w:w w:val="97"/>
              </w:rPr>
              <w:t>millions)</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Pr>
          <w:p>
            <w:pPr>
              <w:spacing w:after="0"/>
              <w:rPr>
                <w:sz w:val="14"/>
                <w:szCs w:val="14"/>
                <w:color w:val="auto"/>
              </w:rPr>
            </w:pPr>
          </w:p>
        </w:tc>
      </w:tr>
      <w:tr>
        <w:trPr>
          <w:trHeight w:val="487"/>
        </w:trPr>
        <w:tc>
          <w:tcPr>
            <w:tcW w:w="1040" w:type="dxa"/>
            <w:vAlign w:val="bottom"/>
            <w:gridSpan w:val="5"/>
          </w:tcPr>
          <w:p>
            <w:pPr>
              <w:ind w:left="40"/>
              <w:spacing w:after="0"/>
              <w:rPr>
                <w:sz w:val="20"/>
                <w:szCs w:val="20"/>
                <w:color w:val="auto"/>
              </w:rPr>
            </w:pPr>
            <w:r>
              <w:rPr>
                <w:rFonts w:ascii="Arial" w:cs="Arial" w:eastAsia="Arial" w:hAnsi="Arial"/>
                <w:sz w:val="14"/>
                <w:szCs w:val="14"/>
                <w:b w:val="1"/>
                <w:bCs w:val="1"/>
                <w:color w:val="auto"/>
                <w:w w:val="98"/>
              </w:rPr>
              <w:t>Assembly Row</w:t>
            </w:r>
          </w:p>
        </w:tc>
        <w:tc>
          <w:tcPr>
            <w:tcW w:w="1260" w:type="dxa"/>
            <w:vAlign w:val="bottom"/>
          </w:tcPr>
          <w:p>
            <w:pPr>
              <w:ind w:left="40"/>
              <w:spacing w:after="0"/>
              <w:rPr>
                <w:sz w:val="20"/>
                <w:szCs w:val="20"/>
                <w:color w:val="auto"/>
              </w:rPr>
            </w:pPr>
            <w:r>
              <w:rPr>
                <w:rFonts w:ascii="Arial" w:cs="Arial" w:eastAsia="Arial" w:hAnsi="Arial"/>
                <w:sz w:val="14"/>
                <w:szCs w:val="14"/>
                <w:b w:val="1"/>
                <w:bCs w:val="1"/>
                <w:color w:val="auto"/>
              </w:rPr>
              <w:t>Somerville, MA</w:t>
            </w:r>
          </w:p>
        </w:tc>
        <w:tc>
          <w:tcPr>
            <w:tcW w:w="1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Phase II</w:t>
            </w:r>
          </w:p>
        </w:tc>
        <w:tc>
          <w:tcPr>
            <w:tcW w:w="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- 161,000 SF of retail</w:t>
            </w:r>
          </w:p>
        </w:tc>
        <w:tc>
          <w:tcPr>
            <w:tcW w:w="720" w:type="dxa"/>
            <w:vAlign w:val="bottom"/>
            <w:shd w:val="clear" w:color="auto" w:fill="CCEEFF"/>
          </w:tcPr>
          <w:p>
            <w:pPr>
              <w:jc w:val="center"/>
              <w:ind w:left="32"/>
              <w:spacing w:after="0"/>
              <w:rPr>
                <w:sz w:val="20"/>
                <w:szCs w:val="20"/>
                <w:color w:val="auto"/>
              </w:rPr>
            </w:pPr>
            <w:r>
              <w:rPr>
                <w:rFonts w:ascii="Arial" w:cs="Arial" w:eastAsia="Arial" w:hAnsi="Arial"/>
                <w:sz w:val="14"/>
                <w:szCs w:val="14"/>
                <w:color w:val="auto"/>
                <w:w w:val="88"/>
              </w:rPr>
              <w:t>7%</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680" w:type="dxa"/>
            <w:vAlign w:val="bottom"/>
            <w:shd w:val="clear" w:color="auto" w:fill="CCEEFF"/>
          </w:tcPr>
          <w:p>
            <w:pPr>
              <w:jc w:val="center"/>
              <w:ind w:left="32"/>
              <w:spacing w:after="0"/>
              <w:rPr>
                <w:sz w:val="20"/>
                <w:szCs w:val="20"/>
                <w:color w:val="auto"/>
              </w:rPr>
            </w:pPr>
            <w:r>
              <w:rPr>
                <w:rFonts w:ascii="Arial" w:cs="Arial" w:eastAsia="Arial" w:hAnsi="Arial"/>
                <w:sz w:val="14"/>
                <w:szCs w:val="14"/>
                <w:color w:val="auto"/>
                <w:w w:val="86"/>
                <w:shd w:val="clear" w:color="auto" w:fill="CCEEFF"/>
              </w:rPr>
              <w:t>$290 - 305</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3"/>
              </w:rPr>
              <w:t>$281</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center"/>
              <w:ind w:left="112"/>
              <w:spacing w:after="0"/>
              <w:rPr>
                <w:sz w:val="20"/>
                <w:szCs w:val="20"/>
                <w:color w:val="auto"/>
              </w:rPr>
            </w:pPr>
            <w:r>
              <w:rPr>
                <w:rFonts w:ascii="Arial" w:cs="Arial" w:eastAsia="Arial" w:hAnsi="Arial"/>
                <w:sz w:val="14"/>
                <w:szCs w:val="14"/>
                <w:color w:val="auto"/>
                <w:w w:val="85"/>
              </w:rPr>
              <w:t>50%</w:t>
            </w:r>
          </w:p>
        </w:tc>
        <w:tc>
          <w:tcPr>
            <w:tcW w:w="1100" w:type="dxa"/>
            <w:vAlign w:val="bottom"/>
            <w:gridSpan w:val="2"/>
            <w:shd w:val="clear" w:color="auto" w:fill="CCEEFF"/>
          </w:tcPr>
          <w:p>
            <w:pPr>
              <w:jc w:val="center"/>
              <w:ind w:left="132"/>
              <w:spacing w:after="0"/>
              <w:rPr>
                <w:sz w:val="20"/>
                <w:szCs w:val="20"/>
                <w:color w:val="auto"/>
              </w:rPr>
            </w:pPr>
            <w:r>
              <w:rPr>
                <w:rFonts w:ascii="Arial" w:cs="Arial" w:eastAsia="Arial" w:hAnsi="Arial"/>
                <w:sz w:val="14"/>
                <w:szCs w:val="14"/>
                <w:color w:val="auto"/>
                <w:w w:val="92"/>
              </w:rPr>
              <w:t>90%</w:t>
            </w:r>
          </w:p>
        </w:tc>
        <w:tc>
          <w:tcPr>
            <w:tcW w:w="120" w:type="dxa"/>
            <w:vAlign w:val="bottom"/>
            <w:shd w:val="clear" w:color="auto" w:fill="CCEEFF"/>
          </w:tcPr>
          <w:p>
            <w:pPr>
              <w:spacing w:after="0"/>
              <w:rPr>
                <w:sz w:val="15"/>
                <w:szCs w:val="15"/>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- 110,000 square feet of retail has opened,</w:t>
            </w:r>
          </w:p>
        </w:tc>
      </w:tr>
      <w:tr>
        <w:trPr>
          <w:trHeight w:val="149"/>
        </w:trPr>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- 447 residential units</w:t>
            </w: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shd w:val="clear" w:color="auto" w:fill="CCEEFF"/>
              </w:rPr>
              <w:t>remaining</w:t>
            </w:r>
          </w:p>
        </w:tc>
      </w:tr>
      <w:tr>
        <w:trPr>
          <w:trHeight w:val="149"/>
        </w:trPr>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- 158 boutique hotel rooms</w:t>
            </w: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shd w:val="clear" w:color="auto" w:fill="CCEEFF"/>
              </w:rPr>
              <w:t>tenants projected to open through 2018.</w:t>
            </w:r>
          </w:p>
        </w:tc>
      </w:tr>
      <w:tr>
        <w:trPr>
          <w:trHeight w:val="192"/>
        </w:trPr>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 Residential building opened in September 2017</w:t>
            </w:r>
          </w:p>
        </w:tc>
      </w:tr>
      <w:tr>
        <w:trPr>
          <w:trHeight w:val="149"/>
        </w:trPr>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with</w:t>
            </w:r>
          </w:p>
        </w:tc>
      </w:tr>
      <w:tr>
        <w:trPr>
          <w:trHeight w:val="172"/>
        </w:trPr>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deliveries expected through 3Q 2018.</w:t>
            </w:r>
          </w:p>
        </w:tc>
      </w:tr>
      <w:tr>
        <w:trPr>
          <w:trHeight w:val="179"/>
        </w:trPr>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- 741,500 SF Partners Healthcare office space</w:t>
            </w:r>
          </w:p>
        </w:tc>
      </w:tr>
      <w:tr>
        <w:trPr>
          <w:trHeight w:val="149"/>
        </w:trPr>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(built by</w:t>
            </w:r>
          </w:p>
        </w:tc>
      </w:tr>
      <w:tr>
        <w:trPr>
          <w:trHeight w:val="186"/>
        </w:trPr>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Partners) opened in 2016.</w:t>
            </w:r>
          </w:p>
        </w:tc>
      </w:tr>
      <w:tr>
        <w:trPr>
          <w:trHeight w:val="165"/>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tcPr>
          <w:p>
            <w:pPr>
              <w:ind w:left="60"/>
              <w:spacing w:after="0"/>
              <w:rPr>
                <w:sz w:val="20"/>
                <w:szCs w:val="20"/>
                <w:color w:val="auto"/>
              </w:rPr>
            </w:pPr>
            <w:r>
              <w:rPr>
                <w:rFonts w:ascii="Arial" w:cs="Arial" w:eastAsia="Arial" w:hAnsi="Arial"/>
                <w:sz w:val="14"/>
                <w:szCs w:val="14"/>
                <w:color w:val="auto"/>
              </w:rPr>
              <w:t>- 122 for-sale condominium</w:t>
            </w:r>
          </w:p>
        </w:tc>
        <w:tc>
          <w:tcPr>
            <w:tcW w:w="720" w:type="dxa"/>
            <w:vAlign w:val="bottom"/>
          </w:tcPr>
          <w:p>
            <w:pPr>
              <w:jc w:val="center"/>
              <w:ind w:left="32"/>
              <w:spacing w:after="0"/>
              <w:rPr>
                <w:sz w:val="20"/>
                <w:szCs w:val="20"/>
                <w:color w:val="auto"/>
              </w:rPr>
            </w:pPr>
            <w:r>
              <w:rPr>
                <w:rFonts w:ascii="Arial" w:cs="Arial" w:eastAsia="Arial" w:hAnsi="Arial"/>
                <w:sz w:val="14"/>
                <w:szCs w:val="14"/>
                <w:color w:val="auto"/>
                <w:w w:val="99"/>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(6)</w:t>
            </w:r>
          </w:p>
        </w:tc>
        <w:tc>
          <w:tcPr>
            <w:tcW w:w="680" w:type="dxa"/>
            <w:vAlign w:val="bottom"/>
          </w:tcPr>
          <w:p>
            <w:pPr>
              <w:jc w:val="center"/>
              <w:ind w:left="32"/>
              <w:spacing w:after="0"/>
              <w:rPr>
                <w:sz w:val="20"/>
                <w:szCs w:val="20"/>
                <w:color w:val="auto"/>
              </w:rPr>
            </w:pPr>
            <w:r>
              <w:rPr>
                <w:rFonts w:ascii="Arial" w:cs="Arial" w:eastAsia="Arial" w:hAnsi="Arial"/>
                <w:sz w:val="14"/>
                <w:szCs w:val="14"/>
                <w:color w:val="auto"/>
                <w:w w:val="89"/>
              </w:rPr>
              <w:t>$80 - 81</w:t>
            </w:r>
          </w:p>
        </w:tc>
        <w:tc>
          <w:tcPr>
            <w:tcW w:w="720" w:type="dxa"/>
            <w:vAlign w:val="bottom"/>
          </w:tcPr>
          <w:p>
            <w:pPr>
              <w:jc w:val="center"/>
              <w:spacing w:after="0"/>
              <w:rPr>
                <w:sz w:val="20"/>
                <w:szCs w:val="20"/>
                <w:color w:val="auto"/>
              </w:rPr>
            </w:pPr>
            <w:r>
              <w:rPr>
                <w:rFonts w:ascii="Arial" w:cs="Arial" w:eastAsia="Arial" w:hAnsi="Arial"/>
                <w:sz w:val="14"/>
                <w:szCs w:val="14"/>
                <w:color w:val="auto"/>
                <w:w w:val="85"/>
              </w:rPr>
              <w:t>$80</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Pr>
          <w:p>
            <w:pPr>
              <w:ind w:left="20"/>
              <w:spacing w:after="0"/>
              <w:rPr>
                <w:sz w:val="20"/>
                <w:szCs w:val="20"/>
                <w:color w:val="auto"/>
              </w:rPr>
            </w:pPr>
            <w:r>
              <w:rPr>
                <w:rFonts w:ascii="Arial" w:cs="Arial" w:eastAsia="Arial" w:hAnsi="Arial"/>
                <w:sz w:val="14"/>
                <w:szCs w:val="14"/>
                <w:color w:val="auto"/>
              </w:rPr>
              <w:t>- Closings commenced 1Q 2018</w:t>
            </w:r>
          </w:p>
        </w:tc>
      </w:tr>
      <w:tr>
        <w:trPr>
          <w:trHeight w:val="179"/>
        </w:trPr>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40" w:type="dxa"/>
            <w:vAlign w:val="bottom"/>
          </w:tcPr>
          <w:p>
            <w:pPr>
              <w:ind w:left="40"/>
              <w:spacing w:after="0"/>
              <w:rPr>
                <w:sz w:val="20"/>
                <w:szCs w:val="20"/>
                <w:color w:val="auto"/>
              </w:rPr>
            </w:pPr>
            <w:r>
              <w:rPr>
                <w:rFonts w:ascii="Arial" w:cs="Arial" w:eastAsia="Arial" w:hAnsi="Arial"/>
                <w:sz w:val="14"/>
                <w:szCs w:val="14"/>
                <w:color w:val="auto"/>
              </w:rPr>
              <w:t>units</w:t>
            </w: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83"/>
        </w:trPr>
        <w:tc>
          <w:tcPr>
            <w:tcW w:w="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81"/>
                <w:shd w:val="clear" w:color="auto" w:fill="CCEEFF"/>
              </w:rPr>
              <w:t>Future Phases</w:t>
            </w:r>
          </w:p>
        </w:tc>
        <w:tc>
          <w:tcPr>
            <w:tcW w:w="240" w:type="dxa"/>
            <w:vAlign w:val="bottom"/>
            <w:gridSpan w:val="2"/>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40" w:type="dxa"/>
            <w:vAlign w:val="bottom"/>
            <w:shd w:val="clear" w:color="auto" w:fill="CCEEFF"/>
          </w:tcPr>
          <w:p>
            <w:pPr>
              <w:ind w:left="60"/>
              <w:spacing w:after="0"/>
              <w:rPr>
                <w:sz w:val="20"/>
                <w:szCs w:val="20"/>
                <w:color w:val="auto"/>
              </w:rPr>
            </w:pPr>
            <w:r>
              <w:rPr>
                <w:rFonts w:ascii="Arial" w:cs="Arial" w:eastAsia="Arial" w:hAnsi="Arial"/>
                <w:sz w:val="14"/>
                <w:szCs w:val="14"/>
                <w:color w:val="auto"/>
              </w:rPr>
              <w:t>- 2M SF of commercial</w:t>
            </w:r>
          </w:p>
        </w:tc>
        <w:tc>
          <w:tcPr>
            <w:tcW w:w="720" w:type="dxa"/>
            <w:vAlign w:val="bottom"/>
            <w:shd w:val="clear" w:color="auto" w:fill="CCEEFF"/>
          </w:tcPr>
          <w:p>
            <w:pPr>
              <w:jc w:val="center"/>
              <w:ind w:left="32"/>
              <w:spacing w:after="0"/>
              <w:rPr>
                <w:sz w:val="20"/>
                <w:szCs w:val="20"/>
                <w:color w:val="auto"/>
              </w:rPr>
            </w:pPr>
            <w:r>
              <w:rPr>
                <w:rFonts w:ascii="Arial" w:cs="Arial" w:eastAsia="Arial" w:hAnsi="Arial"/>
                <w:sz w:val="14"/>
                <w:szCs w:val="14"/>
                <w:color w:val="auto"/>
                <w:w w:val="92"/>
                <w:shd w:val="clear" w:color="auto" w:fill="CCEEFF"/>
              </w:rPr>
              <w:t>TBD</w:t>
            </w: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center"/>
              <w:ind w:left="32"/>
              <w:spacing w:after="0"/>
              <w:rPr>
                <w:sz w:val="20"/>
                <w:szCs w:val="20"/>
                <w:color w:val="auto"/>
              </w:rPr>
            </w:pPr>
            <w:r>
              <w:rPr>
                <w:rFonts w:ascii="Arial" w:cs="Arial" w:eastAsia="Arial" w:hAnsi="Arial"/>
                <w:sz w:val="14"/>
                <w:szCs w:val="14"/>
                <w:color w:val="auto"/>
                <w:w w:val="92"/>
                <w:shd w:val="clear" w:color="auto" w:fill="CCEEFF"/>
              </w:rPr>
              <w:t>TBD</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r>
      <w:tr>
        <w:trPr>
          <w:trHeight w:val="283"/>
        </w:trPr>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840" w:type="dxa"/>
            <w:vAlign w:val="bottom"/>
            <w:shd w:val="clear" w:color="auto" w:fill="CCEEFF"/>
          </w:tcPr>
          <w:p>
            <w:pPr>
              <w:ind w:left="60"/>
              <w:spacing w:after="0"/>
              <w:rPr>
                <w:sz w:val="20"/>
                <w:szCs w:val="20"/>
                <w:color w:val="auto"/>
              </w:rPr>
            </w:pPr>
            <w:r>
              <w:rPr>
                <w:rFonts w:ascii="Arial" w:cs="Arial" w:eastAsia="Arial" w:hAnsi="Arial"/>
                <w:sz w:val="14"/>
                <w:szCs w:val="14"/>
                <w:color w:val="auto"/>
              </w:rPr>
              <w:t>- 826 residential units</w:t>
            </w:r>
          </w:p>
        </w:tc>
        <w:tc>
          <w:tcPr>
            <w:tcW w:w="7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40" w:type="dxa"/>
            <w:vAlign w:val="bottom"/>
            <w:shd w:val="clear" w:color="auto" w:fill="CCEEFF"/>
          </w:tcPr>
          <w:p>
            <w:pPr>
              <w:spacing w:after="0"/>
              <w:rPr>
                <w:sz w:val="24"/>
                <w:szCs w:val="24"/>
                <w:color w:val="auto"/>
              </w:rPr>
            </w:pPr>
          </w:p>
        </w:tc>
      </w:tr>
      <w:tr>
        <w:trPr>
          <w:trHeight w:val="82"/>
        </w:trPr>
        <w:tc>
          <w:tcPr>
            <w:tcW w:w="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40" w:type="dxa"/>
            <w:vAlign w:val="bottom"/>
            <w:shd w:val="clear" w:color="auto" w:fill="CCEEFF"/>
          </w:tcPr>
          <w:p>
            <w:pPr>
              <w:spacing w:after="0"/>
              <w:rPr>
                <w:sz w:val="7"/>
                <w:szCs w:val="7"/>
                <w:color w:val="auto"/>
              </w:rPr>
            </w:pPr>
          </w:p>
        </w:tc>
      </w:tr>
      <w:tr>
        <w:trPr>
          <w:trHeight w:val="432"/>
        </w:trPr>
        <w:tc>
          <w:tcPr>
            <w:tcW w:w="1040" w:type="dxa"/>
            <w:vAlign w:val="bottom"/>
            <w:gridSpan w:val="5"/>
          </w:tcPr>
          <w:p>
            <w:pPr>
              <w:ind w:left="40"/>
              <w:spacing w:after="0"/>
              <w:rPr>
                <w:sz w:val="20"/>
                <w:szCs w:val="20"/>
                <w:color w:val="auto"/>
              </w:rPr>
            </w:pPr>
            <w:r>
              <w:rPr>
                <w:rFonts w:ascii="Arial" w:cs="Arial" w:eastAsia="Arial" w:hAnsi="Arial"/>
                <w:sz w:val="14"/>
                <w:szCs w:val="14"/>
                <w:b w:val="1"/>
                <w:bCs w:val="1"/>
                <w:color w:val="auto"/>
              </w:rPr>
              <w:t>Pike &amp; Rose</w:t>
            </w:r>
          </w:p>
        </w:tc>
        <w:tc>
          <w:tcPr>
            <w:tcW w:w="1260" w:type="dxa"/>
            <w:vAlign w:val="bottom"/>
          </w:tcPr>
          <w:p>
            <w:pPr>
              <w:ind w:left="40"/>
              <w:spacing w:after="0"/>
              <w:rPr>
                <w:sz w:val="20"/>
                <w:szCs w:val="20"/>
                <w:color w:val="auto"/>
              </w:rPr>
            </w:pPr>
            <w:r>
              <w:rPr>
                <w:rFonts w:ascii="Arial" w:cs="Arial" w:eastAsia="Arial" w:hAnsi="Arial"/>
                <w:sz w:val="14"/>
                <w:szCs w:val="14"/>
                <w:b w:val="1"/>
                <w:bCs w:val="1"/>
                <w:color w:val="auto"/>
                <w:w w:val="89"/>
              </w:rPr>
              <w:t>North Bethesda, MD</w:t>
            </w:r>
          </w:p>
        </w:tc>
        <w:tc>
          <w:tcPr>
            <w:tcW w:w="1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88"/>
        </w:trPr>
        <w:tc>
          <w:tcPr>
            <w:tcW w:w="4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40" w:type="dxa"/>
            <w:vAlign w:val="bottom"/>
          </w:tcPr>
          <w:p>
            <w:pPr>
              <w:spacing w:after="0"/>
              <w:rPr>
                <w:sz w:val="7"/>
                <w:szCs w:val="7"/>
                <w:color w:val="auto"/>
              </w:rPr>
            </w:pPr>
          </w:p>
        </w:tc>
      </w:tr>
      <w:tr>
        <w:trPr>
          <w:trHeight w:val="165"/>
        </w:trPr>
        <w:tc>
          <w:tcPr>
            <w:tcW w:w="104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Phase II</w:t>
            </w:r>
          </w:p>
        </w:tc>
        <w:tc>
          <w:tcPr>
            <w:tcW w:w="1260" w:type="dxa"/>
            <w:vAlign w:val="bottom"/>
            <w:shd w:val="clear" w:color="auto" w:fill="CCEEFF"/>
          </w:tcPr>
          <w:p>
            <w:pPr>
              <w:spacing w:after="0"/>
              <w:rPr>
                <w:sz w:val="14"/>
                <w:szCs w:val="14"/>
                <w:color w:val="auto"/>
              </w:rPr>
            </w:pPr>
          </w:p>
        </w:tc>
        <w:tc>
          <w:tcPr>
            <w:tcW w:w="1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- 216,000 SF of retail</w:t>
            </w:r>
          </w:p>
        </w:tc>
        <w:tc>
          <w:tcPr>
            <w:tcW w:w="720" w:type="dxa"/>
            <w:vAlign w:val="bottom"/>
            <w:shd w:val="clear" w:color="auto" w:fill="CCEEFF"/>
          </w:tcPr>
          <w:p>
            <w:pPr>
              <w:jc w:val="center"/>
              <w:ind w:left="32"/>
              <w:spacing w:after="0"/>
              <w:rPr>
                <w:sz w:val="20"/>
                <w:szCs w:val="20"/>
                <w:color w:val="auto"/>
              </w:rPr>
            </w:pPr>
            <w:r>
              <w:rPr>
                <w:rFonts w:ascii="Arial" w:cs="Arial" w:eastAsia="Arial" w:hAnsi="Arial"/>
                <w:sz w:val="14"/>
                <w:szCs w:val="14"/>
                <w:color w:val="auto"/>
                <w:w w:val="91"/>
              </w:rPr>
              <w:t>6-7%</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680" w:type="dxa"/>
            <w:vAlign w:val="bottom"/>
            <w:shd w:val="clear" w:color="auto" w:fill="CCEEFF"/>
          </w:tcPr>
          <w:p>
            <w:pPr>
              <w:jc w:val="center"/>
              <w:ind w:left="32"/>
              <w:spacing w:after="0"/>
              <w:rPr>
                <w:sz w:val="20"/>
                <w:szCs w:val="20"/>
                <w:color w:val="auto"/>
              </w:rPr>
            </w:pPr>
            <w:r>
              <w:rPr>
                <w:rFonts w:ascii="Arial" w:cs="Arial" w:eastAsia="Arial" w:hAnsi="Arial"/>
                <w:sz w:val="14"/>
                <w:szCs w:val="14"/>
                <w:color w:val="auto"/>
                <w:w w:val="86"/>
              </w:rPr>
              <w:t>$200 - 207</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3"/>
              </w:rPr>
              <w:t>$191</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ind w:left="112"/>
              <w:spacing w:after="0"/>
              <w:rPr>
                <w:sz w:val="20"/>
                <w:szCs w:val="20"/>
                <w:color w:val="auto"/>
              </w:rPr>
            </w:pPr>
            <w:r>
              <w:rPr>
                <w:rFonts w:ascii="Arial" w:cs="Arial" w:eastAsia="Arial" w:hAnsi="Arial"/>
                <w:sz w:val="14"/>
                <w:szCs w:val="14"/>
                <w:color w:val="auto"/>
                <w:w w:val="85"/>
              </w:rPr>
              <w:t>60%</w:t>
            </w:r>
          </w:p>
        </w:tc>
        <w:tc>
          <w:tcPr>
            <w:tcW w:w="1100" w:type="dxa"/>
            <w:vAlign w:val="bottom"/>
            <w:gridSpan w:val="2"/>
            <w:shd w:val="clear" w:color="auto" w:fill="CCEEFF"/>
          </w:tcPr>
          <w:p>
            <w:pPr>
              <w:jc w:val="center"/>
              <w:ind w:left="132"/>
              <w:spacing w:after="0"/>
              <w:rPr>
                <w:sz w:val="20"/>
                <w:szCs w:val="20"/>
                <w:color w:val="auto"/>
              </w:rPr>
            </w:pPr>
            <w:r>
              <w:rPr>
                <w:rFonts w:ascii="Arial" w:cs="Arial" w:eastAsia="Arial" w:hAnsi="Arial"/>
                <w:sz w:val="14"/>
                <w:szCs w:val="14"/>
                <w:color w:val="auto"/>
                <w:w w:val="92"/>
              </w:rPr>
              <w:t>85%</w:t>
            </w:r>
          </w:p>
        </w:tc>
        <w:tc>
          <w:tcPr>
            <w:tcW w:w="120" w:type="dxa"/>
            <w:vAlign w:val="bottom"/>
            <w:shd w:val="clear" w:color="auto" w:fill="CCEEFF"/>
          </w:tcPr>
          <w:p>
            <w:pPr>
              <w:spacing w:after="0"/>
              <w:rPr>
                <w:sz w:val="14"/>
                <w:szCs w:val="14"/>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- 166,000 square feet of retail has opened,</w:t>
            </w:r>
          </w:p>
        </w:tc>
      </w:tr>
      <w:tr>
        <w:trPr>
          <w:trHeight w:val="149"/>
        </w:trPr>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- 272 residential units</w:t>
            </w: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remaining</w:t>
            </w:r>
          </w:p>
        </w:tc>
      </w:tr>
      <w:tr>
        <w:trPr>
          <w:trHeight w:val="172"/>
        </w:trPr>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- 177 boutique hotel rooms</w:t>
            </w: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4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tenants projected to open through 2018.</w:t>
            </w:r>
          </w:p>
        </w:tc>
      </w:tr>
      <w:tr>
        <w:trPr>
          <w:trHeight w:val="219"/>
        </w:trPr>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1"/>
              </w:rPr>
              <w:t>- Residential building opened in August 2017 with</w:t>
            </w:r>
          </w:p>
        </w:tc>
      </w:tr>
      <w:tr>
        <w:trPr>
          <w:trHeight w:val="186"/>
        </w:trPr>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deliveries through 2Q 2018</w:t>
            </w:r>
          </w:p>
        </w:tc>
      </w:tr>
      <w:tr>
        <w:trPr>
          <w:trHeight w:val="189"/>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40" w:type="dxa"/>
            <w:vAlign w:val="bottom"/>
          </w:tcPr>
          <w:p>
            <w:pPr>
              <w:ind w:left="60"/>
              <w:spacing w:after="0"/>
              <w:rPr>
                <w:sz w:val="20"/>
                <w:szCs w:val="20"/>
                <w:color w:val="auto"/>
              </w:rPr>
            </w:pPr>
            <w:r>
              <w:rPr>
                <w:rFonts w:ascii="Arial" w:cs="Arial" w:eastAsia="Arial" w:hAnsi="Arial"/>
                <w:sz w:val="14"/>
                <w:szCs w:val="14"/>
                <w:color w:val="auto"/>
                <w:w w:val="90"/>
              </w:rPr>
              <w:t>- 99 for-sale condominium units</w:t>
            </w:r>
          </w:p>
        </w:tc>
        <w:tc>
          <w:tcPr>
            <w:tcW w:w="720" w:type="dxa"/>
            <w:vAlign w:val="bottom"/>
          </w:tcPr>
          <w:p>
            <w:pPr>
              <w:jc w:val="center"/>
              <w:ind w:left="32"/>
              <w:spacing w:after="0"/>
              <w:rPr>
                <w:sz w:val="20"/>
                <w:szCs w:val="20"/>
                <w:color w:val="auto"/>
              </w:rPr>
            </w:pPr>
            <w:r>
              <w:rPr>
                <w:rFonts w:ascii="Arial" w:cs="Arial" w:eastAsia="Arial" w:hAnsi="Arial"/>
                <w:sz w:val="14"/>
                <w:szCs w:val="14"/>
                <w:color w:val="auto"/>
                <w:w w:val="99"/>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(6)</w:t>
            </w:r>
          </w:p>
        </w:tc>
        <w:tc>
          <w:tcPr>
            <w:tcW w:w="680" w:type="dxa"/>
            <w:vAlign w:val="bottom"/>
          </w:tcPr>
          <w:p>
            <w:pPr>
              <w:jc w:val="center"/>
              <w:ind w:left="32"/>
              <w:spacing w:after="0"/>
              <w:rPr>
                <w:sz w:val="20"/>
                <w:szCs w:val="20"/>
                <w:color w:val="auto"/>
              </w:rPr>
            </w:pPr>
            <w:r>
              <w:rPr>
                <w:rFonts w:ascii="Arial" w:cs="Arial" w:eastAsia="Arial" w:hAnsi="Arial"/>
                <w:sz w:val="14"/>
                <w:szCs w:val="14"/>
                <w:color w:val="auto"/>
                <w:w w:val="87"/>
              </w:rPr>
              <w:t>$60-62</w:t>
            </w:r>
          </w:p>
        </w:tc>
        <w:tc>
          <w:tcPr>
            <w:tcW w:w="720" w:type="dxa"/>
            <w:vAlign w:val="bottom"/>
          </w:tcPr>
          <w:p>
            <w:pPr>
              <w:jc w:val="center"/>
              <w:spacing w:after="0"/>
              <w:rPr>
                <w:sz w:val="20"/>
                <w:szCs w:val="20"/>
                <w:color w:val="auto"/>
              </w:rPr>
            </w:pPr>
            <w:r>
              <w:rPr>
                <w:rFonts w:ascii="Arial" w:cs="Arial" w:eastAsia="Arial" w:hAnsi="Arial"/>
                <w:sz w:val="14"/>
                <w:szCs w:val="14"/>
                <w:color w:val="auto"/>
                <w:w w:val="85"/>
              </w:rPr>
              <w:t>$61</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tcPr>
          <w:p>
            <w:pPr>
              <w:ind w:left="20"/>
              <w:spacing w:after="0"/>
              <w:rPr>
                <w:sz w:val="20"/>
                <w:szCs w:val="20"/>
                <w:color w:val="auto"/>
              </w:rPr>
            </w:pPr>
            <w:r>
              <w:rPr>
                <w:rFonts w:ascii="Arial" w:cs="Arial" w:eastAsia="Arial" w:hAnsi="Arial"/>
                <w:sz w:val="14"/>
                <w:szCs w:val="14"/>
                <w:color w:val="auto"/>
              </w:rPr>
              <w:t>- Closings commenced 1Q 2018</w:t>
            </w:r>
          </w:p>
        </w:tc>
      </w:tr>
      <w:tr>
        <w:trPr>
          <w:trHeight w:val="82"/>
        </w:trPr>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40" w:type="dxa"/>
            <w:vAlign w:val="bottom"/>
          </w:tcPr>
          <w:p>
            <w:pPr>
              <w:spacing w:after="0"/>
              <w:rPr>
                <w:sz w:val="7"/>
                <w:szCs w:val="7"/>
                <w:color w:val="auto"/>
              </w:rPr>
            </w:pPr>
          </w:p>
        </w:tc>
      </w:tr>
      <w:tr>
        <w:trPr>
          <w:trHeight w:val="189"/>
        </w:trPr>
        <w:tc>
          <w:tcPr>
            <w:tcW w:w="104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Future Phases</w:t>
            </w:r>
          </w:p>
        </w:tc>
        <w:tc>
          <w:tcPr>
            <w:tcW w:w="1260" w:type="dxa"/>
            <w:vAlign w:val="bottom"/>
            <w:shd w:val="clear" w:color="auto" w:fill="CCEEFF"/>
          </w:tcPr>
          <w:p>
            <w:pPr>
              <w:spacing w:after="0"/>
              <w:rPr>
                <w:sz w:val="16"/>
                <w:szCs w:val="16"/>
                <w:color w:val="auto"/>
              </w:rPr>
            </w:pPr>
          </w:p>
        </w:tc>
        <w:tc>
          <w:tcPr>
            <w:tcW w:w="1840" w:type="dxa"/>
            <w:vAlign w:val="bottom"/>
            <w:shd w:val="clear" w:color="auto" w:fill="CCEEFF"/>
          </w:tcPr>
          <w:p>
            <w:pPr>
              <w:ind w:left="60"/>
              <w:spacing w:after="0"/>
              <w:rPr>
                <w:sz w:val="20"/>
                <w:szCs w:val="20"/>
                <w:color w:val="auto"/>
              </w:rPr>
            </w:pPr>
            <w:r>
              <w:rPr>
                <w:rFonts w:ascii="Arial" w:cs="Arial" w:eastAsia="Arial" w:hAnsi="Arial"/>
                <w:sz w:val="14"/>
                <w:szCs w:val="14"/>
                <w:color w:val="auto"/>
              </w:rPr>
              <w:t>- 1M SF of commercial</w:t>
            </w:r>
          </w:p>
        </w:tc>
        <w:tc>
          <w:tcPr>
            <w:tcW w:w="720" w:type="dxa"/>
            <w:vAlign w:val="bottom"/>
            <w:shd w:val="clear" w:color="auto" w:fill="CCEEFF"/>
          </w:tcPr>
          <w:p>
            <w:pPr>
              <w:jc w:val="center"/>
              <w:ind w:left="32"/>
              <w:spacing w:after="0"/>
              <w:rPr>
                <w:sz w:val="20"/>
                <w:szCs w:val="20"/>
                <w:color w:val="auto"/>
              </w:rPr>
            </w:pPr>
            <w:r>
              <w:rPr>
                <w:rFonts w:ascii="Arial" w:cs="Arial" w:eastAsia="Arial" w:hAnsi="Arial"/>
                <w:sz w:val="14"/>
                <w:szCs w:val="14"/>
                <w:color w:val="auto"/>
                <w:w w:val="92"/>
              </w:rPr>
              <w:t>TBD</w:t>
            </w: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jc w:val="center"/>
              <w:ind w:left="32"/>
              <w:spacing w:after="0"/>
              <w:rPr>
                <w:sz w:val="20"/>
                <w:szCs w:val="20"/>
                <w:color w:val="auto"/>
              </w:rPr>
            </w:pPr>
            <w:r>
              <w:rPr>
                <w:rFonts w:ascii="Arial" w:cs="Arial" w:eastAsia="Arial" w:hAnsi="Arial"/>
                <w:sz w:val="14"/>
                <w:szCs w:val="14"/>
                <w:color w:val="auto"/>
                <w:w w:val="92"/>
              </w:rPr>
              <w:t>TBD</w:t>
            </w: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r>
      <w:tr>
        <w:trPr>
          <w:trHeight w:val="270"/>
        </w:trPr>
        <w:tc>
          <w:tcPr>
            <w:tcW w:w="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840" w:type="dxa"/>
            <w:vAlign w:val="bottom"/>
            <w:shd w:val="clear" w:color="auto" w:fill="CCEEFF"/>
          </w:tcPr>
          <w:p>
            <w:pPr>
              <w:ind w:left="60"/>
              <w:spacing w:after="0"/>
              <w:rPr>
                <w:sz w:val="20"/>
                <w:szCs w:val="20"/>
                <w:color w:val="auto"/>
              </w:rPr>
            </w:pPr>
            <w:r>
              <w:rPr>
                <w:rFonts w:ascii="Arial" w:cs="Arial" w:eastAsia="Arial" w:hAnsi="Arial"/>
                <w:sz w:val="14"/>
                <w:szCs w:val="14"/>
                <w:color w:val="auto"/>
              </w:rPr>
              <w:t>- 741 residential units</w:t>
            </w:r>
          </w:p>
        </w:tc>
        <w:tc>
          <w:tcPr>
            <w:tcW w:w="7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40" w:type="dxa"/>
            <w:vAlign w:val="bottom"/>
            <w:shd w:val="clear" w:color="auto" w:fill="CCEEFF"/>
          </w:tcPr>
          <w:p>
            <w:pPr>
              <w:spacing w:after="0"/>
              <w:rPr>
                <w:sz w:val="23"/>
                <w:szCs w:val="23"/>
                <w:color w:val="auto"/>
              </w:rPr>
            </w:pPr>
          </w:p>
        </w:tc>
      </w:tr>
      <w:tr>
        <w:trPr>
          <w:trHeight w:val="82"/>
        </w:trPr>
        <w:tc>
          <w:tcPr>
            <w:tcW w:w="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40" w:type="dxa"/>
            <w:vAlign w:val="bottom"/>
            <w:shd w:val="clear" w:color="auto" w:fill="CCEEFF"/>
          </w:tcPr>
          <w:p>
            <w:pPr>
              <w:spacing w:after="0"/>
              <w:rPr>
                <w:sz w:val="7"/>
                <w:szCs w:val="7"/>
                <w:color w:val="auto"/>
              </w:rPr>
            </w:pPr>
          </w:p>
        </w:tc>
      </w:tr>
      <w:tr>
        <w:trPr>
          <w:trHeight w:val="432"/>
        </w:trPr>
        <w:tc>
          <w:tcPr>
            <w:tcW w:w="1040" w:type="dxa"/>
            <w:vAlign w:val="bottom"/>
            <w:gridSpan w:val="5"/>
          </w:tcPr>
          <w:p>
            <w:pPr>
              <w:ind w:left="40"/>
              <w:spacing w:after="0"/>
              <w:rPr>
                <w:sz w:val="20"/>
                <w:szCs w:val="20"/>
                <w:color w:val="auto"/>
              </w:rPr>
            </w:pPr>
            <w:r>
              <w:rPr>
                <w:rFonts w:ascii="Arial" w:cs="Arial" w:eastAsia="Arial" w:hAnsi="Arial"/>
                <w:sz w:val="14"/>
                <w:szCs w:val="14"/>
                <w:b w:val="1"/>
                <w:bCs w:val="1"/>
                <w:color w:val="auto"/>
              </w:rPr>
              <w:t>Santana Row</w:t>
            </w:r>
          </w:p>
        </w:tc>
        <w:tc>
          <w:tcPr>
            <w:tcW w:w="1260" w:type="dxa"/>
            <w:vAlign w:val="bottom"/>
          </w:tcPr>
          <w:p>
            <w:pPr>
              <w:ind w:left="40"/>
              <w:spacing w:after="0"/>
              <w:rPr>
                <w:sz w:val="20"/>
                <w:szCs w:val="20"/>
                <w:color w:val="auto"/>
              </w:rPr>
            </w:pPr>
            <w:r>
              <w:rPr>
                <w:rFonts w:ascii="Arial" w:cs="Arial" w:eastAsia="Arial" w:hAnsi="Arial"/>
                <w:sz w:val="14"/>
                <w:szCs w:val="14"/>
                <w:b w:val="1"/>
                <w:bCs w:val="1"/>
                <w:color w:val="auto"/>
              </w:rPr>
              <w:t>San Jose, CA</w:t>
            </w:r>
          </w:p>
        </w:tc>
        <w:tc>
          <w:tcPr>
            <w:tcW w:w="1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88"/>
        </w:trPr>
        <w:tc>
          <w:tcPr>
            <w:tcW w:w="4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40" w:type="dxa"/>
            <w:vAlign w:val="bottom"/>
          </w:tcPr>
          <w:p>
            <w:pPr>
              <w:spacing w:after="0"/>
              <w:rPr>
                <w:sz w:val="7"/>
                <w:szCs w:val="7"/>
                <w:color w:val="auto"/>
              </w:rPr>
            </w:pPr>
          </w:p>
        </w:tc>
      </w:tr>
      <w:tr>
        <w:trPr>
          <w:trHeight w:val="176"/>
        </w:trPr>
        <w:tc>
          <w:tcPr>
            <w:tcW w:w="40" w:type="dxa"/>
            <w:vAlign w:val="bottom"/>
            <w:shd w:val="clear" w:color="auto" w:fill="CCEEFF"/>
          </w:tcPr>
          <w:p>
            <w:pPr>
              <w:spacing w:after="0"/>
              <w:rPr>
                <w:sz w:val="15"/>
                <w:szCs w:val="15"/>
                <w:color w:val="auto"/>
              </w:rPr>
            </w:pPr>
          </w:p>
        </w:tc>
        <w:tc>
          <w:tcPr>
            <w:tcW w:w="1000" w:type="dxa"/>
            <w:vAlign w:val="bottom"/>
            <w:gridSpan w:val="4"/>
            <w:shd w:val="clear" w:color="auto" w:fill="CCEEFF"/>
          </w:tcPr>
          <w:p>
            <w:pPr>
              <w:spacing w:after="0"/>
              <w:rPr>
                <w:sz w:val="20"/>
                <w:szCs w:val="20"/>
                <w:color w:val="auto"/>
              </w:rPr>
            </w:pPr>
            <w:r>
              <w:rPr>
                <w:rFonts w:ascii="Arial" w:cs="Arial" w:eastAsia="Arial" w:hAnsi="Arial"/>
                <w:sz w:val="14"/>
                <w:szCs w:val="14"/>
                <w:color w:val="auto"/>
                <w:w w:val="88"/>
                <w:shd w:val="clear" w:color="auto" w:fill="CCEEFF"/>
              </w:rPr>
              <w:t>700 Santana Row</w:t>
            </w:r>
          </w:p>
        </w:tc>
        <w:tc>
          <w:tcPr>
            <w:tcW w:w="1260" w:type="dxa"/>
            <w:vAlign w:val="bottom"/>
            <w:shd w:val="clear" w:color="auto" w:fill="CCEEFF"/>
          </w:tcPr>
          <w:p>
            <w:pPr>
              <w:spacing w:after="0"/>
              <w:rPr>
                <w:sz w:val="15"/>
                <w:szCs w:val="15"/>
                <w:color w:val="auto"/>
              </w:rPr>
            </w:pPr>
          </w:p>
        </w:tc>
        <w:tc>
          <w:tcPr>
            <w:tcW w:w="1840" w:type="dxa"/>
            <w:vAlign w:val="bottom"/>
            <w:shd w:val="clear" w:color="auto" w:fill="CCEEFF"/>
          </w:tcPr>
          <w:p>
            <w:pPr>
              <w:ind w:left="60"/>
              <w:spacing w:after="0"/>
              <w:rPr>
                <w:sz w:val="20"/>
                <w:szCs w:val="20"/>
                <w:color w:val="auto"/>
              </w:rPr>
            </w:pPr>
            <w:r>
              <w:rPr>
                <w:rFonts w:ascii="Arial" w:cs="Arial" w:eastAsia="Arial" w:hAnsi="Arial"/>
                <w:sz w:val="14"/>
                <w:szCs w:val="14"/>
                <w:color w:val="auto"/>
              </w:rPr>
              <w:t>- 284,000 SF of office</w:t>
            </w:r>
          </w:p>
        </w:tc>
        <w:tc>
          <w:tcPr>
            <w:tcW w:w="720" w:type="dxa"/>
            <w:vAlign w:val="bottom"/>
            <w:shd w:val="clear" w:color="auto" w:fill="CCEEFF"/>
          </w:tcPr>
          <w:p>
            <w:pPr>
              <w:jc w:val="center"/>
              <w:ind w:left="32"/>
              <w:spacing w:after="0"/>
              <w:rPr>
                <w:sz w:val="20"/>
                <w:szCs w:val="20"/>
                <w:color w:val="auto"/>
              </w:rPr>
            </w:pPr>
            <w:r>
              <w:rPr>
                <w:rFonts w:ascii="Arial" w:cs="Arial" w:eastAsia="Arial" w:hAnsi="Arial"/>
                <w:sz w:val="14"/>
                <w:szCs w:val="14"/>
                <w:color w:val="auto"/>
                <w:w w:val="88"/>
              </w:rPr>
              <w:t>7%</w:t>
            </w: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center"/>
              <w:ind w:left="32"/>
              <w:spacing w:after="0"/>
              <w:rPr>
                <w:sz w:val="20"/>
                <w:szCs w:val="20"/>
                <w:color w:val="auto"/>
              </w:rPr>
            </w:pPr>
            <w:r>
              <w:rPr>
                <w:rFonts w:ascii="Arial" w:cs="Arial" w:eastAsia="Arial" w:hAnsi="Arial"/>
                <w:sz w:val="14"/>
                <w:szCs w:val="14"/>
                <w:color w:val="auto"/>
                <w:w w:val="86"/>
                <w:shd w:val="clear" w:color="auto" w:fill="CCEEFF"/>
              </w:rPr>
              <w:t>$205 - 215</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3"/>
              </w:rPr>
              <w:t>$100</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center"/>
              <w:ind w:left="132"/>
              <w:spacing w:after="0"/>
              <w:rPr>
                <w:sz w:val="20"/>
                <w:szCs w:val="20"/>
                <w:color w:val="auto"/>
              </w:rPr>
            </w:pPr>
            <w:r>
              <w:rPr>
                <w:rFonts w:ascii="Arial" w:cs="Arial" w:eastAsia="Arial" w:hAnsi="Arial"/>
                <w:sz w:val="14"/>
                <w:szCs w:val="14"/>
                <w:color w:val="auto"/>
                <w:w w:val="99"/>
              </w:rPr>
              <w:t>—</w:t>
            </w: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TBD</w:t>
            </w:r>
          </w:p>
        </w:tc>
        <w:tc>
          <w:tcPr>
            <w:tcW w:w="120" w:type="dxa"/>
            <w:vAlign w:val="bottom"/>
            <w:shd w:val="clear" w:color="auto" w:fill="CCEEFF"/>
          </w:tcPr>
          <w:p>
            <w:pPr>
              <w:spacing w:after="0"/>
              <w:rPr>
                <w:sz w:val="15"/>
                <w:szCs w:val="15"/>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 Commenced construction 4Q 2016</w:t>
            </w:r>
          </w:p>
        </w:tc>
      </w:tr>
      <w:tr>
        <w:trPr>
          <w:trHeight w:val="270"/>
        </w:trPr>
        <w:tc>
          <w:tcPr>
            <w:tcW w:w="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840" w:type="dxa"/>
            <w:vAlign w:val="bottom"/>
            <w:shd w:val="clear" w:color="auto" w:fill="CCEEFF"/>
          </w:tcPr>
          <w:p>
            <w:pPr>
              <w:ind w:left="60"/>
              <w:spacing w:after="0"/>
              <w:rPr>
                <w:sz w:val="20"/>
                <w:szCs w:val="20"/>
                <w:color w:val="auto"/>
              </w:rPr>
            </w:pPr>
            <w:r>
              <w:rPr>
                <w:rFonts w:ascii="Arial" w:cs="Arial" w:eastAsia="Arial" w:hAnsi="Arial"/>
                <w:sz w:val="14"/>
                <w:szCs w:val="14"/>
                <w:color w:val="auto"/>
              </w:rPr>
              <w:t>- 29,000 SF of retail &amp; 1,300</w:t>
            </w:r>
          </w:p>
        </w:tc>
        <w:tc>
          <w:tcPr>
            <w:tcW w:w="7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 Opening projected 2019</w:t>
            </w:r>
          </w:p>
        </w:tc>
      </w:tr>
      <w:tr>
        <w:trPr>
          <w:trHeight w:val="176"/>
        </w:trPr>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parking spaces</w:t>
            </w: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r>
      <w:tr>
        <w:trPr>
          <w:trHeight w:val="189"/>
        </w:trPr>
        <w:tc>
          <w:tcPr>
            <w:tcW w:w="1040" w:type="dxa"/>
            <w:vAlign w:val="bottom"/>
            <w:gridSpan w:val="5"/>
          </w:tcPr>
          <w:p>
            <w:pPr>
              <w:ind w:left="40"/>
              <w:spacing w:after="0"/>
              <w:rPr>
                <w:sz w:val="20"/>
                <w:szCs w:val="20"/>
                <w:color w:val="auto"/>
              </w:rPr>
            </w:pPr>
            <w:r>
              <w:rPr>
                <w:rFonts w:ascii="Arial" w:cs="Arial" w:eastAsia="Arial" w:hAnsi="Arial"/>
                <w:sz w:val="14"/>
                <w:szCs w:val="14"/>
                <w:color w:val="auto"/>
              </w:rPr>
              <w:t>Future Phases</w:t>
            </w:r>
          </w:p>
        </w:tc>
        <w:tc>
          <w:tcPr>
            <w:tcW w:w="1260" w:type="dxa"/>
            <w:vAlign w:val="bottom"/>
          </w:tcPr>
          <w:p>
            <w:pPr>
              <w:spacing w:after="0"/>
              <w:rPr>
                <w:sz w:val="16"/>
                <w:szCs w:val="16"/>
                <w:color w:val="auto"/>
              </w:rPr>
            </w:pPr>
          </w:p>
        </w:tc>
        <w:tc>
          <w:tcPr>
            <w:tcW w:w="1840" w:type="dxa"/>
            <w:vAlign w:val="bottom"/>
          </w:tcPr>
          <w:p>
            <w:pPr>
              <w:ind w:left="60"/>
              <w:spacing w:after="0"/>
              <w:rPr>
                <w:sz w:val="20"/>
                <w:szCs w:val="20"/>
                <w:color w:val="auto"/>
              </w:rPr>
            </w:pPr>
            <w:r>
              <w:rPr>
                <w:rFonts w:ascii="Arial" w:cs="Arial" w:eastAsia="Arial" w:hAnsi="Arial"/>
                <w:sz w:val="14"/>
                <w:szCs w:val="14"/>
                <w:color w:val="auto"/>
              </w:rPr>
              <w:t>- 321,000 SF of commercial</w:t>
            </w:r>
          </w:p>
        </w:tc>
        <w:tc>
          <w:tcPr>
            <w:tcW w:w="720" w:type="dxa"/>
            <w:vAlign w:val="bottom"/>
          </w:tcPr>
          <w:p>
            <w:pPr>
              <w:jc w:val="center"/>
              <w:ind w:left="32"/>
              <w:spacing w:after="0"/>
              <w:rPr>
                <w:sz w:val="20"/>
                <w:szCs w:val="20"/>
                <w:color w:val="auto"/>
              </w:rPr>
            </w:pPr>
            <w:r>
              <w:rPr>
                <w:rFonts w:ascii="Arial" w:cs="Arial" w:eastAsia="Arial" w:hAnsi="Arial"/>
                <w:sz w:val="14"/>
                <w:szCs w:val="14"/>
                <w:color w:val="auto"/>
                <w:w w:val="92"/>
              </w:rPr>
              <w:t>TBD</w:t>
            </w:r>
          </w:p>
        </w:tc>
        <w:tc>
          <w:tcPr>
            <w:tcW w:w="280" w:type="dxa"/>
            <w:vAlign w:val="bottom"/>
          </w:tcPr>
          <w:p>
            <w:pPr>
              <w:spacing w:after="0"/>
              <w:rPr>
                <w:sz w:val="16"/>
                <w:szCs w:val="16"/>
                <w:color w:val="auto"/>
              </w:rPr>
            </w:pPr>
          </w:p>
        </w:tc>
        <w:tc>
          <w:tcPr>
            <w:tcW w:w="680" w:type="dxa"/>
            <w:vAlign w:val="bottom"/>
          </w:tcPr>
          <w:p>
            <w:pPr>
              <w:jc w:val="center"/>
              <w:ind w:left="32"/>
              <w:spacing w:after="0"/>
              <w:rPr>
                <w:sz w:val="20"/>
                <w:szCs w:val="20"/>
                <w:color w:val="auto"/>
              </w:rPr>
            </w:pPr>
            <w:r>
              <w:rPr>
                <w:rFonts w:ascii="Arial" w:cs="Arial" w:eastAsia="Arial" w:hAnsi="Arial"/>
                <w:sz w:val="14"/>
                <w:szCs w:val="14"/>
                <w:color w:val="auto"/>
                <w:w w:val="92"/>
              </w:rPr>
              <w:t>TBD</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tcPr>
          <w:p>
            <w:pPr>
              <w:spacing w:after="0"/>
              <w:rPr>
                <w:sz w:val="16"/>
                <w:szCs w:val="16"/>
                <w:color w:val="auto"/>
              </w:rPr>
            </w:pPr>
          </w:p>
        </w:tc>
      </w:tr>
    </w:tbl>
    <w:p>
      <w:pPr>
        <w:spacing w:after="0" w:line="98" w:lineRule="exact"/>
        <w:rPr>
          <w:sz w:val="20"/>
          <w:szCs w:val="20"/>
          <w:color w:val="auto"/>
        </w:rPr>
      </w:pPr>
    </w:p>
    <w:p>
      <w:pPr>
        <w:ind w:left="2360"/>
        <w:spacing w:after="0"/>
        <w:rPr>
          <w:sz w:val="20"/>
          <w:szCs w:val="20"/>
          <w:color w:val="auto"/>
        </w:rPr>
      </w:pPr>
      <w:r>
        <w:rPr>
          <w:rFonts w:ascii="Arial" w:cs="Arial" w:eastAsia="Arial" w:hAnsi="Arial"/>
          <w:sz w:val="14"/>
          <w:szCs w:val="14"/>
          <w:color w:val="auto"/>
        </w:rPr>
        <w:t>- 395 residential units</w:t>
      </w:r>
    </w:p>
    <w:p>
      <w:pPr>
        <w:spacing w:after="0" w:line="109" w:lineRule="exact"/>
        <w:rPr>
          <w:sz w:val="20"/>
          <w:szCs w:val="20"/>
          <w:color w:val="auto"/>
        </w:rPr>
      </w:pPr>
    </w:p>
    <w:p>
      <w:pPr>
        <w:ind w:left="2360"/>
        <w:spacing w:after="0"/>
        <w:rPr>
          <w:sz w:val="20"/>
          <w:szCs w:val="20"/>
          <w:color w:val="auto"/>
        </w:rPr>
      </w:pPr>
      <w:r>
        <w:rPr>
          <w:rFonts w:ascii="Arial" w:cs="Arial" w:eastAsia="Arial" w:hAnsi="Arial"/>
          <w:sz w:val="14"/>
          <w:szCs w:val="14"/>
          <w:color w:val="auto"/>
        </w:rPr>
        <w:t>- 1M SF of commercial across</w:t>
      </w:r>
    </w:p>
    <w:p>
      <w:pPr>
        <w:ind w:left="2340"/>
        <w:spacing w:after="0"/>
        <w:rPr>
          <w:sz w:val="20"/>
          <w:szCs w:val="20"/>
          <w:color w:val="auto"/>
        </w:rPr>
      </w:pPr>
      <w:r>
        <w:rPr>
          <w:rFonts w:ascii="Arial" w:cs="Arial" w:eastAsia="Arial" w:hAnsi="Arial"/>
          <w:sz w:val="14"/>
          <w:szCs w:val="14"/>
          <w:color w:val="auto"/>
        </w:rPr>
        <w:t>from Santana Row</w:t>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98" w:lineRule="exact"/>
        <w:rPr>
          <w:sz w:val="20"/>
          <w:szCs w:val="20"/>
          <w:color w:val="auto"/>
        </w:rPr>
      </w:pPr>
    </w:p>
    <w:p>
      <w:pPr>
        <w:ind w:left="500" w:right="180" w:hanging="465"/>
        <w:spacing w:after="0" w:line="239" w:lineRule="auto"/>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Anticipated opening dates, total cost, projected return on investment (ROI), and projected POI percentages are subject to adjustment as a result of factors inherent in the development process, some of which may not be</w:t>
      </w:r>
    </w:p>
    <w:p>
      <w:pPr>
        <w:spacing w:after="0" w:line="30"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under the direct control of the Company. Refer to the Company's filings with the Securities and Exchange Commission on Form 10-K and Form 10-Q for other risk factors.</w:t>
      </w:r>
    </w:p>
    <w:p>
      <w:pPr>
        <w:spacing w:after="0" w:line="41"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2"/>
          <w:szCs w:val="12"/>
          <w:color w:val="auto"/>
        </w:rPr>
        <w:t>Percentage figures reflect (i) the projected POI (herein defined) for the stated year divided by (ii) the current projected annual stabilized POI for the Property. These percentages are projections only and</w:t>
      </w:r>
    </w:p>
    <w:p>
      <w:pPr>
        <w:spacing w:after="0" w:line="22"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cannot give any</w:t>
      </w:r>
    </w:p>
    <w:p>
      <w:pPr>
        <w:spacing w:after="0" w:line="29"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assurances that these amounts will actually be achieved.</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Projected ROI for development projects reflects the unleveraged Property Operating Income (POI) generated by the development and is calculated as POI divided by cost.</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Projected costs for Assembly Row and Pike &amp; Rose include an allocation of infrastructure costs for the entire project.</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Costs are net of expected reimbursement by third parties and land sale proceeds. Phase II total costs and costs to date include our share of the costs in the hotel.</w:t>
      </w:r>
    </w:p>
    <w:p>
      <w:pPr>
        <w:spacing w:after="0" w:line="41"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2"/>
          <w:szCs w:val="12"/>
          <w:color w:val="auto"/>
        </w:rPr>
        <w:t>Condominiums shown at cost; the projected ROI for Phase II does not assume any incremental profit on the sale of condominium units; for return calculation purposes, condominiums are assumed to be</w:t>
      </w:r>
    </w:p>
    <w:p>
      <w:pPr>
        <w:spacing w:after="0" w:line="22"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sold at cost.</w:t>
      </w:r>
    </w:p>
    <w:p>
      <w:pPr>
        <w:sectPr>
          <w:pgSz w:w="11900" w:h="16838" w:orient="portrait"/>
          <w:cols w:equalWidth="0" w:num="1">
            <w:col w:w="11420"/>
          </w:cols>
          <w:pgMar w:left="240" w:top="760" w:right="239" w:bottom="1440" w:gutter="0" w:footer="0" w:header="0"/>
        </w:sect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760" w:right="239" w:bottom="1440" w:gutter="0" w:footer="0" w:header="0"/>
          <w:type w:val="continuous"/>
        </w:sectPr>
      </w:pPr>
    </w:p>
    <w:bookmarkStart w:id="22" w:name="page23"/>
    <w:bookmarkEnd w:id="22"/>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Future Redevelopment Opportunities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2018</w:t>
      </w:r>
    </w:p>
    <w:p>
      <w:pPr>
        <w:spacing w:after="0" w:line="374" w:lineRule="exact"/>
        <w:rPr>
          <w:sz w:val="20"/>
          <w:szCs w:val="20"/>
          <w:color w:val="auto"/>
        </w:rPr>
      </w:pPr>
    </w:p>
    <w:p>
      <w:pPr>
        <w:ind w:left="40" w:right="40"/>
        <w:spacing w:after="0" w:line="273" w:lineRule="auto"/>
        <w:rPr>
          <w:sz w:val="20"/>
          <w:szCs w:val="20"/>
          <w:color w:val="auto"/>
        </w:rPr>
      </w:pPr>
      <w:r>
        <w:rPr>
          <w:rFonts w:ascii="Arial" w:cs="Arial" w:eastAsia="Arial" w:hAnsi="Arial"/>
          <w:sz w:val="16"/>
          <w:szCs w:val="16"/>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320" w:lineRule="exact"/>
        <w:rPr>
          <w:sz w:val="20"/>
          <w:szCs w:val="20"/>
          <w:color w:val="auto"/>
        </w:rPr>
      </w:pPr>
    </w:p>
    <w:p>
      <w:pPr>
        <w:ind w:left="40" w:right="960"/>
        <w:spacing w:after="0" w:line="290"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Escondido Promenade</w:t>
            </w:r>
          </w:p>
        </w:tc>
        <w:tc>
          <w:tcPr>
            <w:tcW w:w="2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Escondido, CA</w:t>
            </w:r>
          </w:p>
        </w:tc>
        <w:tc>
          <w:tcPr>
            <w:tcW w:w="27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b w:val="1"/>
                <w:bCs w:val="1"/>
                <w:color w:val="auto"/>
              </w:rPr>
              <w:t>Melville Mall</w:t>
            </w:r>
          </w:p>
        </w:tc>
        <w:tc>
          <w:tcPr>
            <w:tcW w:w="37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Huntington, NY</w:t>
            </w:r>
          </w:p>
        </w:tc>
      </w:tr>
      <w:tr>
        <w:trPr>
          <w:trHeight w:val="237"/>
        </w:trPr>
        <w:tc>
          <w:tcPr>
            <w:tcW w:w="2700" w:type="dxa"/>
            <w:vAlign w:val="bottom"/>
          </w:tcPr>
          <w:p>
            <w:pPr>
              <w:ind w:left="620"/>
              <w:spacing w:after="0"/>
              <w:rPr>
                <w:sz w:val="20"/>
                <w:szCs w:val="20"/>
                <w:color w:val="auto"/>
              </w:rPr>
            </w:pPr>
            <w:r>
              <w:rPr>
                <w:rFonts w:ascii="Arial" w:cs="Arial" w:eastAsia="Arial" w:hAnsi="Arial"/>
                <w:sz w:val="16"/>
                <w:szCs w:val="16"/>
                <w:b w:val="1"/>
                <w:bCs w:val="1"/>
                <w:color w:val="auto"/>
              </w:rPr>
              <w:t>Federal Plaza</w:t>
            </w:r>
          </w:p>
        </w:tc>
        <w:tc>
          <w:tcPr>
            <w:tcW w:w="2200" w:type="dxa"/>
            <w:vAlign w:val="bottom"/>
          </w:tcPr>
          <w:p>
            <w:pPr>
              <w:ind w:left="540"/>
              <w:spacing w:after="0"/>
              <w:rPr>
                <w:sz w:val="20"/>
                <w:szCs w:val="20"/>
                <w:color w:val="auto"/>
              </w:rPr>
            </w:pPr>
            <w:r>
              <w:rPr>
                <w:rFonts w:ascii="Arial" w:cs="Arial" w:eastAsia="Arial" w:hAnsi="Arial"/>
                <w:sz w:val="16"/>
                <w:szCs w:val="16"/>
                <w:color w:val="auto"/>
              </w:rPr>
              <w:t>Rockville, MD</w:t>
            </w:r>
          </w:p>
        </w:tc>
        <w:tc>
          <w:tcPr>
            <w:tcW w:w="2760" w:type="dxa"/>
            <w:vAlign w:val="bottom"/>
          </w:tcPr>
          <w:p>
            <w:pPr>
              <w:ind w:left="640"/>
              <w:spacing w:after="0"/>
              <w:rPr>
                <w:sz w:val="20"/>
                <w:szCs w:val="20"/>
                <w:color w:val="auto"/>
              </w:rPr>
            </w:pPr>
            <w:r>
              <w:rPr>
                <w:rFonts w:ascii="Arial" w:cs="Arial" w:eastAsia="Arial" w:hAnsi="Arial"/>
                <w:sz w:val="16"/>
                <w:szCs w:val="16"/>
                <w:b w:val="1"/>
                <w:bCs w:val="1"/>
                <w:color w:val="auto"/>
              </w:rPr>
              <w:t>Mercer Mall</w:t>
            </w:r>
          </w:p>
        </w:tc>
        <w:tc>
          <w:tcPr>
            <w:tcW w:w="3760" w:type="dxa"/>
            <w:vAlign w:val="bottom"/>
          </w:tcPr>
          <w:p>
            <w:pPr>
              <w:ind w:left="620"/>
              <w:spacing w:after="0"/>
              <w:rPr>
                <w:sz w:val="20"/>
                <w:szCs w:val="20"/>
                <w:color w:val="auto"/>
              </w:rPr>
            </w:pPr>
            <w:r>
              <w:rPr>
                <w:rFonts w:ascii="Arial" w:cs="Arial" w:eastAsia="Arial" w:hAnsi="Arial"/>
                <w:sz w:val="16"/>
                <w:szCs w:val="16"/>
                <w:color w:val="auto"/>
              </w:rPr>
              <w:t>Lawrenceville, NJ</w:t>
            </w:r>
          </w:p>
        </w:tc>
      </w:tr>
      <w:tr>
        <w:trPr>
          <w:trHeight w:val="33"/>
        </w:trPr>
        <w:tc>
          <w:tcPr>
            <w:tcW w:w="27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Flourtown</w:t>
            </w:r>
          </w:p>
        </w:tc>
        <w:tc>
          <w:tcPr>
            <w:tcW w:w="2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Flourtown, PA</w:t>
            </w:r>
          </w:p>
        </w:tc>
        <w:tc>
          <w:tcPr>
            <w:tcW w:w="27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b w:val="1"/>
                <w:bCs w:val="1"/>
                <w:color w:val="auto"/>
              </w:rPr>
              <w:t>Pan Am</w:t>
            </w:r>
          </w:p>
        </w:tc>
        <w:tc>
          <w:tcPr>
            <w:tcW w:w="37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Fairfax, VA</w:t>
            </w:r>
          </w:p>
        </w:tc>
      </w:tr>
      <w:tr>
        <w:trPr>
          <w:trHeight w:val="237"/>
        </w:trPr>
        <w:tc>
          <w:tcPr>
            <w:tcW w:w="2700" w:type="dxa"/>
            <w:vAlign w:val="bottom"/>
          </w:tcPr>
          <w:p>
            <w:pPr>
              <w:ind w:left="620"/>
              <w:spacing w:after="0"/>
              <w:rPr>
                <w:sz w:val="20"/>
                <w:szCs w:val="20"/>
                <w:color w:val="auto"/>
              </w:rPr>
            </w:pPr>
            <w:r>
              <w:rPr>
                <w:rFonts w:ascii="Arial" w:cs="Arial" w:eastAsia="Arial" w:hAnsi="Arial"/>
                <w:sz w:val="16"/>
                <w:szCs w:val="16"/>
                <w:b w:val="1"/>
                <w:bCs w:val="1"/>
                <w:color w:val="auto"/>
              </w:rPr>
              <w:t>Fresh Meadows</w:t>
            </w:r>
          </w:p>
        </w:tc>
        <w:tc>
          <w:tcPr>
            <w:tcW w:w="2200" w:type="dxa"/>
            <w:vAlign w:val="bottom"/>
          </w:tcPr>
          <w:p>
            <w:pPr>
              <w:ind w:left="540"/>
              <w:spacing w:after="0"/>
              <w:rPr>
                <w:sz w:val="20"/>
                <w:szCs w:val="20"/>
                <w:color w:val="auto"/>
              </w:rPr>
            </w:pPr>
            <w:r>
              <w:rPr>
                <w:rFonts w:ascii="Arial" w:cs="Arial" w:eastAsia="Arial" w:hAnsi="Arial"/>
                <w:sz w:val="16"/>
                <w:szCs w:val="16"/>
                <w:color w:val="auto"/>
              </w:rPr>
              <w:t>Queens, NY</w:t>
            </w:r>
          </w:p>
        </w:tc>
        <w:tc>
          <w:tcPr>
            <w:tcW w:w="2760" w:type="dxa"/>
            <w:vAlign w:val="bottom"/>
          </w:tcPr>
          <w:p>
            <w:pPr>
              <w:ind w:left="640"/>
              <w:spacing w:after="0"/>
              <w:rPr>
                <w:sz w:val="20"/>
                <w:szCs w:val="20"/>
                <w:color w:val="auto"/>
              </w:rPr>
            </w:pPr>
            <w:r>
              <w:rPr>
                <w:rFonts w:ascii="Arial" w:cs="Arial" w:eastAsia="Arial" w:hAnsi="Arial"/>
                <w:sz w:val="16"/>
                <w:szCs w:val="16"/>
                <w:b w:val="1"/>
                <w:bCs w:val="1"/>
                <w:color w:val="auto"/>
              </w:rPr>
              <w:t>Sylmar Towne Center</w:t>
            </w:r>
          </w:p>
        </w:tc>
        <w:tc>
          <w:tcPr>
            <w:tcW w:w="3760" w:type="dxa"/>
            <w:vAlign w:val="bottom"/>
          </w:tcPr>
          <w:p>
            <w:pPr>
              <w:ind w:left="620"/>
              <w:spacing w:after="0"/>
              <w:rPr>
                <w:sz w:val="20"/>
                <w:szCs w:val="20"/>
                <w:color w:val="auto"/>
              </w:rPr>
            </w:pPr>
            <w:r>
              <w:rPr>
                <w:rFonts w:ascii="Arial" w:cs="Arial" w:eastAsia="Arial" w:hAnsi="Arial"/>
                <w:sz w:val="16"/>
                <w:szCs w:val="16"/>
                <w:color w:val="auto"/>
              </w:rPr>
              <w:t>Sylmar, CA</w:t>
            </w:r>
          </w:p>
        </w:tc>
      </w:tr>
      <w:tr>
        <w:trPr>
          <w:trHeight w:val="33"/>
        </w:trPr>
        <w:tc>
          <w:tcPr>
            <w:tcW w:w="27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70"/>
        </w:trPr>
        <w:tc>
          <w:tcPr>
            <w:tcW w:w="270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c>
          <w:tcPr>
            <w:tcW w:w="2760" w:type="dxa"/>
            <w:vAlign w:val="bottom"/>
            <w:shd w:val="clear" w:color="auto" w:fill="CCEEFF"/>
          </w:tcPr>
          <w:p>
            <w:pPr>
              <w:spacing w:after="0"/>
              <w:rPr>
                <w:sz w:val="23"/>
                <w:szCs w:val="23"/>
                <w:color w:val="auto"/>
              </w:rPr>
            </w:pPr>
          </w:p>
        </w:tc>
        <w:tc>
          <w:tcPr>
            <w:tcW w:w="376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40" w:right="520"/>
        <w:spacing w:after="0" w:line="290"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more productive uses for the property.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4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Barracks Road</w:t>
            </w:r>
          </w:p>
        </w:tc>
        <w:tc>
          <w:tcPr>
            <w:tcW w:w="25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Charlottesville, VA</w:t>
            </w:r>
          </w:p>
        </w:tc>
        <w:tc>
          <w:tcPr>
            <w:tcW w:w="2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Hastings Ranch Plaza</w:t>
            </w:r>
          </w:p>
        </w:tc>
        <w:tc>
          <w:tcPr>
            <w:tcW w:w="3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Pasadena, CA</w:t>
            </w:r>
          </w:p>
        </w:tc>
      </w:tr>
      <w:tr>
        <w:trPr>
          <w:trHeight w:val="237"/>
        </w:trPr>
        <w:tc>
          <w:tcPr>
            <w:tcW w:w="2480" w:type="dxa"/>
            <w:vAlign w:val="bottom"/>
          </w:tcPr>
          <w:p>
            <w:pPr>
              <w:ind w:left="620"/>
              <w:spacing w:after="0"/>
              <w:rPr>
                <w:sz w:val="20"/>
                <w:szCs w:val="20"/>
                <w:color w:val="auto"/>
              </w:rPr>
            </w:pPr>
            <w:r>
              <w:rPr>
                <w:rFonts w:ascii="Arial" w:cs="Arial" w:eastAsia="Arial" w:hAnsi="Arial"/>
                <w:sz w:val="16"/>
                <w:szCs w:val="16"/>
                <w:b w:val="1"/>
                <w:bCs w:val="1"/>
                <w:color w:val="auto"/>
              </w:rPr>
              <w:t>Bethesda Row</w:t>
            </w:r>
          </w:p>
        </w:tc>
        <w:tc>
          <w:tcPr>
            <w:tcW w:w="2540" w:type="dxa"/>
            <w:vAlign w:val="bottom"/>
          </w:tcPr>
          <w:p>
            <w:pPr>
              <w:ind w:left="760"/>
              <w:spacing w:after="0"/>
              <w:rPr>
                <w:sz w:val="20"/>
                <w:szCs w:val="20"/>
                <w:color w:val="auto"/>
              </w:rPr>
            </w:pPr>
            <w:r>
              <w:rPr>
                <w:rFonts w:ascii="Arial" w:cs="Arial" w:eastAsia="Arial" w:hAnsi="Arial"/>
                <w:sz w:val="16"/>
                <w:szCs w:val="16"/>
                <w:color w:val="auto"/>
              </w:rPr>
              <w:t>Bethesda, MD</w:t>
            </w:r>
          </w:p>
        </w:tc>
        <w:tc>
          <w:tcPr>
            <w:tcW w:w="2800" w:type="dxa"/>
            <w:vAlign w:val="bottom"/>
          </w:tcPr>
          <w:p>
            <w:pPr>
              <w:ind w:left="520"/>
              <w:spacing w:after="0"/>
              <w:rPr>
                <w:sz w:val="20"/>
                <w:szCs w:val="20"/>
                <w:color w:val="auto"/>
              </w:rPr>
            </w:pPr>
            <w:r>
              <w:rPr>
                <w:rFonts w:ascii="Arial" w:cs="Arial" w:eastAsia="Arial" w:hAnsi="Arial"/>
                <w:sz w:val="16"/>
                <w:szCs w:val="16"/>
                <w:b w:val="1"/>
                <w:bCs w:val="1"/>
                <w:color w:val="auto"/>
              </w:rPr>
              <w:t>Northeast</w:t>
            </w:r>
          </w:p>
        </w:tc>
        <w:tc>
          <w:tcPr>
            <w:tcW w:w="3600" w:type="dxa"/>
            <w:vAlign w:val="bottom"/>
          </w:tcPr>
          <w:p>
            <w:pPr>
              <w:ind w:left="460"/>
              <w:spacing w:after="0"/>
              <w:rPr>
                <w:sz w:val="20"/>
                <w:szCs w:val="20"/>
                <w:color w:val="auto"/>
              </w:rPr>
            </w:pPr>
            <w:r>
              <w:rPr>
                <w:rFonts w:ascii="Arial" w:cs="Arial" w:eastAsia="Arial" w:hAnsi="Arial"/>
                <w:sz w:val="16"/>
                <w:szCs w:val="16"/>
                <w:color w:val="auto"/>
              </w:rPr>
              <w:t>Philadelphia, PA</w:t>
            </w:r>
          </w:p>
        </w:tc>
      </w:tr>
      <w:tr>
        <w:trPr>
          <w:trHeight w:val="33"/>
        </w:trPr>
        <w:tc>
          <w:tcPr>
            <w:tcW w:w="24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Crossroads</w:t>
            </w:r>
          </w:p>
        </w:tc>
        <w:tc>
          <w:tcPr>
            <w:tcW w:w="25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Highland Park, IL</w:t>
            </w:r>
          </w:p>
        </w:tc>
        <w:tc>
          <w:tcPr>
            <w:tcW w:w="2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Riverpoint Center</w:t>
            </w:r>
          </w:p>
        </w:tc>
        <w:tc>
          <w:tcPr>
            <w:tcW w:w="3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Chicago, IL</w:t>
            </w:r>
          </w:p>
        </w:tc>
      </w:tr>
      <w:tr>
        <w:trPr>
          <w:trHeight w:val="237"/>
        </w:trPr>
        <w:tc>
          <w:tcPr>
            <w:tcW w:w="2480" w:type="dxa"/>
            <w:vAlign w:val="bottom"/>
          </w:tcPr>
          <w:p>
            <w:pPr>
              <w:ind w:left="620"/>
              <w:spacing w:after="0"/>
              <w:rPr>
                <w:sz w:val="20"/>
                <w:szCs w:val="20"/>
                <w:color w:val="auto"/>
              </w:rPr>
            </w:pPr>
            <w:r>
              <w:rPr>
                <w:rFonts w:ascii="Arial" w:cs="Arial" w:eastAsia="Arial" w:hAnsi="Arial"/>
                <w:sz w:val="16"/>
                <w:szCs w:val="16"/>
                <w:b w:val="1"/>
                <w:bCs w:val="1"/>
                <w:color w:val="auto"/>
              </w:rPr>
              <w:t>Darien</w:t>
            </w:r>
          </w:p>
        </w:tc>
        <w:tc>
          <w:tcPr>
            <w:tcW w:w="2540" w:type="dxa"/>
            <w:vAlign w:val="bottom"/>
          </w:tcPr>
          <w:p>
            <w:pPr>
              <w:ind w:left="760"/>
              <w:spacing w:after="0"/>
              <w:rPr>
                <w:sz w:val="20"/>
                <w:szCs w:val="20"/>
                <w:color w:val="auto"/>
              </w:rPr>
            </w:pPr>
            <w:r>
              <w:rPr>
                <w:rFonts w:ascii="Arial" w:cs="Arial" w:eastAsia="Arial" w:hAnsi="Arial"/>
                <w:sz w:val="16"/>
                <w:szCs w:val="16"/>
                <w:color w:val="auto"/>
              </w:rPr>
              <w:t>Darien, CT</w:t>
            </w:r>
          </w:p>
        </w:tc>
        <w:tc>
          <w:tcPr>
            <w:tcW w:w="2800" w:type="dxa"/>
            <w:vAlign w:val="bottom"/>
          </w:tcPr>
          <w:p>
            <w:pPr>
              <w:ind w:left="520"/>
              <w:spacing w:after="0"/>
              <w:rPr>
                <w:sz w:val="20"/>
                <w:szCs w:val="20"/>
                <w:color w:val="auto"/>
              </w:rPr>
            </w:pPr>
            <w:r>
              <w:rPr>
                <w:rFonts w:ascii="Arial" w:cs="Arial" w:eastAsia="Arial" w:hAnsi="Arial"/>
                <w:sz w:val="16"/>
                <w:szCs w:val="16"/>
                <w:b w:val="1"/>
                <w:bCs w:val="1"/>
                <w:color w:val="auto"/>
              </w:rPr>
              <w:t>The Shops at Sunset Place</w:t>
            </w:r>
          </w:p>
        </w:tc>
        <w:tc>
          <w:tcPr>
            <w:tcW w:w="3600" w:type="dxa"/>
            <w:vAlign w:val="bottom"/>
          </w:tcPr>
          <w:p>
            <w:pPr>
              <w:ind w:left="460"/>
              <w:spacing w:after="0"/>
              <w:rPr>
                <w:sz w:val="20"/>
                <w:szCs w:val="20"/>
                <w:color w:val="auto"/>
              </w:rPr>
            </w:pPr>
            <w:r>
              <w:rPr>
                <w:rFonts w:ascii="Arial" w:cs="Arial" w:eastAsia="Arial" w:hAnsi="Arial"/>
                <w:sz w:val="16"/>
                <w:szCs w:val="16"/>
                <w:color w:val="auto"/>
              </w:rPr>
              <w:t>South Miami, FL</w:t>
            </w:r>
          </w:p>
        </w:tc>
      </w:tr>
      <w:tr>
        <w:trPr>
          <w:trHeight w:val="33"/>
        </w:trPr>
        <w:tc>
          <w:tcPr>
            <w:tcW w:w="24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Dedham Plaza</w:t>
            </w:r>
          </w:p>
        </w:tc>
        <w:tc>
          <w:tcPr>
            <w:tcW w:w="25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Dedham, MA</w:t>
            </w:r>
          </w:p>
        </w:tc>
        <w:tc>
          <w:tcPr>
            <w:tcW w:w="2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Third Street Promenade</w:t>
            </w:r>
          </w:p>
        </w:tc>
        <w:tc>
          <w:tcPr>
            <w:tcW w:w="3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Santa Monica, CA</w:t>
            </w:r>
          </w:p>
        </w:tc>
      </w:tr>
      <w:tr>
        <w:trPr>
          <w:trHeight w:val="237"/>
        </w:trPr>
        <w:tc>
          <w:tcPr>
            <w:tcW w:w="2480" w:type="dxa"/>
            <w:vAlign w:val="bottom"/>
          </w:tcPr>
          <w:p>
            <w:pPr>
              <w:ind w:left="620"/>
              <w:spacing w:after="0"/>
              <w:rPr>
                <w:sz w:val="20"/>
                <w:szCs w:val="20"/>
                <w:color w:val="auto"/>
              </w:rPr>
            </w:pPr>
            <w:r>
              <w:rPr>
                <w:rFonts w:ascii="Arial" w:cs="Arial" w:eastAsia="Arial" w:hAnsi="Arial"/>
                <w:sz w:val="16"/>
                <w:szCs w:val="16"/>
                <w:b w:val="1"/>
                <w:bCs w:val="1"/>
                <w:color w:val="auto"/>
              </w:rPr>
              <w:t>Fourth Street</w:t>
            </w:r>
          </w:p>
        </w:tc>
        <w:tc>
          <w:tcPr>
            <w:tcW w:w="2540" w:type="dxa"/>
            <w:vAlign w:val="bottom"/>
          </w:tcPr>
          <w:p>
            <w:pPr>
              <w:ind w:left="760"/>
              <w:spacing w:after="0"/>
              <w:rPr>
                <w:sz w:val="20"/>
                <w:szCs w:val="20"/>
                <w:color w:val="auto"/>
              </w:rPr>
            </w:pPr>
            <w:r>
              <w:rPr>
                <w:rFonts w:ascii="Arial" w:cs="Arial" w:eastAsia="Arial" w:hAnsi="Arial"/>
                <w:sz w:val="16"/>
                <w:szCs w:val="16"/>
                <w:color w:val="auto"/>
              </w:rPr>
              <w:t>Berkeley, CA</w:t>
            </w:r>
          </w:p>
        </w:tc>
        <w:tc>
          <w:tcPr>
            <w:tcW w:w="2800" w:type="dxa"/>
            <w:vAlign w:val="bottom"/>
          </w:tcPr>
          <w:p>
            <w:pPr>
              <w:ind w:left="520"/>
              <w:spacing w:after="0"/>
              <w:rPr>
                <w:sz w:val="20"/>
                <w:szCs w:val="20"/>
                <w:color w:val="auto"/>
              </w:rPr>
            </w:pPr>
            <w:r>
              <w:rPr>
                <w:rFonts w:ascii="Arial" w:cs="Arial" w:eastAsia="Arial" w:hAnsi="Arial"/>
                <w:sz w:val="16"/>
                <w:szCs w:val="16"/>
                <w:b w:val="1"/>
                <w:bCs w:val="1"/>
                <w:color w:val="auto"/>
              </w:rPr>
              <w:t>Wildwood</w:t>
            </w:r>
          </w:p>
        </w:tc>
        <w:tc>
          <w:tcPr>
            <w:tcW w:w="3600" w:type="dxa"/>
            <w:vAlign w:val="bottom"/>
          </w:tcPr>
          <w:p>
            <w:pPr>
              <w:ind w:left="460"/>
              <w:spacing w:after="0"/>
              <w:rPr>
                <w:sz w:val="20"/>
                <w:szCs w:val="20"/>
                <w:color w:val="auto"/>
              </w:rPr>
            </w:pPr>
            <w:r>
              <w:rPr>
                <w:rFonts w:ascii="Arial" w:cs="Arial" w:eastAsia="Arial" w:hAnsi="Arial"/>
                <w:sz w:val="16"/>
                <w:szCs w:val="16"/>
                <w:color w:val="auto"/>
              </w:rPr>
              <w:t>Bethesda, MD</w:t>
            </w:r>
          </w:p>
        </w:tc>
      </w:tr>
      <w:tr>
        <w:trPr>
          <w:trHeight w:val="33"/>
        </w:trPr>
        <w:tc>
          <w:tcPr>
            <w:tcW w:w="24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37"/>
        </w:trPr>
        <w:tc>
          <w:tcPr>
            <w:tcW w:w="248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rPr>
              <w:t>Fresh Meadows</w:t>
            </w:r>
          </w:p>
        </w:tc>
        <w:tc>
          <w:tcPr>
            <w:tcW w:w="2540" w:type="dxa"/>
            <w:vAlign w:val="bottom"/>
            <w:shd w:val="clear" w:color="auto" w:fill="CCEEFF"/>
          </w:tcPr>
          <w:p>
            <w:pPr>
              <w:ind w:left="760"/>
              <w:spacing w:after="0"/>
              <w:rPr>
                <w:sz w:val="20"/>
                <w:szCs w:val="20"/>
                <w:color w:val="auto"/>
              </w:rPr>
            </w:pPr>
            <w:r>
              <w:rPr>
                <w:rFonts w:ascii="Arial" w:cs="Arial" w:eastAsia="Arial" w:hAnsi="Arial"/>
                <w:sz w:val="16"/>
                <w:szCs w:val="16"/>
                <w:color w:val="auto"/>
              </w:rPr>
              <w:t>Queens, NY</w:t>
            </w:r>
          </w:p>
        </w:tc>
        <w:tc>
          <w:tcPr>
            <w:tcW w:w="28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33"/>
        </w:trPr>
        <w:tc>
          <w:tcPr>
            <w:tcW w:w="248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7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Residential Opportunities - Opportunity to add residential units to existing retail and mixed-use properties.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ind w:left="100"/>
              <w:spacing w:after="0"/>
              <w:rPr>
                <w:sz w:val="20"/>
                <w:szCs w:val="20"/>
                <w:color w:val="auto"/>
              </w:rPr>
            </w:pPr>
            <w:r>
              <w:rPr>
                <w:rFonts w:ascii="Arial" w:cs="Arial" w:eastAsia="Arial" w:hAnsi="Arial"/>
                <w:sz w:val="16"/>
                <w:szCs w:val="16"/>
                <w:b w:val="1"/>
                <w:bCs w:val="1"/>
                <w:color w:val="auto"/>
              </w:rPr>
              <w:t>Barracks Road</w:t>
            </w:r>
          </w:p>
        </w:tc>
        <w:tc>
          <w:tcPr>
            <w:tcW w:w="2080" w:type="dxa"/>
            <w:vAlign w:val="bottom"/>
          </w:tcPr>
          <w:p>
            <w:pPr>
              <w:ind w:left="240"/>
              <w:spacing w:after="0"/>
              <w:rPr>
                <w:sz w:val="20"/>
                <w:szCs w:val="20"/>
                <w:color w:val="auto"/>
              </w:rPr>
            </w:pPr>
            <w:r>
              <w:rPr>
                <w:rFonts w:ascii="Arial" w:cs="Arial" w:eastAsia="Arial" w:hAnsi="Arial"/>
                <w:sz w:val="16"/>
                <w:szCs w:val="16"/>
                <w:color w:val="auto"/>
              </w:rPr>
              <w:t>Charlottesville, VA</w:t>
            </w:r>
          </w:p>
        </w:tc>
        <w:tc>
          <w:tcPr>
            <w:tcW w:w="3040" w:type="dxa"/>
            <w:vAlign w:val="bottom"/>
          </w:tcPr>
          <w:p>
            <w:pPr>
              <w:ind w:left="460"/>
              <w:spacing w:after="0"/>
              <w:rPr>
                <w:sz w:val="20"/>
                <w:szCs w:val="20"/>
                <w:color w:val="auto"/>
              </w:rPr>
            </w:pPr>
            <w:r>
              <w:rPr>
                <w:rFonts w:ascii="Arial" w:cs="Arial" w:eastAsia="Arial" w:hAnsi="Arial"/>
                <w:sz w:val="16"/>
                <w:szCs w:val="16"/>
                <w:b w:val="1"/>
                <w:bCs w:val="1"/>
                <w:color w:val="auto"/>
              </w:rPr>
              <w:t>Graham Park Plaza</w:t>
            </w:r>
          </w:p>
        </w:tc>
        <w:tc>
          <w:tcPr>
            <w:tcW w:w="3300" w:type="dxa"/>
            <w:vAlign w:val="bottom"/>
          </w:tcPr>
          <w:p>
            <w:pPr>
              <w:ind w:left="160"/>
              <w:spacing w:after="0"/>
              <w:rPr>
                <w:sz w:val="20"/>
                <w:szCs w:val="20"/>
                <w:color w:val="auto"/>
              </w:rPr>
            </w:pPr>
            <w:r>
              <w:rPr>
                <w:rFonts w:ascii="Arial" w:cs="Arial" w:eastAsia="Arial" w:hAnsi="Arial"/>
                <w:sz w:val="16"/>
                <w:szCs w:val="16"/>
                <w:color w:val="auto"/>
              </w:rPr>
              <w:t>Falls Church, VA</w:t>
            </w: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Bala Cynwyd</w:t>
            </w:r>
          </w:p>
        </w:tc>
        <w:tc>
          <w:tcPr>
            <w:tcW w:w="2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Bala Cynwyd, PA</w:t>
            </w:r>
          </w:p>
        </w:tc>
        <w:tc>
          <w:tcPr>
            <w:tcW w:w="3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Village at Shirlington</w:t>
            </w:r>
          </w:p>
        </w:tc>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Arlington, VA</w:t>
            </w:r>
          </w:p>
        </w:tc>
      </w:tr>
      <w:tr>
        <w:trPr>
          <w:trHeight w:val="270"/>
        </w:trPr>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580" w:type="dxa"/>
            <w:vAlign w:val="bottom"/>
            <w:gridSpan w:val="2"/>
          </w:tcPr>
          <w:p>
            <w:pPr>
              <w:spacing w:after="0"/>
              <w:rPr>
                <w:sz w:val="23"/>
                <w:szCs w:val="23"/>
                <w:color w:val="auto"/>
              </w:rPr>
            </w:pPr>
          </w:p>
        </w:tc>
        <w:tc>
          <w:tcPr>
            <w:tcW w:w="208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3300" w:type="dxa"/>
            <w:vAlign w:val="bottom"/>
          </w:tcPr>
          <w:p>
            <w:pPr>
              <w:spacing w:after="0"/>
              <w:rPr>
                <w:sz w:val="23"/>
                <w:szCs w:val="23"/>
                <w:color w:val="auto"/>
              </w:rPr>
            </w:pPr>
          </w:p>
        </w:tc>
      </w:tr>
      <w:tr>
        <w:trPr>
          <w:trHeight w:val="237"/>
        </w:trPr>
        <w:tc>
          <w:tcPr>
            <w:tcW w:w="3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Longer Term Mixed-Use Opportunities</w:t>
            </w:r>
          </w:p>
        </w:tc>
        <w:tc>
          <w:tcPr>
            <w:tcW w:w="2080" w:type="dxa"/>
            <w:vAlign w:val="bottom"/>
            <w:tcBorders>
              <w:bottom w:val="single" w:sz="8" w:color="CCEEFF"/>
            </w:tcBorders>
            <w:shd w:val="clear" w:color="auto" w:fill="CCEEFF"/>
          </w:tcPr>
          <w:p>
            <w:pPr>
              <w:spacing w:after="0"/>
              <w:rPr>
                <w:sz w:val="20"/>
                <w:szCs w:val="20"/>
                <w:color w:val="auto"/>
              </w:rPr>
            </w:pPr>
          </w:p>
        </w:tc>
        <w:tc>
          <w:tcPr>
            <w:tcW w:w="304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shd w:val="clear" w:color="auto" w:fill="CCEEFF"/>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ind w:left="100"/>
              <w:spacing w:after="0"/>
              <w:rPr>
                <w:sz w:val="20"/>
                <w:szCs w:val="20"/>
                <w:color w:val="auto"/>
              </w:rPr>
            </w:pPr>
            <w:r>
              <w:rPr>
                <w:rFonts w:ascii="Arial" w:cs="Arial" w:eastAsia="Arial" w:hAnsi="Arial"/>
                <w:sz w:val="16"/>
                <w:szCs w:val="16"/>
                <w:b w:val="1"/>
                <w:bCs w:val="1"/>
                <w:color w:val="auto"/>
              </w:rPr>
              <w:t>Assembly Row (1)</w:t>
            </w:r>
          </w:p>
        </w:tc>
        <w:tc>
          <w:tcPr>
            <w:tcW w:w="2080" w:type="dxa"/>
            <w:vAlign w:val="bottom"/>
          </w:tcPr>
          <w:p>
            <w:pPr>
              <w:ind w:left="240"/>
              <w:spacing w:after="0"/>
              <w:rPr>
                <w:sz w:val="20"/>
                <w:szCs w:val="20"/>
                <w:color w:val="auto"/>
              </w:rPr>
            </w:pPr>
            <w:r>
              <w:rPr>
                <w:rFonts w:ascii="Arial" w:cs="Arial" w:eastAsia="Arial" w:hAnsi="Arial"/>
                <w:sz w:val="16"/>
                <w:szCs w:val="16"/>
                <w:color w:val="auto"/>
              </w:rPr>
              <w:t>Somerville, MA</w:t>
            </w:r>
          </w:p>
        </w:tc>
        <w:tc>
          <w:tcPr>
            <w:tcW w:w="3040" w:type="dxa"/>
            <w:vAlign w:val="bottom"/>
          </w:tcPr>
          <w:p>
            <w:pPr>
              <w:ind w:left="460"/>
              <w:spacing w:after="0"/>
              <w:rPr>
                <w:sz w:val="20"/>
                <w:szCs w:val="20"/>
                <w:color w:val="auto"/>
              </w:rPr>
            </w:pPr>
            <w:r>
              <w:rPr>
                <w:rFonts w:ascii="Arial" w:cs="Arial" w:eastAsia="Arial" w:hAnsi="Arial"/>
                <w:sz w:val="16"/>
                <w:szCs w:val="16"/>
                <w:b w:val="1"/>
                <w:bCs w:val="1"/>
                <w:color w:val="auto"/>
              </w:rPr>
              <w:t>San Antonio Center</w:t>
            </w:r>
          </w:p>
        </w:tc>
        <w:tc>
          <w:tcPr>
            <w:tcW w:w="3300" w:type="dxa"/>
            <w:vAlign w:val="bottom"/>
          </w:tcPr>
          <w:p>
            <w:pPr>
              <w:ind w:left="160"/>
              <w:spacing w:after="0"/>
              <w:rPr>
                <w:sz w:val="20"/>
                <w:szCs w:val="20"/>
                <w:color w:val="auto"/>
              </w:rPr>
            </w:pPr>
            <w:r>
              <w:rPr>
                <w:rFonts w:ascii="Arial" w:cs="Arial" w:eastAsia="Arial" w:hAnsi="Arial"/>
                <w:sz w:val="16"/>
                <w:szCs w:val="16"/>
                <w:color w:val="auto"/>
              </w:rPr>
              <w:t>Mountain View, CA</w:t>
            </w: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Bala Cynwyd</w:t>
            </w:r>
          </w:p>
        </w:tc>
        <w:tc>
          <w:tcPr>
            <w:tcW w:w="2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Bala Cynwyd, PA</w:t>
            </w:r>
          </w:p>
        </w:tc>
        <w:tc>
          <w:tcPr>
            <w:tcW w:w="3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Santana Row (3)</w:t>
            </w:r>
          </w:p>
        </w:tc>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San Jose, CA</w:t>
            </w:r>
          </w:p>
        </w:tc>
      </w:tr>
      <w:tr>
        <w:trPr>
          <w:trHeight w:val="216"/>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040" w:type="dxa"/>
            <w:vAlign w:val="bottom"/>
          </w:tcPr>
          <w:p>
            <w:pPr>
              <w:ind w:left="460"/>
              <w:spacing w:after="0"/>
              <w:rPr>
                <w:sz w:val="20"/>
                <w:szCs w:val="20"/>
                <w:color w:val="auto"/>
              </w:rPr>
            </w:pPr>
            <w:r>
              <w:rPr>
                <w:rFonts w:ascii="Arial" w:cs="Arial" w:eastAsia="Arial" w:hAnsi="Arial"/>
                <w:sz w:val="16"/>
                <w:szCs w:val="16"/>
                <w:b w:val="1"/>
                <w:bCs w:val="1"/>
                <w:color w:val="auto"/>
                <w:w w:val="97"/>
              </w:rPr>
              <w:t>Santana Row - Winchester Theater</w:t>
            </w:r>
          </w:p>
        </w:tc>
        <w:tc>
          <w:tcPr>
            <w:tcW w:w="330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ind w:left="100"/>
              <w:spacing w:after="0"/>
              <w:rPr>
                <w:sz w:val="20"/>
                <w:szCs w:val="20"/>
                <w:color w:val="auto"/>
              </w:rPr>
            </w:pPr>
            <w:r>
              <w:rPr>
                <w:rFonts w:ascii="Arial" w:cs="Arial" w:eastAsia="Arial" w:hAnsi="Arial"/>
                <w:sz w:val="16"/>
                <w:szCs w:val="16"/>
                <w:b w:val="1"/>
                <w:bCs w:val="1"/>
                <w:color w:val="auto"/>
              </w:rPr>
              <w:t>Pike 7 Plaza</w:t>
            </w:r>
          </w:p>
        </w:tc>
        <w:tc>
          <w:tcPr>
            <w:tcW w:w="2080" w:type="dxa"/>
            <w:vAlign w:val="bottom"/>
          </w:tcPr>
          <w:p>
            <w:pPr>
              <w:ind w:left="240"/>
              <w:spacing w:after="0"/>
              <w:rPr>
                <w:sz w:val="20"/>
                <w:szCs w:val="20"/>
                <w:color w:val="auto"/>
              </w:rPr>
            </w:pPr>
            <w:r>
              <w:rPr>
                <w:rFonts w:ascii="Arial" w:cs="Arial" w:eastAsia="Arial" w:hAnsi="Arial"/>
                <w:sz w:val="16"/>
                <w:szCs w:val="16"/>
                <w:color w:val="auto"/>
              </w:rPr>
              <w:t>Vienna, VA</w:t>
            </w:r>
          </w:p>
        </w:tc>
        <w:tc>
          <w:tcPr>
            <w:tcW w:w="3040" w:type="dxa"/>
            <w:vAlign w:val="bottom"/>
          </w:tcPr>
          <w:p>
            <w:pPr>
              <w:ind w:left="460"/>
              <w:spacing w:after="0"/>
              <w:rPr>
                <w:sz w:val="20"/>
                <w:szCs w:val="20"/>
                <w:color w:val="auto"/>
              </w:rPr>
            </w:pPr>
            <w:r>
              <w:rPr>
                <w:rFonts w:ascii="Arial" w:cs="Arial" w:eastAsia="Arial" w:hAnsi="Arial"/>
                <w:sz w:val="16"/>
                <w:szCs w:val="16"/>
                <w:b w:val="1"/>
                <w:bCs w:val="1"/>
                <w:color w:val="auto"/>
              </w:rPr>
              <w:t>site (3)</w:t>
            </w:r>
          </w:p>
        </w:tc>
        <w:tc>
          <w:tcPr>
            <w:tcW w:w="3300" w:type="dxa"/>
            <w:vAlign w:val="bottom"/>
          </w:tcPr>
          <w:p>
            <w:pPr>
              <w:ind w:left="160"/>
              <w:spacing w:after="0"/>
              <w:rPr>
                <w:sz w:val="20"/>
                <w:szCs w:val="20"/>
                <w:color w:val="auto"/>
              </w:rPr>
            </w:pPr>
            <w:r>
              <w:rPr>
                <w:rFonts w:ascii="Arial" w:cs="Arial" w:eastAsia="Arial" w:hAnsi="Arial"/>
                <w:sz w:val="16"/>
                <w:szCs w:val="16"/>
                <w:color w:val="auto"/>
              </w:rPr>
              <w:t>San Jose, CA</w:t>
            </w: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Pike &amp; Rose (2)</w:t>
            </w:r>
          </w:p>
        </w:tc>
        <w:tc>
          <w:tcPr>
            <w:tcW w:w="2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North Bethesda, MD</w:t>
            </w:r>
          </w:p>
        </w:tc>
        <w:tc>
          <w:tcPr>
            <w:tcW w:w="30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3300" w:type="dxa"/>
            <w:vAlign w:val="bottom"/>
          </w:tcPr>
          <w:p>
            <w:pPr>
              <w:spacing w:after="0"/>
              <w:rPr>
                <w:sz w:val="23"/>
                <w:szCs w:val="23"/>
                <w:color w:val="auto"/>
              </w:rPr>
            </w:pPr>
          </w:p>
        </w:tc>
      </w:tr>
      <w:tr>
        <w:trPr>
          <w:trHeight w:val="230"/>
        </w:trPr>
        <w:tc>
          <w:tcPr>
            <w:tcW w:w="5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Notes:</w:t>
            </w:r>
          </w:p>
        </w:tc>
        <w:tc>
          <w:tcPr>
            <w:tcW w:w="24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19"/>
                <w:szCs w:val="19"/>
                <w:color w:val="auto"/>
              </w:rPr>
            </w:pPr>
          </w:p>
        </w:tc>
        <w:tc>
          <w:tcPr>
            <w:tcW w:w="3300" w:type="dxa"/>
            <w:vAlign w:val="bottom"/>
            <w:shd w:val="clear" w:color="auto" w:fill="CCEEFF"/>
          </w:tcPr>
          <w:p>
            <w:pPr>
              <w:spacing w:after="0"/>
              <w:rPr>
                <w:sz w:val="19"/>
                <w:szCs w:val="19"/>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480" w:type="dxa"/>
            <w:vAlign w:val="bottom"/>
          </w:tcPr>
          <w:p>
            <w:pPr>
              <w:ind w:left="100"/>
              <w:spacing w:after="0"/>
              <w:rPr>
                <w:sz w:val="20"/>
                <w:szCs w:val="20"/>
                <w:color w:val="auto"/>
              </w:rPr>
            </w:pPr>
            <w:r>
              <w:rPr>
                <w:rFonts w:ascii="Arial" w:cs="Arial" w:eastAsia="Arial" w:hAnsi="Arial"/>
                <w:sz w:val="14"/>
                <w:szCs w:val="14"/>
                <w:color w:val="auto"/>
              </w:rPr>
              <w:t>Assembly Row</w:t>
            </w:r>
          </w:p>
        </w:tc>
        <w:tc>
          <w:tcPr>
            <w:tcW w:w="8420" w:type="dxa"/>
            <w:vAlign w:val="bottom"/>
            <w:gridSpan w:val="3"/>
          </w:tcPr>
          <w:p>
            <w:pPr>
              <w:ind w:left="240"/>
              <w:spacing w:after="0"/>
              <w:rPr>
                <w:sz w:val="20"/>
                <w:szCs w:val="20"/>
                <w:color w:val="auto"/>
              </w:rPr>
            </w:pPr>
            <w:r>
              <w:rPr>
                <w:rFonts w:ascii="Arial" w:cs="Arial" w:eastAsia="Arial" w:hAnsi="Arial"/>
                <w:sz w:val="14"/>
                <w:szCs w:val="14"/>
                <w:color w:val="auto"/>
                <w:w w:val="97"/>
              </w:rPr>
              <w:t>Remaining entitlements after Phase II include approximately 2 million square feet of commercial-use buildings and 826 residential units.</w:t>
            </w:r>
          </w:p>
        </w:tc>
      </w:tr>
      <w:tr>
        <w:trPr>
          <w:trHeight w:val="209"/>
        </w:trPr>
        <w:tc>
          <w:tcPr>
            <w:tcW w:w="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Pike &amp; Rose</w:t>
            </w:r>
          </w:p>
        </w:tc>
        <w:tc>
          <w:tcPr>
            <w:tcW w:w="842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w w:val="97"/>
              </w:rPr>
              <w:t>Remaining entitlements after Phase II include approximately 1 million square feet of commercial-use buildings and 741 residential units.</w:t>
            </w:r>
          </w:p>
        </w:tc>
      </w:tr>
      <w:tr>
        <w:trPr>
          <w:trHeight w:val="157"/>
        </w:trPr>
        <w:tc>
          <w:tcPr>
            <w:tcW w:w="4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3"/>
                <w:szCs w:val="13"/>
                <w:color w:val="auto"/>
              </w:rPr>
            </w:pPr>
          </w:p>
        </w:tc>
        <w:tc>
          <w:tcPr>
            <w:tcW w:w="2480" w:type="dxa"/>
            <w:vAlign w:val="bottom"/>
          </w:tcPr>
          <w:p>
            <w:pPr>
              <w:ind w:left="100"/>
              <w:spacing w:after="0" w:line="157" w:lineRule="exact"/>
              <w:rPr>
                <w:sz w:val="20"/>
                <w:szCs w:val="20"/>
                <w:color w:val="auto"/>
              </w:rPr>
            </w:pPr>
            <w:r>
              <w:rPr>
                <w:rFonts w:ascii="Arial" w:cs="Arial" w:eastAsia="Arial" w:hAnsi="Arial"/>
                <w:sz w:val="14"/>
                <w:szCs w:val="14"/>
                <w:color w:val="auto"/>
              </w:rPr>
              <w:t>Santana Row</w:t>
            </w:r>
          </w:p>
        </w:tc>
        <w:tc>
          <w:tcPr>
            <w:tcW w:w="8420" w:type="dxa"/>
            <w:vAlign w:val="bottom"/>
            <w:gridSpan w:val="3"/>
          </w:tcPr>
          <w:p>
            <w:pPr>
              <w:ind w:left="240"/>
              <w:spacing w:after="0" w:line="157" w:lineRule="exact"/>
              <w:rPr>
                <w:sz w:val="20"/>
                <w:szCs w:val="20"/>
                <w:color w:val="auto"/>
              </w:rPr>
            </w:pPr>
            <w:r>
              <w:rPr>
                <w:rFonts w:ascii="Arial" w:cs="Arial" w:eastAsia="Arial" w:hAnsi="Arial"/>
                <w:sz w:val="14"/>
                <w:szCs w:val="14"/>
                <w:color w:val="auto"/>
                <w:w w:val="94"/>
              </w:rPr>
              <w:t>Remaining entitlements include approximately 321,000 square feet of commercial space and 395 residential units, as well as approximately</w:t>
            </w:r>
          </w:p>
        </w:tc>
      </w:tr>
      <w:tr>
        <w:trPr>
          <w:trHeight w:val="182"/>
        </w:trPr>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420" w:type="dxa"/>
            <w:vAlign w:val="bottom"/>
            <w:gridSpan w:val="3"/>
          </w:tcPr>
          <w:p>
            <w:pPr>
              <w:ind w:left="240"/>
              <w:spacing w:after="0"/>
              <w:rPr>
                <w:sz w:val="20"/>
                <w:szCs w:val="20"/>
                <w:color w:val="auto"/>
              </w:rPr>
            </w:pPr>
            <w:r>
              <w:rPr>
                <w:rFonts w:ascii="Arial" w:cs="Arial" w:eastAsia="Arial" w:hAnsi="Arial"/>
                <w:sz w:val="14"/>
                <w:szCs w:val="14"/>
                <w:color w:val="auto"/>
              </w:rPr>
              <w:t>1 million square feet of commercial space on land we control across from Santana Row.</w:t>
            </w:r>
          </w:p>
        </w:tc>
      </w:tr>
      <w:tr>
        <w:trPr>
          <w:trHeight w:val="471"/>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040" w:type="dxa"/>
            <w:vAlign w:val="bottom"/>
          </w:tcPr>
          <w:p>
            <w:pPr>
              <w:ind w:left="540"/>
              <w:spacing w:after="0"/>
              <w:rPr>
                <w:sz w:val="20"/>
                <w:szCs w:val="20"/>
                <w:color w:val="auto"/>
              </w:rPr>
            </w:pPr>
            <w:r>
              <w:rPr>
                <w:rFonts w:ascii="Arial" w:cs="Arial" w:eastAsia="Arial" w:hAnsi="Arial"/>
                <w:sz w:val="18"/>
                <w:szCs w:val="18"/>
                <w:color w:val="auto"/>
              </w:rPr>
              <w:t>18</w:t>
            </w:r>
          </w:p>
        </w:tc>
        <w:tc>
          <w:tcPr>
            <w:tcW w:w="3300" w:type="dxa"/>
            <w:vAlign w:val="bottom"/>
          </w:tcPr>
          <w:p>
            <w:pPr>
              <w:spacing w:after="0"/>
              <w:rPr>
                <w:sz w:val="24"/>
                <w:szCs w:val="24"/>
                <w:color w:val="auto"/>
              </w:rPr>
            </w:pPr>
          </w:p>
        </w:tc>
      </w:tr>
    </w:tbl>
    <w:p>
      <w:pPr>
        <w:sectPr>
          <w:pgSz w:w="11900" w:h="16838" w:orient="portrait"/>
          <w:cols w:equalWidth="0" w:num="1">
            <w:col w:w="11420"/>
          </w:cols>
          <w:pgMar w:left="240" w:top="747" w:right="239" w:bottom="1440" w:gutter="0" w:footer="0" w:header="0"/>
        </w:sectPr>
      </w:pPr>
    </w:p>
    <w:bookmarkStart w:id="23" w:name="page24"/>
    <w:bookmarkEnd w:id="23"/>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2018</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Lease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8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Grocery</w:t>
            </w:r>
          </w:p>
        </w:tc>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Obligation</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Leased</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6"/>
              </w:rPr>
              <w:t>Residential</w:t>
            </w:r>
          </w:p>
        </w:tc>
        <w:tc>
          <w:tcPr>
            <w:tcW w:w="58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2"/>
              </w:rPr>
              <w:t>Anchor</w:t>
            </w:r>
          </w:p>
        </w:tc>
        <w:tc>
          <w:tcPr>
            <w:tcW w:w="9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300" w:type="dxa"/>
            <w:vAlign w:val="bottom"/>
          </w:tcPr>
          <w:p>
            <w:pPr>
              <w:spacing w:after="0"/>
              <w:rPr>
                <w:sz w:val="11"/>
                <w:szCs w:val="11"/>
                <w:color w:val="auto"/>
              </w:rPr>
            </w:pPr>
          </w:p>
        </w:tc>
      </w:tr>
      <w:tr>
        <w:trPr>
          <w:trHeight w:val="174"/>
        </w:trPr>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Property Name</w:t>
            </w:r>
          </w:p>
        </w:tc>
        <w:tc>
          <w:tcPr>
            <w:tcW w:w="3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MSA Description</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Acreage</w:t>
            </w:r>
          </w:p>
        </w:tc>
        <w:tc>
          <w:tcPr>
            <w:tcW w:w="7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GLA (2)</w:t>
            </w:r>
          </w:p>
        </w:tc>
        <w:tc>
          <w:tcPr>
            <w:tcW w:w="4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w:t>
            </w: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Units</w:t>
            </w: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4"/>
              </w:rPr>
              <w:t>GLA</w:t>
            </w: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3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600" w:type="dxa"/>
            <w:vAlign w:val="bottom"/>
            <w:gridSpan w:val="5"/>
            <w:shd w:val="clear" w:color="auto" w:fill="CCEEFF"/>
          </w:tcPr>
          <w:p>
            <w:pPr>
              <w:ind w:left="60"/>
              <w:spacing w:after="0"/>
              <w:rPr>
                <w:sz w:val="20"/>
                <w:szCs w:val="20"/>
                <w:color w:val="auto"/>
              </w:rPr>
            </w:pPr>
            <w:r>
              <w:rPr>
                <w:rFonts w:ascii="Arial" w:cs="Arial" w:eastAsia="Arial" w:hAnsi="Arial"/>
                <w:sz w:val="13"/>
                <w:szCs w:val="13"/>
                <w:b w:val="1"/>
                <w:bCs w:val="1"/>
                <w:color w:val="auto"/>
              </w:rPr>
              <w:t>Washington Metropolitan Area</w:t>
            </w: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8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c>
          <w:tcPr>
            <w:tcW w:w="2300" w:type="dxa"/>
            <w:vAlign w:val="bottom"/>
            <w:tcBorders>
              <w:top w:val="single" w:sz="8" w:color="CCEEFF"/>
            </w:tcBorders>
            <w:shd w:val="clear" w:color="auto" w:fill="CCEEFF"/>
          </w:tcPr>
          <w:p>
            <w:pPr>
              <w:spacing w:after="0"/>
              <w:rPr>
                <w:sz w:val="8"/>
                <w:szCs w:val="8"/>
                <w:color w:val="auto"/>
              </w:rPr>
            </w:pPr>
          </w:p>
        </w:tc>
      </w:tr>
      <w:tr>
        <w:trPr>
          <w:trHeight w:val="173"/>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Barcroft Plaza</w:t>
            </w:r>
          </w:p>
        </w:tc>
        <w:tc>
          <w:tcPr>
            <w:tcW w:w="320" w:type="dxa"/>
            <w:vAlign w:val="bottom"/>
          </w:tcPr>
          <w:p>
            <w:pPr>
              <w:spacing w:after="0"/>
              <w:rPr>
                <w:sz w:val="15"/>
                <w:szCs w:val="15"/>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w w:val="96"/>
              </w:rPr>
              <w:t>$   46,411</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115,000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90%</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46,000</w:t>
            </w:r>
          </w:p>
        </w:tc>
        <w:tc>
          <w:tcPr>
            <w:tcW w:w="900" w:type="dxa"/>
            <w:vAlign w:val="bottom"/>
          </w:tcPr>
          <w:p>
            <w:pPr>
              <w:ind w:left="80"/>
              <w:spacing w:after="0"/>
              <w:rPr>
                <w:sz w:val="20"/>
                <w:szCs w:val="20"/>
                <w:color w:val="auto"/>
              </w:rPr>
            </w:pPr>
            <w:r>
              <w:rPr>
                <w:rFonts w:ascii="Arial" w:cs="Arial" w:eastAsia="Arial" w:hAnsi="Arial"/>
                <w:sz w:val="13"/>
                <w:szCs w:val="13"/>
                <w:color w:val="auto"/>
              </w:rPr>
              <w:t>Harris Teeter</w:t>
            </w:r>
          </w:p>
        </w:tc>
        <w:tc>
          <w:tcPr>
            <w:tcW w:w="2300" w:type="dxa"/>
            <w:vAlign w:val="bottom"/>
          </w:tcPr>
          <w:p>
            <w:pPr>
              <w:spacing w:after="0"/>
              <w:rPr>
                <w:sz w:val="15"/>
                <w:szCs w:val="15"/>
                <w:color w:val="auto"/>
              </w:rPr>
            </w:pP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73"/>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Bethesda Row</w:t>
            </w:r>
          </w:p>
        </w:tc>
        <w:tc>
          <w:tcPr>
            <w:tcW w:w="3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227,453</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534,000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180</w:t>
            </w: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40,000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Apple / Equinox / Multiple Restaurants</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Congressional Plaza</w:t>
            </w:r>
          </w:p>
        </w:tc>
        <w:tc>
          <w:tcPr>
            <w:tcW w:w="3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w:t>
            </w: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102,802</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325,000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194</w:t>
            </w: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25,000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The Fresh</w:t>
            </w: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w w:val="91"/>
              </w:rPr>
              <w:t>Buy Buy Baby / Saks Fifth Avenue Off 5th</w:t>
            </w: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3"/>
                <w:szCs w:val="13"/>
                <w:color w:val="auto"/>
              </w:rPr>
              <w:t>Market</w:t>
            </w:r>
          </w:p>
        </w:tc>
        <w:tc>
          <w:tcPr>
            <w:tcW w:w="2300" w:type="dxa"/>
            <w:vAlign w:val="bottom"/>
          </w:tcPr>
          <w:p>
            <w:pPr>
              <w:ind w:left="80"/>
              <w:spacing w:after="0" w:line="135" w:lineRule="exact"/>
              <w:rPr>
                <w:sz w:val="20"/>
                <w:szCs w:val="20"/>
                <w:color w:val="auto"/>
              </w:rPr>
            </w:pPr>
            <w:r>
              <w:rPr>
                <w:rFonts w:ascii="Arial" w:cs="Arial" w:eastAsia="Arial" w:hAnsi="Arial"/>
                <w:sz w:val="13"/>
                <w:szCs w:val="13"/>
                <w:color w:val="auto"/>
              </w:rPr>
              <w:t>/ Container Store / Last Call Studio by</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ind w:left="80"/>
              <w:spacing w:after="0"/>
              <w:rPr>
                <w:sz w:val="20"/>
                <w:szCs w:val="20"/>
                <w:color w:val="auto"/>
              </w:rPr>
            </w:pPr>
            <w:r>
              <w:rPr>
                <w:rFonts w:ascii="Arial" w:cs="Arial" w:eastAsia="Arial" w:hAnsi="Arial"/>
                <w:sz w:val="13"/>
                <w:szCs w:val="13"/>
                <w:color w:val="auto"/>
              </w:rPr>
              <w:t>Neiman Marcus</w:t>
            </w:r>
          </w:p>
        </w:tc>
      </w:tr>
      <w:tr>
        <w:trPr>
          <w:trHeight w:val="181"/>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Courthouse Center</w:t>
            </w:r>
          </w:p>
        </w:tc>
        <w:tc>
          <w:tcPr>
            <w:tcW w:w="3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5,596</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w w:val="93"/>
              </w:rPr>
              <w:t>Falls Plaza/Falls Plaza-</w:t>
            </w:r>
          </w:p>
        </w:tc>
        <w:tc>
          <w:tcPr>
            <w:tcW w:w="320" w:type="dxa"/>
            <w:vAlign w:val="bottom"/>
          </w:tcPr>
          <w:p>
            <w:pPr>
              <w:spacing w:after="0"/>
              <w:rPr>
                <w:sz w:val="12"/>
                <w:szCs w:val="12"/>
                <w:color w:val="auto"/>
              </w:rPr>
            </w:pP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14,021</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10</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144,000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51,000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rPr>
              <w:t>CVS / Staples</w:t>
            </w:r>
          </w:p>
        </w:tc>
      </w:tr>
      <w:tr>
        <w:trPr>
          <w:trHeight w:val="168"/>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East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56"/>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Federal Plaza</w:t>
            </w:r>
          </w:p>
        </w:tc>
        <w:tc>
          <w:tcPr>
            <w:tcW w:w="320" w:type="dxa"/>
            <w:vAlign w:val="bottom"/>
            <w:shd w:val="clear" w:color="auto" w:fill="CCEEFF"/>
          </w:tcPr>
          <w:p>
            <w:pPr>
              <w:spacing w:after="0"/>
              <w:rPr>
                <w:sz w:val="13"/>
                <w:szCs w:val="13"/>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69,982</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249,000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14,000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Trader Joe's</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3"/>
              </w:rPr>
              <w:t>TJ Maxx / Micro Center / Ross Dress For</w:t>
            </w: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Less</w:t>
            </w: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Free State Shopping</w:t>
            </w:r>
          </w:p>
        </w:tc>
        <w:tc>
          <w:tcPr>
            <w:tcW w:w="320" w:type="dxa"/>
            <w:vAlign w:val="bottom"/>
          </w:tcPr>
          <w:p>
            <w:pPr>
              <w:spacing w:after="0"/>
              <w:rPr>
                <w:sz w:val="12"/>
                <w:szCs w:val="12"/>
                <w:color w:val="auto"/>
              </w:rPr>
            </w:pP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64,964</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29</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264,000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73,000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w w:val="97"/>
              </w:rPr>
              <w:t>TJ Maxx / Ross Dress For Less / Office</w:t>
            </w:r>
          </w:p>
        </w:tc>
      </w:tr>
      <w:tr>
        <w:trPr>
          <w:trHeight w:val="168"/>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Center</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ind w:left="80"/>
              <w:spacing w:after="0"/>
              <w:rPr>
                <w:sz w:val="20"/>
                <w:szCs w:val="20"/>
                <w:color w:val="auto"/>
              </w:rPr>
            </w:pPr>
            <w:r>
              <w:rPr>
                <w:rFonts w:ascii="Arial" w:cs="Arial" w:eastAsia="Arial" w:hAnsi="Arial"/>
                <w:sz w:val="13"/>
                <w:szCs w:val="13"/>
                <w:color w:val="auto"/>
              </w:rPr>
              <w:t>Depot</w:t>
            </w:r>
          </w:p>
        </w:tc>
      </w:tr>
      <w:tr>
        <w:trPr>
          <w:trHeight w:val="156"/>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Friendship Center</w:t>
            </w:r>
          </w:p>
        </w:tc>
        <w:tc>
          <w:tcPr>
            <w:tcW w:w="320" w:type="dxa"/>
            <w:vAlign w:val="bottom"/>
            <w:shd w:val="clear" w:color="auto" w:fill="CCEEFF"/>
          </w:tcPr>
          <w:p>
            <w:pPr>
              <w:spacing w:after="0"/>
              <w:rPr>
                <w:sz w:val="13"/>
                <w:szCs w:val="13"/>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38,102</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119,000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Marshalls / Nordstrom Rack / DSW /</w:t>
            </w: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Maggiano's</w:t>
            </w: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Gaithersburg Square</w:t>
            </w:r>
          </w:p>
        </w:tc>
        <w:tc>
          <w:tcPr>
            <w:tcW w:w="320" w:type="dxa"/>
            <w:vAlign w:val="bottom"/>
          </w:tcPr>
          <w:p>
            <w:pPr>
              <w:spacing w:after="0"/>
              <w:rPr>
                <w:sz w:val="12"/>
                <w:szCs w:val="12"/>
                <w:color w:val="auto"/>
              </w:rPr>
            </w:pP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28,363</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16</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207,000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w w:val="88"/>
              </w:rPr>
              <w:t>Bed, Bath &amp; Beyond / Ross Dress For Less</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ind w:left="80"/>
              <w:spacing w:after="0"/>
              <w:rPr>
                <w:sz w:val="20"/>
                <w:szCs w:val="20"/>
                <w:color w:val="auto"/>
              </w:rPr>
            </w:pPr>
            <w:r>
              <w:rPr>
                <w:rFonts w:ascii="Arial" w:cs="Arial" w:eastAsia="Arial" w:hAnsi="Arial"/>
                <w:sz w:val="13"/>
                <w:szCs w:val="13"/>
                <w:color w:val="auto"/>
              </w:rPr>
              <w:t>/ Ashley Furniture HomeStore</w:t>
            </w:r>
          </w:p>
        </w:tc>
      </w:tr>
      <w:tr>
        <w:trPr>
          <w:trHeight w:val="181"/>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Graham Park Plaza</w:t>
            </w:r>
          </w:p>
        </w:tc>
        <w:tc>
          <w:tcPr>
            <w:tcW w:w="3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35,687</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261,000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58,000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CVS</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73"/>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Idylwood Plaza</w:t>
            </w:r>
          </w:p>
        </w:tc>
        <w:tc>
          <w:tcPr>
            <w:tcW w:w="320" w:type="dxa"/>
            <w:vAlign w:val="bottom"/>
          </w:tcPr>
          <w:p>
            <w:pPr>
              <w:spacing w:after="0"/>
              <w:rPr>
                <w:sz w:val="15"/>
                <w:szCs w:val="15"/>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16,915</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73,000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95%</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30,000</w:t>
            </w:r>
          </w:p>
        </w:tc>
        <w:tc>
          <w:tcPr>
            <w:tcW w:w="900" w:type="dxa"/>
            <w:vAlign w:val="bottom"/>
          </w:tcPr>
          <w:p>
            <w:pPr>
              <w:ind w:left="80"/>
              <w:spacing w:after="0"/>
              <w:rPr>
                <w:sz w:val="20"/>
                <w:szCs w:val="20"/>
                <w:color w:val="auto"/>
              </w:rPr>
            </w:pPr>
            <w:r>
              <w:rPr>
                <w:rFonts w:ascii="Arial" w:cs="Arial" w:eastAsia="Arial" w:hAnsi="Arial"/>
                <w:sz w:val="13"/>
                <w:szCs w:val="13"/>
                <w:color w:val="auto"/>
              </w:rPr>
              <w:t>Whole Foods</w:t>
            </w:r>
          </w:p>
        </w:tc>
        <w:tc>
          <w:tcPr>
            <w:tcW w:w="2300" w:type="dxa"/>
            <w:vAlign w:val="bottom"/>
          </w:tcPr>
          <w:p>
            <w:pPr>
              <w:spacing w:after="0"/>
              <w:rPr>
                <w:sz w:val="15"/>
                <w:szCs w:val="15"/>
                <w:color w:val="auto"/>
              </w:rPr>
            </w:pP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73"/>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Laurel</w:t>
            </w:r>
          </w:p>
        </w:tc>
        <w:tc>
          <w:tcPr>
            <w:tcW w:w="3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57,596</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389,000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61,000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Marshalls / L.A. Fitness</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73"/>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Leesburg Plaza</w:t>
            </w:r>
          </w:p>
        </w:tc>
        <w:tc>
          <w:tcPr>
            <w:tcW w:w="320" w:type="dxa"/>
            <w:vAlign w:val="bottom"/>
          </w:tcPr>
          <w:p>
            <w:pPr>
              <w:spacing w:after="0"/>
              <w:rPr>
                <w:sz w:val="15"/>
                <w:szCs w:val="15"/>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36,754</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236,000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94%</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55,000</w:t>
            </w:r>
          </w:p>
        </w:tc>
        <w:tc>
          <w:tcPr>
            <w:tcW w:w="90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2300" w:type="dxa"/>
            <w:vAlign w:val="bottom"/>
          </w:tcPr>
          <w:p>
            <w:pPr>
              <w:ind w:left="80"/>
              <w:spacing w:after="0"/>
              <w:rPr>
                <w:sz w:val="20"/>
                <w:szCs w:val="20"/>
                <w:color w:val="auto"/>
              </w:rPr>
            </w:pPr>
            <w:r>
              <w:rPr>
                <w:rFonts w:ascii="Arial" w:cs="Arial" w:eastAsia="Arial" w:hAnsi="Arial"/>
                <w:sz w:val="13"/>
                <w:szCs w:val="13"/>
                <w:color w:val="auto"/>
              </w:rPr>
              <w:t>Petsmart / Gold's Gym / Office Depot</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48"/>
        </w:trPr>
        <w:tc>
          <w:tcPr>
            <w:tcW w:w="130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Montrose Crossing</w:t>
            </w:r>
          </w:p>
        </w:tc>
        <w:tc>
          <w:tcPr>
            <w:tcW w:w="3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w:t>
            </w:r>
          </w:p>
        </w:tc>
        <w:tc>
          <w:tcPr>
            <w:tcW w:w="2000" w:type="dxa"/>
            <w:vAlign w:val="bottom"/>
            <w:gridSpan w:val="2"/>
            <w:shd w:val="clear" w:color="auto" w:fill="CCEEFF"/>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161,033</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70,191</w:t>
            </w: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36</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364,000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90%</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73,000</w:t>
            </w:r>
          </w:p>
        </w:tc>
        <w:tc>
          <w:tcPr>
            <w:tcW w:w="9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Giant Food</w:t>
            </w:r>
          </w:p>
        </w:tc>
        <w:tc>
          <w:tcPr>
            <w:tcW w:w="23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96"/>
              </w:rPr>
              <w:t>Marshalls / Old Navy / Barnes &amp; Noble /</w:t>
            </w: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Bob's Discount Furniture</w:t>
            </w: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Mount Vernon/South</w:t>
            </w:r>
          </w:p>
        </w:tc>
        <w:tc>
          <w:tcPr>
            <w:tcW w:w="3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(5)</w:t>
            </w: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84,992</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29</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571,000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62,000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w w:val="89"/>
              </w:rPr>
              <w:t>Shoppers Food</w:t>
            </w: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rPr>
              <w:t>TJ Maxx / Home Depot / Bed, Bath &amp;</w:t>
            </w:r>
          </w:p>
        </w:tc>
      </w:tr>
      <w:tr>
        <w:trPr>
          <w:trHeight w:val="135"/>
        </w:trPr>
        <w:tc>
          <w:tcPr>
            <w:tcW w:w="1300" w:type="dxa"/>
            <w:vAlign w:val="bottom"/>
            <w:gridSpan w:val="3"/>
          </w:tcPr>
          <w:p>
            <w:pPr>
              <w:ind w:left="20"/>
              <w:spacing w:after="0" w:line="135" w:lineRule="exact"/>
              <w:rPr>
                <w:sz w:val="20"/>
                <w:szCs w:val="20"/>
                <w:color w:val="auto"/>
              </w:rPr>
            </w:pPr>
            <w:r>
              <w:rPr>
                <w:rFonts w:ascii="Arial" w:cs="Arial" w:eastAsia="Arial" w:hAnsi="Arial"/>
                <w:sz w:val="13"/>
                <w:szCs w:val="13"/>
                <w:color w:val="auto"/>
                <w:w w:val="96"/>
              </w:rPr>
              <w:t>Valley/7770 Richmond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3"/>
                <w:szCs w:val="13"/>
                <w:color w:val="auto"/>
              </w:rPr>
              <w:t>Warehouse</w:t>
            </w:r>
          </w:p>
        </w:tc>
        <w:tc>
          <w:tcPr>
            <w:tcW w:w="2300" w:type="dxa"/>
            <w:vAlign w:val="bottom"/>
          </w:tcPr>
          <w:p>
            <w:pPr>
              <w:ind w:left="80"/>
              <w:spacing w:after="0" w:line="135" w:lineRule="exact"/>
              <w:rPr>
                <w:sz w:val="20"/>
                <w:szCs w:val="20"/>
                <w:color w:val="auto"/>
              </w:rPr>
            </w:pPr>
            <w:r>
              <w:rPr>
                <w:rFonts w:ascii="Arial" w:cs="Arial" w:eastAsia="Arial" w:hAnsi="Arial"/>
                <w:sz w:val="13"/>
                <w:szCs w:val="13"/>
                <w:color w:val="auto"/>
              </w:rPr>
              <w:t>Beyond / Results Fitness</w:t>
            </w:r>
          </w:p>
        </w:tc>
      </w:tr>
      <w:tr>
        <w:trPr>
          <w:trHeight w:val="168"/>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Hwy</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81"/>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Old Keene Mill</w:t>
            </w:r>
          </w:p>
        </w:tc>
        <w:tc>
          <w:tcPr>
            <w:tcW w:w="3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8,145</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92,000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24,000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Whole Foods</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Walgreens / Planet Fitness</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73"/>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Pan Am</w:t>
            </w:r>
          </w:p>
        </w:tc>
        <w:tc>
          <w:tcPr>
            <w:tcW w:w="320" w:type="dxa"/>
            <w:vAlign w:val="bottom"/>
          </w:tcPr>
          <w:p>
            <w:pPr>
              <w:spacing w:after="0"/>
              <w:rPr>
                <w:sz w:val="15"/>
                <w:szCs w:val="15"/>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29,359</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226,000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100%</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65,000</w:t>
            </w:r>
          </w:p>
        </w:tc>
        <w:tc>
          <w:tcPr>
            <w:tcW w:w="900" w:type="dxa"/>
            <w:vAlign w:val="bottom"/>
          </w:tcPr>
          <w:p>
            <w:pPr>
              <w:ind w:left="80"/>
              <w:spacing w:after="0"/>
              <w:rPr>
                <w:sz w:val="20"/>
                <w:szCs w:val="20"/>
                <w:color w:val="auto"/>
              </w:rPr>
            </w:pPr>
            <w:r>
              <w:rPr>
                <w:rFonts w:ascii="Arial" w:cs="Arial" w:eastAsia="Arial" w:hAnsi="Arial"/>
                <w:sz w:val="13"/>
                <w:szCs w:val="13"/>
                <w:color w:val="auto"/>
              </w:rPr>
              <w:t>Safeway</w:t>
            </w:r>
          </w:p>
        </w:tc>
        <w:tc>
          <w:tcPr>
            <w:tcW w:w="2300" w:type="dxa"/>
            <w:vAlign w:val="bottom"/>
          </w:tcPr>
          <w:p>
            <w:pPr>
              <w:ind w:left="80"/>
              <w:spacing w:after="0"/>
              <w:rPr>
                <w:sz w:val="20"/>
                <w:szCs w:val="20"/>
                <w:color w:val="auto"/>
              </w:rPr>
            </w:pPr>
            <w:r>
              <w:rPr>
                <w:rFonts w:ascii="Arial" w:cs="Arial" w:eastAsia="Arial" w:hAnsi="Arial"/>
                <w:sz w:val="13"/>
                <w:szCs w:val="13"/>
                <w:color w:val="auto"/>
              </w:rPr>
              <w:t>Micro Center / CVS / Michaels</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73"/>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Pentagon Row</w:t>
            </w:r>
          </w:p>
        </w:tc>
        <w:tc>
          <w:tcPr>
            <w:tcW w:w="3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104,235</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299,000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45,000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Harris Teeter</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TJ Maxx / Bed, Bath &amp; Beyond / DSW</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Pike &amp; Rose</w:t>
            </w:r>
          </w:p>
        </w:tc>
        <w:tc>
          <w:tcPr>
            <w:tcW w:w="3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w:t>
            </w: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566,369</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24</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417,000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765</w:t>
            </w: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rPr>
              <w:t>iPic Theater / Porsche / H &amp; M / REI /</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ind w:left="80"/>
              <w:spacing w:after="0"/>
              <w:rPr>
                <w:sz w:val="20"/>
                <w:szCs w:val="20"/>
                <w:color w:val="auto"/>
              </w:rPr>
            </w:pPr>
            <w:r>
              <w:rPr>
                <w:rFonts w:ascii="Arial" w:cs="Arial" w:eastAsia="Arial" w:hAnsi="Arial"/>
                <w:sz w:val="13"/>
                <w:szCs w:val="13"/>
                <w:color w:val="auto"/>
              </w:rPr>
              <w:t>Pinstripes / Multiple Restaurants</w:t>
            </w:r>
          </w:p>
        </w:tc>
      </w:tr>
      <w:tr>
        <w:trPr>
          <w:trHeight w:val="181"/>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Pike 7 Plaza</w:t>
            </w:r>
          </w:p>
        </w:tc>
        <w:tc>
          <w:tcPr>
            <w:tcW w:w="3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47,291</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164,000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0"/>
              </w:rPr>
              <w:t>TJ Maxx / DSW / Crunch Fitness / Staples</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73"/>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Plaza del Mercado</w:t>
            </w:r>
          </w:p>
        </w:tc>
        <w:tc>
          <w:tcPr>
            <w:tcW w:w="320" w:type="dxa"/>
            <w:vAlign w:val="bottom"/>
          </w:tcPr>
          <w:p>
            <w:pPr>
              <w:spacing w:after="0"/>
              <w:rPr>
                <w:sz w:val="15"/>
                <w:szCs w:val="15"/>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46,258</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117,000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93%</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18,000</w:t>
            </w:r>
          </w:p>
        </w:tc>
        <w:tc>
          <w:tcPr>
            <w:tcW w:w="900" w:type="dxa"/>
            <w:vAlign w:val="bottom"/>
          </w:tcPr>
          <w:p>
            <w:pPr>
              <w:ind w:left="80"/>
              <w:spacing w:after="0"/>
              <w:rPr>
                <w:sz w:val="20"/>
                <w:szCs w:val="20"/>
                <w:color w:val="auto"/>
              </w:rPr>
            </w:pPr>
            <w:r>
              <w:rPr>
                <w:rFonts w:ascii="Arial" w:cs="Arial" w:eastAsia="Arial" w:hAnsi="Arial"/>
                <w:sz w:val="13"/>
                <w:szCs w:val="13"/>
                <w:color w:val="auto"/>
              </w:rPr>
              <w:t>Aldi</w:t>
            </w:r>
          </w:p>
        </w:tc>
        <w:tc>
          <w:tcPr>
            <w:tcW w:w="2300" w:type="dxa"/>
            <w:vAlign w:val="bottom"/>
          </w:tcPr>
          <w:p>
            <w:pPr>
              <w:ind w:left="80"/>
              <w:spacing w:after="0"/>
              <w:rPr>
                <w:sz w:val="20"/>
                <w:szCs w:val="20"/>
                <w:color w:val="auto"/>
              </w:rPr>
            </w:pPr>
            <w:r>
              <w:rPr>
                <w:rFonts w:ascii="Arial" w:cs="Arial" w:eastAsia="Arial" w:hAnsi="Arial"/>
                <w:sz w:val="13"/>
                <w:szCs w:val="13"/>
                <w:color w:val="auto"/>
              </w:rPr>
              <w:t>CVS / L.A. Fitness</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73"/>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Quince Orchard</w:t>
            </w:r>
          </w:p>
        </w:tc>
        <w:tc>
          <w:tcPr>
            <w:tcW w:w="3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38,787</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267,000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19,000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Aldi</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HomeGoods / L.A. Fitness / Staples</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w w:val="94"/>
              </w:rPr>
              <w:t>Rockville Town Square</w:t>
            </w:r>
          </w:p>
        </w:tc>
        <w:tc>
          <w:tcPr>
            <w:tcW w:w="3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w:t>
            </w: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51,834</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4,446</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186,000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25,000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Dawson's</w:t>
            </w: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w w:val="93"/>
              </w:rPr>
              <w:t>CVS / Gold's Gym / Multiple Restaurants</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Arial" w:cs="Arial" w:eastAsia="Arial" w:hAnsi="Arial"/>
                <w:sz w:val="13"/>
                <w:szCs w:val="13"/>
                <w:color w:val="auto"/>
              </w:rPr>
              <w:t>Market</w:t>
            </w:r>
          </w:p>
        </w:tc>
        <w:tc>
          <w:tcPr>
            <w:tcW w:w="2300" w:type="dxa"/>
            <w:vAlign w:val="bottom"/>
          </w:tcPr>
          <w:p>
            <w:pPr>
              <w:spacing w:after="0"/>
              <w:rPr>
                <w:sz w:val="14"/>
                <w:szCs w:val="14"/>
                <w:color w:val="auto"/>
              </w:rPr>
            </w:pPr>
          </w:p>
        </w:tc>
      </w:tr>
      <w:tr>
        <w:trPr>
          <w:trHeight w:val="156"/>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Rollingwood</w:t>
            </w:r>
          </w:p>
        </w:tc>
        <w:tc>
          <w:tcPr>
            <w:tcW w:w="320" w:type="dxa"/>
            <w:vAlign w:val="bottom"/>
            <w:shd w:val="clear" w:color="auto" w:fill="CCEEFF"/>
          </w:tcPr>
          <w:p>
            <w:pPr>
              <w:spacing w:after="0"/>
              <w:rPr>
                <w:sz w:val="13"/>
                <w:szCs w:val="13"/>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10,869</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20,578</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N/A</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282</w:t>
            </w: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r>
      <w:tr>
        <w:trPr>
          <w:trHeight w:val="176"/>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Apartments</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173"/>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Sam's Park &amp; Shop</w:t>
            </w:r>
          </w:p>
        </w:tc>
        <w:tc>
          <w:tcPr>
            <w:tcW w:w="320" w:type="dxa"/>
            <w:vAlign w:val="bottom"/>
          </w:tcPr>
          <w:p>
            <w:pPr>
              <w:spacing w:after="0"/>
              <w:rPr>
                <w:sz w:val="15"/>
                <w:szCs w:val="15"/>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13,744</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50,000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89%</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48"/>
        </w:trPr>
        <w:tc>
          <w:tcPr>
            <w:tcW w:w="130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Tower Shopping</w:t>
            </w:r>
          </w:p>
        </w:tc>
        <w:tc>
          <w:tcPr>
            <w:tcW w:w="32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22,049</w:t>
            </w: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112,000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86%</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26,000</w:t>
            </w:r>
          </w:p>
        </w:tc>
        <w:tc>
          <w:tcPr>
            <w:tcW w:w="9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L.A. Mart</w:t>
            </w:r>
          </w:p>
        </w:tc>
        <w:tc>
          <w:tcPr>
            <w:tcW w:w="23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Talbots / Total Wine &amp; More</w:t>
            </w:r>
          </w:p>
        </w:tc>
      </w:tr>
      <w:tr>
        <w:trPr>
          <w:trHeight w:val="176"/>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Center</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173"/>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Tyson's Station</w:t>
            </w:r>
          </w:p>
        </w:tc>
        <w:tc>
          <w:tcPr>
            <w:tcW w:w="320" w:type="dxa"/>
            <w:vAlign w:val="bottom"/>
          </w:tcPr>
          <w:p>
            <w:pPr>
              <w:spacing w:after="0"/>
              <w:rPr>
                <w:sz w:val="15"/>
                <w:szCs w:val="15"/>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4,669</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50,000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87%</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11,000</w:t>
            </w:r>
          </w:p>
        </w:tc>
        <w:tc>
          <w:tcPr>
            <w:tcW w:w="900" w:type="dxa"/>
            <w:vAlign w:val="bottom"/>
          </w:tcPr>
          <w:p>
            <w:pPr>
              <w:ind w:left="80"/>
              <w:spacing w:after="0"/>
              <w:rPr>
                <w:sz w:val="20"/>
                <w:szCs w:val="20"/>
                <w:color w:val="auto"/>
              </w:rPr>
            </w:pPr>
            <w:r>
              <w:rPr>
                <w:rFonts w:ascii="Arial" w:cs="Arial" w:eastAsia="Arial" w:hAnsi="Arial"/>
                <w:sz w:val="13"/>
                <w:szCs w:val="13"/>
                <w:color w:val="auto"/>
              </w:rPr>
              <w:t>Trader Joe's</w:t>
            </w:r>
          </w:p>
        </w:tc>
        <w:tc>
          <w:tcPr>
            <w:tcW w:w="2300" w:type="dxa"/>
            <w:vAlign w:val="bottom"/>
          </w:tcPr>
          <w:p>
            <w:pPr>
              <w:spacing w:after="0"/>
              <w:rPr>
                <w:sz w:val="15"/>
                <w:szCs w:val="15"/>
                <w:color w:val="auto"/>
              </w:rPr>
            </w:pP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73"/>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Village at Shirlington</w:t>
            </w:r>
          </w:p>
        </w:tc>
        <w:tc>
          <w:tcPr>
            <w:tcW w:w="3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65,003</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6,674</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264,000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28,000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Harris Teeter</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AMC / Carlyle Grand Café</w:t>
            </w: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73"/>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Wildwood</w:t>
            </w:r>
          </w:p>
        </w:tc>
        <w:tc>
          <w:tcPr>
            <w:tcW w:w="320" w:type="dxa"/>
            <w:vAlign w:val="bottom"/>
          </w:tcPr>
          <w:p>
            <w:pPr>
              <w:spacing w:after="0"/>
              <w:rPr>
                <w:sz w:val="15"/>
                <w:szCs w:val="15"/>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20,778</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83,000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96%</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20,000</w:t>
            </w:r>
          </w:p>
        </w:tc>
        <w:tc>
          <w:tcPr>
            <w:tcW w:w="900" w:type="dxa"/>
            <w:vAlign w:val="bottom"/>
          </w:tcPr>
          <w:p>
            <w:pPr>
              <w:ind w:left="80"/>
              <w:spacing w:after="0"/>
              <w:rPr>
                <w:sz w:val="20"/>
                <w:szCs w:val="20"/>
                <w:color w:val="auto"/>
              </w:rPr>
            </w:pPr>
            <w:r>
              <w:rPr>
                <w:rFonts w:ascii="Arial" w:cs="Arial" w:eastAsia="Arial" w:hAnsi="Arial"/>
                <w:sz w:val="13"/>
                <w:szCs w:val="13"/>
                <w:color w:val="auto"/>
              </w:rPr>
              <w:t>Balducci's</w:t>
            </w:r>
          </w:p>
        </w:tc>
        <w:tc>
          <w:tcPr>
            <w:tcW w:w="2300" w:type="dxa"/>
            <w:vAlign w:val="bottom"/>
          </w:tcPr>
          <w:p>
            <w:pPr>
              <w:ind w:left="80"/>
              <w:spacing w:after="0"/>
              <w:rPr>
                <w:sz w:val="20"/>
                <w:szCs w:val="20"/>
                <w:color w:val="auto"/>
              </w:rPr>
            </w:pPr>
            <w:r>
              <w:rPr>
                <w:rFonts w:ascii="Arial" w:cs="Arial" w:eastAsia="Arial" w:hAnsi="Arial"/>
                <w:sz w:val="13"/>
                <w:szCs w:val="13"/>
                <w:color w:val="auto"/>
              </w:rPr>
              <w:t>CVS</w:t>
            </w:r>
          </w:p>
        </w:tc>
      </w:tr>
      <w:tr>
        <w:trPr>
          <w:trHeight w:val="97"/>
        </w:trPr>
        <w:tc>
          <w:tcPr>
            <w:tcW w:w="20" w:type="dxa"/>
            <w:vAlign w:val="bottom"/>
            <w:tcBorders>
              <w:bottom w:val="single" w:sz="8" w:color="CCEEFF"/>
            </w:tcBorders>
          </w:tcPr>
          <w:p>
            <w:pPr>
              <w:spacing w:after="0"/>
              <w:rPr>
                <w:sz w:val="8"/>
                <w:szCs w:val="8"/>
                <w:color w:val="auto"/>
              </w:rPr>
            </w:pPr>
          </w:p>
        </w:tc>
        <w:tc>
          <w:tcPr>
            <w:tcW w:w="620" w:type="dxa"/>
            <w:vAlign w:val="bottom"/>
            <w:tcBorders>
              <w:bottom w:val="single" w:sz="8" w:color="CCEEFF"/>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860" w:type="dxa"/>
            <w:vAlign w:val="bottom"/>
            <w:tcBorders>
              <w:bottom w:val="single" w:sz="8" w:color="CCEEFF"/>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Borders>
              <w:bottom w:val="single" w:sz="8" w:color="CCEEFF"/>
            </w:tcBorders>
          </w:tcPr>
          <w:p>
            <w:pPr>
              <w:spacing w:after="0"/>
              <w:rPr>
                <w:sz w:val="8"/>
                <w:szCs w:val="8"/>
                <w:color w:val="auto"/>
              </w:rPr>
            </w:pPr>
          </w:p>
        </w:tc>
        <w:tc>
          <w:tcPr>
            <w:tcW w:w="580" w:type="dxa"/>
            <w:vAlign w:val="bottom"/>
            <w:tcBorders>
              <w:bottom w:val="single" w:sz="8" w:color="CCEEFF"/>
            </w:tcBorders>
          </w:tcPr>
          <w:p>
            <w:pPr>
              <w:spacing w:after="0"/>
              <w:rPr>
                <w:sz w:val="8"/>
                <w:szCs w:val="8"/>
                <w:color w:val="auto"/>
              </w:rPr>
            </w:pPr>
          </w:p>
        </w:tc>
        <w:tc>
          <w:tcPr>
            <w:tcW w:w="900" w:type="dxa"/>
            <w:vAlign w:val="bottom"/>
            <w:tcBorders>
              <w:bottom w:val="single" w:sz="8" w:color="CCEEFF"/>
            </w:tcBorders>
          </w:tcPr>
          <w:p>
            <w:pPr>
              <w:spacing w:after="0"/>
              <w:rPr>
                <w:sz w:val="8"/>
                <w:szCs w:val="8"/>
                <w:color w:val="auto"/>
              </w:rPr>
            </w:pPr>
          </w:p>
        </w:tc>
        <w:tc>
          <w:tcPr>
            <w:tcW w:w="2300" w:type="dxa"/>
            <w:vAlign w:val="bottom"/>
            <w:tcBorders>
              <w:bottom w:val="single" w:sz="8" w:color="CCEEFF"/>
            </w:tcBorders>
          </w:tcPr>
          <w:p>
            <w:pPr>
              <w:spacing w:after="0"/>
              <w:rPr>
                <w:sz w:val="8"/>
                <w:szCs w:val="8"/>
                <w:color w:val="auto"/>
              </w:rPr>
            </w:pPr>
          </w:p>
        </w:tc>
      </w:tr>
      <w:tr>
        <w:trPr>
          <w:trHeight w:val="129"/>
        </w:trPr>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0" w:type="dxa"/>
            <w:vAlign w:val="bottom"/>
            <w:gridSpan w:val="2"/>
            <w:shd w:val="clear" w:color="auto" w:fill="CCEEFF"/>
          </w:tcPr>
          <w:p>
            <w:pPr>
              <w:ind w:left="100"/>
              <w:spacing w:after="0" w:line="129" w:lineRule="exact"/>
              <w:rPr>
                <w:sz w:val="20"/>
                <w:szCs w:val="20"/>
                <w:color w:val="auto"/>
              </w:rPr>
            </w:pPr>
            <w:r>
              <w:rPr>
                <w:rFonts w:ascii="Arial" w:cs="Arial" w:eastAsia="Arial" w:hAnsi="Arial"/>
                <w:sz w:val="13"/>
                <w:szCs w:val="13"/>
                <w:b w:val="1"/>
                <w:bCs w:val="1"/>
                <w:color w:val="auto"/>
                <w:w w:val="98"/>
              </w:rPr>
              <w:t>Total Washington Metropolitan</w:t>
            </w:r>
          </w:p>
        </w:tc>
        <w:tc>
          <w:tcPr>
            <w:tcW w:w="700" w:type="dxa"/>
            <w:vAlign w:val="bottom"/>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w w:val="96"/>
              </w:rPr>
              <w:t>2,020,061</w:t>
            </w:r>
          </w:p>
        </w:tc>
        <w:tc>
          <w:tcPr>
            <w:tcW w:w="66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rPr>
              <w:t>451</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w w:val="89"/>
              </w:rPr>
              <w:t>6,214,000</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94%</w:t>
            </w: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Area</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270"/>
        </w:trPr>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300" w:type="dxa"/>
            <w:vAlign w:val="bottom"/>
          </w:tcPr>
          <w:p>
            <w:pPr>
              <w:spacing w:after="0"/>
              <w:rPr>
                <w:sz w:val="23"/>
                <w:szCs w:val="23"/>
                <w:color w:val="auto"/>
              </w:rPr>
            </w:pPr>
          </w:p>
        </w:tc>
      </w:tr>
      <w:tr>
        <w:trPr>
          <w:trHeight w:val="149"/>
        </w:trPr>
        <w:tc>
          <w:tcPr>
            <w:tcW w:w="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California</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c>
          <w:tcPr>
            <w:tcW w:w="2300" w:type="dxa"/>
            <w:vAlign w:val="bottom"/>
            <w:tcBorders>
              <w:top w:val="single" w:sz="8" w:color="CCEEFF"/>
            </w:tcBorders>
            <w:shd w:val="clear" w:color="auto" w:fill="CCEEFF"/>
          </w:tcPr>
          <w:p>
            <w:pPr>
              <w:spacing w:after="0"/>
              <w:rPr>
                <w:sz w:val="8"/>
                <w:szCs w:val="8"/>
                <w:color w:val="auto"/>
              </w:rPr>
            </w:pP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Azalea</w:t>
            </w:r>
          </w:p>
        </w:tc>
        <w:tc>
          <w:tcPr>
            <w:tcW w:w="3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w:t>
            </w: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1"/>
              </w:rPr>
              <w:t>Los Angeles-Long Beach-Anaheim,</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107,629</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40,000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22</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222,000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w w:val="97"/>
              </w:rPr>
              <w:t>Marshalls / Ross Dress for Less / Ulta /</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CA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ind w:left="80"/>
              <w:spacing w:after="0"/>
              <w:rPr>
                <w:sz w:val="20"/>
                <w:szCs w:val="20"/>
                <w:color w:val="auto"/>
              </w:rPr>
            </w:pPr>
            <w:r>
              <w:rPr>
                <w:rFonts w:ascii="Arial" w:cs="Arial" w:eastAsia="Arial" w:hAnsi="Arial"/>
                <w:sz w:val="13"/>
                <w:szCs w:val="13"/>
                <w:color w:val="auto"/>
              </w:rPr>
              <w:t>CVS</w:t>
            </w:r>
          </w:p>
        </w:tc>
      </w:tr>
      <w:tr>
        <w:trPr>
          <w:trHeight w:val="156"/>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Bell Gardens</w:t>
            </w:r>
          </w:p>
        </w:tc>
        <w:tc>
          <w:tcPr>
            <w:tcW w:w="3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1"/>
              </w:rPr>
              <w:t>Los Angeles-Long Beach-Anaheim,</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99,934</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13,061</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330,000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67,000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Food 4 Less</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6"/>
              </w:rPr>
              <w:t>Marshalls / Ross Dress for Less / Petco</w:t>
            </w: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CA</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Colorado Blvd</w:t>
            </w:r>
          </w:p>
        </w:tc>
        <w:tc>
          <w:tcPr>
            <w:tcW w:w="320" w:type="dxa"/>
            <w:vAlign w:val="bottom"/>
          </w:tcPr>
          <w:p>
            <w:pPr>
              <w:spacing w:after="0"/>
              <w:rPr>
                <w:sz w:val="12"/>
                <w:szCs w:val="12"/>
                <w:color w:val="auto"/>
              </w:rPr>
            </w:pP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1"/>
              </w:rPr>
              <w:t>Los Angeles-Long Beach-Anaheim,</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19,517</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62,000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12</w:t>
            </w: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rPr>
              <w:t>Pottery Barn / Banana Republic</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CA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56"/>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Crow Canyon</w:t>
            </w:r>
          </w:p>
        </w:tc>
        <w:tc>
          <w:tcPr>
            <w:tcW w:w="320" w:type="dxa"/>
            <w:vAlign w:val="bottom"/>
            <w:shd w:val="clear" w:color="auto" w:fill="CCEEFF"/>
          </w:tcPr>
          <w:p>
            <w:pPr>
              <w:spacing w:after="0"/>
              <w:rPr>
                <w:sz w:val="13"/>
                <w:szCs w:val="13"/>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San Ramon, CA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90,864</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241,000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32,000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Sprouts</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Orchard Supply Hardware / Rite Aid /</w:t>
            </w:r>
          </w:p>
        </w:tc>
      </w:tr>
      <w:tr>
        <w:trPr>
          <w:trHeight w:val="176"/>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Commons</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Total Wine &amp; More</w:t>
            </w: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East Bay Bridge</w:t>
            </w:r>
          </w:p>
        </w:tc>
        <w:tc>
          <w:tcPr>
            <w:tcW w:w="320" w:type="dxa"/>
            <w:vAlign w:val="bottom"/>
          </w:tcPr>
          <w:p>
            <w:pPr>
              <w:spacing w:after="0"/>
              <w:rPr>
                <w:sz w:val="12"/>
                <w:szCs w:val="12"/>
                <w:color w:val="auto"/>
              </w:rPr>
            </w:pP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7"/>
              </w:rPr>
              <w:t>San Francisco-Oakland-Fremont,</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178,951</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32</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441,000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59,000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Pak-N-Save</w:t>
            </w: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w w:val="97"/>
              </w:rPr>
              <w:t>Home Depot / Target / Nordstrom Rack</w:t>
            </w:r>
          </w:p>
        </w:tc>
      </w:tr>
      <w:tr>
        <w:trPr>
          <w:trHeight w:val="160"/>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CA</w:t>
            </w: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300" w:type="dxa"/>
            <w:vAlign w:val="bottom"/>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280"/>
          </w:cols>
          <w:pgMar w:left="320" w:top="747" w:right="299" w:bottom="1440" w:gutter="0" w:footer="0" w:header="0"/>
        </w:sectPr>
      </w:pP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80"/>
          </w:cols>
          <w:pgMar w:left="320" w:top="747" w:right="299" w:bottom="1440" w:gutter="0" w:footer="0" w:header="0"/>
          <w:type w:val="continuous"/>
        </w:sectPr>
      </w:pPr>
    </w:p>
    <w:bookmarkStart w:id="24" w:name="page25"/>
    <w:bookmarkEnd w:id="24"/>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2018</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Lease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8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Grocery</w:t>
            </w:r>
          </w:p>
        </w:tc>
        <w:tc>
          <w:tcPr>
            <w:tcW w:w="920" w:type="dxa"/>
            <w:vAlign w:val="bottom"/>
          </w:tcPr>
          <w:p>
            <w:pPr>
              <w:spacing w:after="0"/>
              <w:rPr>
                <w:sz w:val="11"/>
                <w:szCs w:val="11"/>
                <w:color w:val="auto"/>
              </w:rPr>
            </w:pPr>
          </w:p>
        </w:tc>
        <w:tc>
          <w:tcPr>
            <w:tcW w:w="22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Obligation</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Leased</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6"/>
              </w:rPr>
              <w:t>Residential</w:t>
            </w:r>
          </w:p>
        </w:tc>
        <w:tc>
          <w:tcPr>
            <w:tcW w:w="58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2"/>
              </w:rPr>
              <w:t>Anchor</w:t>
            </w:r>
          </w:p>
        </w:tc>
        <w:tc>
          <w:tcPr>
            <w:tcW w:w="9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280" w:type="dxa"/>
            <w:vAlign w:val="bottom"/>
          </w:tcPr>
          <w:p>
            <w:pPr>
              <w:spacing w:after="0"/>
              <w:rPr>
                <w:sz w:val="11"/>
                <w:szCs w:val="11"/>
                <w:color w:val="auto"/>
              </w:rPr>
            </w:pPr>
          </w:p>
        </w:tc>
      </w:tr>
      <w:tr>
        <w:trPr>
          <w:trHeight w:val="174"/>
        </w:trPr>
        <w:tc>
          <w:tcPr>
            <w:tcW w:w="124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Property Name</w:t>
            </w:r>
          </w:p>
        </w:tc>
        <w:tc>
          <w:tcPr>
            <w:tcW w:w="4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MSA Description</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Acreage</w:t>
            </w:r>
          </w:p>
        </w:tc>
        <w:tc>
          <w:tcPr>
            <w:tcW w:w="7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GLA (2)</w:t>
            </w:r>
          </w:p>
        </w:tc>
        <w:tc>
          <w:tcPr>
            <w:tcW w:w="4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w:t>
            </w: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Units</w:t>
            </w: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4"/>
              </w:rPr>
              <w:t>GLA</w:t>
            </w: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2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8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48"/>
        </w:trPr>
        <w:tc>
          <w:tcPr>
            <w:tcW w:w="124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w w:val="91"/>
              </w:rPr>
              <w:t>Escondido Promenade</w:t>
            </w:r>
          </w:p>
        </w:tc>
        <w:tc>
          <w:tcPr>
            <w:tcW w:w="44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(3)</w:t>
            </w:r>
          </w:p>
        </w:tc>
        <w:tc>
          <w:tcPr>
            <w:tcW w:w="19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San Diego, CA</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49,899</w:t>
            </w: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299,000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6"/>
              </w:rPr>
              <w:t>TJ Maxx / Dick’s Sporting Goods / Ross</w:t>
            </w: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Dress For Less</w:t>
            </w: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Fourth Street</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rPr>
              <w:t>(3)</w:t>
            </w: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w w:val="94"/>
              </w:rPr>
              <w:t>San Francisco-Oakland-San Jose,</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23,951</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71,000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55%</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CB2 / Ingram Book Group</w:t>
            </w: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CA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w w:val="93"/>
              </w:rPr>
              <w:t>Hastings Ranch Plaza</w:t>
            </w:r>
          </w:p>
        </w:tc>
        <w:tc>
          <w:tcPr>
            <w:tcW w:w="440" w:type="dxa"/>
            <w:vAlign w:val="bottom"/>
            <w:shd w:val="clear" w:color="auto" w:fill="CCEEFF"/>
          </w:tcPr>
          <w:p>
            <w:pPr>
              <w:spacing w:after="0"/>
              <w:rPr>
                <w:sz w:val="13"/>
                <w:szCs w:val="13"/>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Los Angeles-Long Beach-Anaheim,</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22,655</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273,000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9"/>
              </w:rPr>
              <w:t>Marshalls / HomeGoods / CVS / Sears</w:t>
            </w: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Hermosa Avenue</w:t>
            </w:r>
          </w:p>
        </w:tc>
        <w:tc>
          <w:tcPr>
            <w:tcW w:w="440" w:type="dxa"/>
            <w:vAlign w:val="bottom"/>
          </w:tcPr>
          <w:p>
            <w:pPr>
              <w:spacing w:after="0"/>
              <w:rPr>
                <w:sz w:val="12"/>
                <w:szCs w:val="12"/>
                <w:color w:val="auto"/>
              </w:rPr>
            </w:pP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w w:val="91"/>
              </w:rPr>
              <w:t>Los Angeles-Long Beach-Anaheim,</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6,225</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&lt;1</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23,000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81%</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CA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Hollywood Blvd</w:t>
            </w:r>
          </w:p>
        </w:tc>
        <w:tc>
          <w:tcPr>
            <w:tcW w:w="440" w:type="dxa"/>
            <w:vAlign w:val="bottom"/>
            <w:shd w:val="clear" w:color="auto" w:fill="CCEEFF"/>
          </w:tcPr>
          <w:p>
            <w:pPr>
              <w:spacing w:after="0"/>
              <w:rPr>
                <w:sz w:val="13"/>
                <w:szCs w:val="13"/>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Los Angeles-Long Beach-Anaheim,</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46,190</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179,000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Marshalls / L.A. Fitness / La La Land</w:t>
            </w: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Jordan Downs Plaza</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rPr>
              <w:t>(7)</w:t>
            </w: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w w:val="91"/>
              </w:rPr>
              <w:t>Los Angeles-Long Beach-Anaheim,</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3,092</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9</w:t>
            </w: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N/A</w:t>
            </w:r>
          </w:p>
        </w:tc>
        <w:tc>
          <w:tcPr>
            <w:tcW w:w="4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N/A</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CA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Kings Court</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(5)</w:t>
            </w: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San Jose, CA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11,596</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80,000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31,000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0"/>
              </w:rPr>
              <w:t>Lunardi's Super</w:t>
            </w: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w:t>
            </w: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w:t>
            </w:r>
          </w:p>
        </w:tc>
        <w:tc>
          <w:tcPr>
            <w:tcW w:w="2280" w:type="dxa"/>
            <w:vAlign w:val="bottom"/>
            <w:shd w:val="clear" w:color="auto" w:fill="CCEEFF"/>
          </w:tcPr>
          <w:p>
            <w:pPr>
              <w:spacing w:after="0"/>
              <w:rPr>
                <w:sz w:val="15"/>
                <w:szCs w:val="15"/>
                <w:color w:val="auto"/>
              </w:rPr>
            </w:pPr>
          </w:p>
        </w:tc>
      </w:tr>
      <w:tr>
        <w:trPr>
          <w:trHeight w:val="173"/>
        </w:trPr>
        <w:tc>
          <w:tcPr>
            <w:tcW w:w="1240" w:type="dxa"/>
            <w:vAlign w:val="bottom"/>
            <w:gridSpan w:val="4"/>
          </w:tcPr>
          <w:p>
            <w:pPr>
              <w:ind w:left="20"/>
              <w:spacing w:after="0"/>
              <w:rPr>
                <w:sz w:val="20"/>
                <w:szCs w:val="20"/>
                <w:color w:val="auto"/>
              </w:rPr>
            </w:pPr>
            <w:r>
              <w:rPr>
                <w:rFonts w:ascii="Arial" w:cs="Arial" w:eastAsia="Arial" w:hAnsi="Arial"/>
                <w:sz w:val="13"/>
                <w:szCs w:val="13"/>
                <w:color w:val="auto"/>
              </w:rPr>
              <w:t>Old Town Center</w:t>
            </w:r>
          </w:p>
        </w:tc>
        <w:tc>
          <w:tcPr>
            <w:tcW w:w="440" w:type="dxa"/>
            <w:vAlign w:val="bottom"/>
          </w:tcPr>
          <w:p>
            <w:pPr>
              <w:spacing w:after="0"/>
              <w:rPr>
                <w:sz w:val="15"/>
                <w:szCs w:val="15"/>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San Jose, CA</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36,930</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98,000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94%</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80" w:type="dxa"/>
            <w:vAlign w:val="bottom"/>
          </w:tcPr>
          <w:p>
            <w:pPr>
              <w:ind w:left="60"/>
              <w:spacing w:after="0"/>
              <w:rPr>
                <w:sz w:val="20"/>
                <w:szCs w:val="20"/>
                <w:color w:val="auto"/>
              </w:rPr>
            </w:pPr>
            <w:r>
              <w:rPr>
                <w:rFonts w:ascii="Arial" w:cs="Arial" w:eastAsia="Arial" w:hAnsi="Arial"/>
                <w:sz w:val="13"/>
                <w:szCs w:val="13"/>
                <w:color w:val="auto"/>
                <w:w w:val="97"/>
              </w:rPr>
              <w:t>Anthropologie / Banana Republic / Gap</w:t>
            </w:r>
          </w:p>
        </w:tc>
      </w:tr>
      <w:tr>
        <w:trPr>
          <w:trHeight w:val="97"/>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80" w:type="dxa"/>
            <w:vAlign w:val="bottom"/>
          </w:tcPr>
          <w:p>
            <w:pPr>
              <w:spacing w:after="0"/>
              <w:rPr>
                <w:sz w:val="8"/>
                <w:szCs w:val="8"/>
                <w:color w:val="auto"/>
              </w:rPr>
            </w:pPr>
          </w:p>
        </w:tc>
      </w:tr>
      <w:tr>
        <w:trPr>
          <w:trHeight w:val="148"/>
        </w:trPr>
        <w:tc>
          <w:tcPr>
            <w:tcW w:w="124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rPr>
              <w:t>Olivo at Mission Hills</w:t>
            </w:r>
          </w:p>
        </w:tc>
        <w:tc>
          <w:tcPr>
            <w:tcW w:w="44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(3)</w:t>
            </w:r>
          </w:p>
        </w:tc>
        <w:tc>
          <w:tcPr>
            <w:tcW w:w="19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1"/>
              </w:rPr>
              <w:t>Los Angeles-Long Beach-Anaheim,</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74,717</w:t>
            </w: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108,000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6"/>
              </w:rPr>
              <w:t>Target / 24 Hour Fitness / Fallas Stores</w:t>
            </w: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Plaza Del Sol</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rPr>
              <w:t>(3)</w:t>
            </w: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w w:val="91"/>
              </w:rPr>
              <w:t>Los Angeles-Long Beach-Anaheim,</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17,934</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8,496</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48,000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Marshalls</w:t>
            </w: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CA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Plaza Pacoima</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(3)</w:t>
            </w: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Los Angeles-Long Beach-Anaheim,</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50,359</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204,000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Costco / Best Buy</w:t>
            </w: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w w:val="87"/>
              </w:rPr>
              <w:t>Plaza El Segundo / The</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rPr>
              <w:t>(3)</w:t>
            </w: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w w:val="91"/>
              </w:rPr>
              <w:t>Los Angeles-Long Beach-Anaheim,</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282,473</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125,000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50</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495,000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66,000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rPr>
              <w:t>Whole Foods</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Anthropologie / HomeGoods / Dick's</w:t>
            </w:r>
          </w:p>
        </w:tc>
      </w:tr>
      <w:tr>
        <w:trPr>
          <w:trHeight w:val="168"/>
        </w:trPr>
        <w:tc>
          <w:tcPr>
            <w:tcW w:w="1240" w:type="dxa"/>
            <w:vAlign w:val="bottom"/>
            <w:gridSpan w:val="4"/>
          </w:tcPr>
          <w:p>
            <w:pPr>
              <w:ind w:left="20"/>
              <w:spacing w:after="0"/>
              <w:rPr>
                <w:sz w:val="20"/>
                <w:szCs w:val="20"/>
                <w:color w:val="auto"/>
              </w:rPr>
            </w:pPr>
            <w:r>
              <w:rPr>
                <w:rFonts w:ascii="Arial" w:cs="Arial" w:eastAsia="Arial" w:hAnsi="Arial"/>
                <w:sz w:val="13"/>
                <w:szCs w:val="13"/>
                <w:color w:val="auto"/>
              </w:rPr>
              <w:t>Point</w:t>
            </w:r>
          </w:p>
        </w:tc>
        <w:tc>
          <w:tcPr>
            <w:tcW w:w="44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CA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ind w:left="60"/>
              <w:spacing w:after="0"/>
              <w:rPr>
                <w:sz w:val="20"/>
                <w:szCs w:val="20"/>
                <w:color w:val="auto"/>
              </w:rPr>
            </w:pPr>
            <w:r>
              <w:rPr>
                <w:rFonts w:ascii="Arial" w:cs="Arial" w:eastAsia="Arial" w:hAnsi="Arial"/>
                <w:sz w:val="13"/>
                <w:szCs w:val="13"/>
                <w:color w:val="auto"/>
              </w:rPr>
              <w:t>Sporting Goods / Multiple Restaurants</w:t>
            </w:r>
          </w:p>
        </w:tc>
      </w:tr>
      <w:tr>
        <w:trPr>
          <w:trHeight w:val="15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Santana Row</w:t>
            </w:r>
          </w:p>
        </w:tc>
        <w:tc>
          <w:tcPr>
            <w:tcW w:w="440" w:type="dxa"/>
            <w:vAlign w:val="bottom"/>
            <w:shd w:val="clear" w:color="auto" w:fill="CCEEFF"/>
          </w:tcPr>
          <w:p>
            <w:pPr>
              <w:spacing w:after="0"/>
              <w:rPr>
                <w:sz w:val="13"/>
                <w:szCs w:val="13"/>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San Jose, CA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907,309</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884,000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662</w:t>
            </w: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Crate &amp; Barrel / H&amp;M / Container Store /</w:t>
            </w: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Multiple Restaurants</w:t>
            </w: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San Antonio Center</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rPr>
              <w:t>(5)</w:t>
            </w: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w w:val="94"/>
              </w:rPr>
              <w:t>San Francisco-Oakland-San Jose,</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73,851</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33</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376,000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11,000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Walmart / Kohl's / 24 Hour Fitness</w:t>
            </w: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CA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w w:val="95"/>
              </w:rPr>
              <w:t>Sylmar Towne Center</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(3)</w:t>
            </w: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Los Angeles-Long Beach-Anaheim,</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43,531</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17,185</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148,000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43,000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Food 4 Less</w:t>
            </w: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w:t>
            </w: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Third Street</w:t>
            </w:r>
          </w:p>
        </w:tc>
        <w:tc>
          <w:tcPr>
            <w:tcW w:w="440" w:type="dxa"/>
            <w:vAlign w:val="bottom"/>
          </w:tcPr>
          <w:p>
            <w:pPr>
              <w:spacing w:after="0"/>
              <w:rPr>
                <w:sz w:val="12"/>
                <w:szCs w:val="12"/>
                <w:color w:val="auto"/>
              </w:rPr>
            </w:pP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w w:val="91"/>
              </w:rPr>
              <w:t>Los Angeles-Long Beach-Anaheim,</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79,984</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209,000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Banana Republic / Old Navy / J. Crew</w:t>
            </w:r>
          </w:p>
        </w:tc>
      </w:tr>
      <w:tr>
        <w:trPr>
          <w:trHeight w:val="168"/>
        </w:trPr>
        <w:tc>
          <w:tcPr>
            <w:tcW w:w="1240" w:type="dxa"/>
            <w:vAlign w:val="bottom"/>
            <w:gridSpan w:val="4"/>
          </w:tcPr>
          <w:p>
            <w:pPr>
              <w:ind w:left="20"/>
              <w:spacing w:after="0"/>
              <w:rPr>
                <w:sz w:val="20"/>
                <w:szCs w:val="20"/>
                <w:color w:val="auto"/>
              </w:rPr>
            </w:pPr>
            <w:r>
              <w:rPr>
                <w:rFonts w:ascii="Arial" w:cs="Arial" w:eastAsia="Arial" w:hAnsi="Arial"/>
                <w:sz w:val="13"/>
                <w:szCs w:val="13"/>
                <w:color w:val="auto"/>
              </w:rPr>
              <w:t>Promenade</w:t>
            </w:r>
          </w:p>
        </w:tc>
        <w:tc>
          <w:tcPr>
            <w:tcW w:w="44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CA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Westgate Center</w:t>
            </w:r>
          </w:p>
        </w:tc>
        <w:tc>
          <w:tcPr>
            <w:tcW w:w="440" w:type="dxa"/>
            <w:vAlign w:val="bottom"/>
            <w:shd w:val="clear" w:color="auto" w:fill="CCEEFF"/>
          </w:tcPr>
          <w:p>
            <w:pPr>
              <w:spacing w:after="0"/>
              <w:rPr>
                <w:sz w:val="13"/>
                <w:szCs w:val="13"/>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San Jose, CA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155,608</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652,000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38,000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Walmart</w:t>
            </w: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4"/>
              </w:rPr>
              <w:t>Target / Nordstrom Rack / Nike Factory /</w:t>
            </w:r>
          </w:p>
        </w:tc>
      </w:tr>
      <w:tr>
        <w:trPr>
          <w:trHeight w:val="135"/>
        </w:trPr>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Neighborhood</w:t>
            </w:r>
          </w:p>
        </w:tc>
        <w:tc>
          <w:tcPr>
            <w:tcW w:w="228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Burlington</w:t>
            </w: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w:t>
            </w:r>
          </w:p>
        </w:tc>
        <w:tc>
          <w:tcPr>
            <w:tcW w:w="2280" w:type="dxa"/>
            <w:vAlign w:val="bottom"/>
            <w:shd w:val="clear" w:color="auto" w:fill="CCEEFF"/>
          </w:tcPr>
          <w:p>
            <w:pPr>
              <w:spacing w:after="0"/>
              <w:rPr>
                <w:sz w:val="15"/>
                <w:szCs w:val="15"/>
                <w:color w:val="auto"/>
              </w:rPr>
            </w:pPr>
          </w:p>
        </w:tc>
      </w:tr>
      <w:tr>
        <w:trPr>
          <w:trHeight w:val="167"/>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b w:val="1"/>
                <w:bCs w:val="1"/>
                <w:color w:val="auto"/>
              </w:rPr>
              <w:t>Total California</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w w:val="96"/>
              </w:rPr>
              <w:t>2,383,199</w:t>
            </w:r>
          </w:p>
        </w:tc>
        <w:tc>
          <w:tcPr>
            <w:tcW w:w="660" w:type="dxa"/>
            <w:vAlign w:val="bottom"/>
          </w:tcPr>
          <w:p>
            <w:pPr>
              <w:spacing w:after="0"/>
              <w:rPr>
                <w:sz w:val="14"/>
                <w:szCs w:val="14"/>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390</w:t>
            </w:r>
          </w:p>
        </w:tc>
        <w:tc>
          <w:tcPr>
            <w:tcW w:w="12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w w:val="89"/>
              </w:rPr>
              <w:t>5,443,000</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96%</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84"/>
        </w:trPr>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80" w:type="dxa"/>
            <w:vAlign w:val="bottom"/>
          </w:tcPr>
          <w:p>
            <w:pPr>
              <w:spacing w:after="0"/>
              <w:rPr>
                <w:sz w:val="7"/>
                <w:szCs w:val="7"/>
                <w:color w:val="auto"/>
              </w:rPr>
            </w:pPr>
          </w:p>
        </w:tc>
      </w:tr>
      <w:tr>
        <w:trPr>
          <w:trHeight w:val="270"/>
        </w:trPr>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r>
      <w:tr>
        <w:trPr>
          <w:trHeight w:val="149"/>
        </w:trPr>
        <w:tc>
          <w:tcPr>
            <w:tcW w:w="20" w:type="dxa"/>
            <w:vAlign w:val="bottom"/>
          </w:tcPr>
          <w:p>
            <w:pPr>
              <w:spacing w:after="0"/>
              <w:rPr>
                <w:sz w:val="12"/>
                <w:szCs w:val="12"/>
                <w:color w:val="auto"/>
              </w:rPr>
            </w:pPr>
          </w:p>
        </w:tc>
        <w:tc>
          <w:tcPr>
            <w:tcW w:w="1220" w:type="dxa"/>
            <w:vAlign w:val="bottom"/>
            <w:gridSpan w:val="3"/>
          </w:tcPr>
          <w:p>
            <w:pPr>
              <w:ind w:left="60"/>
              <w:spacing w:after="0"/>
              <w:rPr>
                <w:sz w:val="20"/>
                <w:szCs w:val="20"/>
                <w:color w:val="auto"/>
              </w:rPr>
            </w:pPr>
            <w:r>
              <w:rPr>
                <w:rFonts w:ascii="Arial" w:cs="Arial" w:eastAsia="Arial" w:hAnsi="Arial"/>
                <w:sz w:val="13"/>
                <w:szCs w:val="13"/>
                <w:b w:val="1"/>
                <w:bCs w:val="1"/>
                <w:color w:val="auto"/>
              </w:rPr>
              <w:t>NY Metro/New</w:t>
            </w:r>
          </w:p>
        </w:tc>
        <w:tc>
          <w:tcPr>
            <w:tcW w:w="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15"/>
        </w:trPr>
        <w:tc>
          <w:tcPr>
            <w:tcW w:w="20" w:type="dxa"/>
            <w:vAlign w:val="bottom"/>
          </w:tcPr>
          <w:p>
            <w:pPr>
              <w:spacing w:after="0"/>
              <w:rPr>
                <w:sz w:val="10"/>
                <w:szCs w:val="10"/>
                <w:color w:val="auto"/>
              </w:rPr>
            </w:pPr>
          </w:p>
        </w:tc>
        <w:tc>
          <w:tcPr>
            <w:tcW w:w="88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3"/>
                <w:szCs w:val="13"/>
                <w:b w:val="1"/>
                <w:bCs w:val="1"/>
                <w:color w:val="auto"/>
              </w:rPr>
              <w:t>Jersey</w:t>
            </w: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80" w:type="dxa"/>
            <w:vAlign w:val="bottom"/>
          </w:tcPr>
          <w:p>
            <w:pPr>
              <w:spacing w:after="0"/>
              <w:rPr>
                <w:sz w:val="10"/>
                <w:szCs w:val="10"/>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73"/>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Brick Plaza</w:t>
            </w: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Monmouth-Ocean, NJ</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79,440</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413,000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AMC / Barnes &amp; Noble / Ulta / DSW</w:t>
            </w:r>
          </w:p>
        </w:tc>
      </w:tr>
      <w:tr>
        <w:trPr>
          <w:trHeight w:val="97"/>
        </w:trPr>
        <w:tc>
          <w:tcPr>
            <w:tcW w:w="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Brook 35</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w w:val="90"/>
              </w:rPr>
              <w:t>(3) (5)</w:t>
            </w: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rPr>
              <w:t>New York-Northern New Jersey-</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47,714</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11,500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11</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99,000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w w:val="89"/>
              </w:rPr>
              <w:t>Banana Republic / Gap / Coach / Williams-</w:t>
            </w: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Long Island, NY-NJ-PA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ind w:left="60"/>
              <w:spacing w:after="0"/>
              <w:rPr>
                <w:sz w:val="20"/>
                <w:szCs w:val="20"/>
                <w:color w:val="auto"/>
              </w:rPr>
            </w:pPr>
            <w:r>
              <w:rPr>
                <w:rFonts w:ascii="Arial" w:cs="Arial" w:eastAsia="Arial" w:hAnsi="Arial"/>
                <w:sz w:val="13"/>
                <w:szCs w:val="13"/>
                <w:color w:val="auto"/>
              </w:rPr>
              <w:t>Sonoma</w:t>
            </w:r>
          </w:p>
        </w:tc>
      </w:tr>
      <w:tr>
        <w:trPr>
          <w:trHeight w:val="15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Darien</w:t>
            </w:r>
          </w:p>
        </w:tc>
        <w:tc>
          <w:tcPr>
            <w:tcW w:w="440" w:type="dxa"/>
            <w:vAlign w:val="bottom"/>
            <w:shd w:val="clear" w:color="auto" w:fill="CCEEFF"/>
          </w:tcPr>
          <w:p>
            <w:pPr>
              <w:spacing w:after="0"/>
              <w:rPr>
                <w:sz w:val="13"/>
                <w:szCs w:val="13"/>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7"/>
              </w:rPr>
              <w:t>New Haven-Bridgeport-Stamford-</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51,506</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93,000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w:t>
            </w: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45,000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Stop &amp; Shop</w:t>
            </w: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Equinox</w:t>
            </w: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Waterbury</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73"/>
        </w:trPr>
        <w:tc>
          <w:tcPr>
            <w:tcW w:w="1240" w:type="dxa"/>
            <w:vAlign w:val="bottom"/>
            <w:gridSpan w:val="4"/>
          </w:tcPr>
          <w:p>
            <w:pPr>
              <w:ind w:left="20"/>
              <w:spacing w:after="0"/>
              <w:rPr>
                <w:sz w:val="20"/>
                <w:szCs w:val="20"/>
                <w:color w:val="auto"/>
              </w:rPr>
            </w:pPr>
            <w:r>
              <w:rPr>
                <w:rFonts w:ascii="Arial" w:cs="Arial" w:eastAsia="Arial" w:hAnsi="Arial"/>
                <w:sz w:val="13"/>
                <w:szCs w:val="13"/>
                <w:color w:val="auto"/>
              </w:rPr>
              <w:t>Fresh Meadows</w:t>
            </w:r>
          </w:p>
        </w:tc>
        <w:tc>
          <w:tcPr>
            <w:tcW w:w="440" w:type="dxa"/>
            <w:vAlign w:val="bottom"/>
          </w:tcPr>
          <w:p>
            <w:pPr>
              <w:spacing w:after="0"/>
              <w:rPr>
                <w:sz w:val="15"/>
                <w:szCs w:val="15"/>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New York, NY</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90,839</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404,000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99%</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15,000</w:t>
            </w:r>
          </w:p>
        </w:tc>
        <w:tc>
          <w:tcPr>
            <w:tcW w:w="920" w:type="dxa"/>
            <w:vAlign w:val="bottom"/>
          </w:tcPr>
          <w:p>
            <w:pPr>
              <w:ind w:left="80"/>
              <w:spacing w:after="0"/>
              <w:rPr>
                <w:sz w:val="20"/>
                <w:szCs w:val="20"/>
                <w:color w:val="auto"/>
              </w:rPr>
            </w:pPr>
            <w:r>
              <w:rPr>
                <w:rFonts w:ascii="Arial" w:cs="Arial" w:eastAsia="Arial" w:hAnsi="Arial"/>
                <w:sz w:val="13"/>
                <w:szCs w:val="13"/>
                <w:color w:val="auto"/>
              </w:rPr>
              <w:t>Island of Gold</w:t>
            </w:r>
          </w:p>
        </w:tc>
        <w:tc>
          <w:tcPr>
            <w:tcW w:w="2280" w:type="dxa"/>
            <w:vAlign w:val="bottom"/>
          </w:tcPr>
          <w:p>
            <w:pPr>
              <w:ind w:left="60"/>
              <w:spacing w:after="0"/>
              <w:rPr>
                <w:sz w:val="20"/>
                <w:szCs w:val="20"/>
                <w:color w:val="auto"/>
              </w:rPr>
            </w:pPr>
            <w:r>
              <w:rPr>
                <w:rFonts w:ascii="Arial" w:cs="Arial" w:eastAsia="Arial" w:hAnsi="Arial"/>
                <w:sz w:val="13"/>
                <w:szCs w:val="13"/>
                <w:color w:val="auto"/>
              </w:rPr>
              <w:t>AMC / Kohl's / Michaels</w:t>
            </w:r>
          </w:p>
        </w:tc>
      </w:tr>
      <w:tr>
        <w:trPr>
          <w:trHeight w:val="97"/>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80" w:type="dxa"/>
            <w:vAlign w:val="bottom"/>
          </w:tcPr>
          <w:p>
            <w:pPr>
              <w:spacing w:after="0"/>
              <w:rPr>
                <w:sz w:val="8"/>
                <w:szCs w:val="8"/>
                <w:color w:val="auto"/>
              </w:rPr>
            </w:pPr>
          </w:p>
        </w:tc>
      </w:tr>
      <w:tr>
        <w:trPr>
          <w:trHeight w:val="148"/>
        </w:trPr>
        <w:tc>
          <w:tcPr>
            <w:tcW w:w="124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rPr>
              <w:t>Greenlawn Plaza</w:t>
            </w:r>
          </w:p>
        </w:tc>
        <w:tc>
          <w:tcPr>
            <w:tcW w:w="440" w:type="dxa"/>
            <w:vAlign w:val="bottom"/>
            <w:shd w:val="clear" w:color="auto" w:fill="CCEEFF"/>
          </w:tcPr>
          <w:p>
            <w:pPr>
              <w:spacing w:after="0"/>
              <w:rPr>
                <w:sz w:val="12"/>
                <w:szCs w:val="12"/>
                <w:color w:val="auto"/>
              </w:rPr>
            </w:pPr>
          </w:p>
        </w:tc>
        <w:tc>
          <w:tcPr>
            <w:tcW w:w="19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Nassau-Suffolk, NY</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31,709</w:t>
            </w: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106,000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96%</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46,000</w:t>
            </w:r>
          </w:p>
        </w:tc>
        <w:tc>
          <w:tcPr>
            <w:tcW w:w="9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Greenlawn</w:t>
            </w:r>
          </w:p>
        </w:tc>
        <w:tc>
          <w:tcPr>
            <w:tcW w:w="22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Tuesday Morning</w:t>
            </w: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Farms</w:t>
            </w:r>
          </w:p>
        </w:tc>
        <w:tc>
          <w:tcPr>
            <w:tcW w:w="2280" w:type="dxa"/>
            <w:vAlign w:val="bottom"/>
            <w:shd w:val="clear" w:color="auto" w:fill="CCEEFF"/>
          </w:tcPr>
          <w:p>
            <w:pPr>
              <w:spacing w:after="0"/>
              <w:rPr>
                <w:sz w:val="15"/>
                <w:szCs w:val="15"/>
                <w:color w:val="auto"/>
              </w:rPr>
            </w:pP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Greenwich Avenue</w:t>
            </w:r>
          </w:p>
        </w:tc>
        <w:tc>
          <w:tcPr>
            <w:tcW w:w="440" w:type="dxa"/>
            <w:vAlign w:val="bottom"/>
          </w:tcPr>
          <w:p>
            <w:pPr>
              <w:spacing w:after="0"/>
              <w:rPr>
                <w:sz w:val="12"/>
                <w:szCs w:val="12"/>
                <w:color w:val="auto"/>
              </w:rPr>
            </w:pP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w w:val="97"/>
              </w:rPr>
              <w:t>New Haven-Bridgeport-Stamford-</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14,127</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35,000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Saks Fifth Avenue</w:t>
            </w: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Waterbury</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81"/>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Hauppauge</w:t>
            </w: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Nassau-Suffolk, NY</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29,083</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134,000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61,000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 Rite</w:t>
            </w: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A.C. Moore</w:t>
            </w:r>
          </w:p>
        </w:tc>
      </w:tr>
      <w:tr>
        <w:trPr>
          <w:trHeight w:val="97"/>
        </w:trPr>
        <w:tc>
          <w:tcPr>
            <w:tcW w:w="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Huntington</w:t>
            </w:r>
          </w:p>
        </w:tc>
        <w:tc>
          <w:tcPr>
            <w:tcW w:w="440" w:type="dxa"/>
            <w:vAlign w:val="bottom"/>
          </w:tcPr>
          <w:p>
            <w:pPr>
              <w:spacing w:after="0"/>
              <w:rPr>
                <w:sz w:val="12"/>
                <w:szCs w:val="12"/>
                <w:color w:val="auto"/>
              </w:rPr>
            </w:pP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rPr>
              <w:t>Nassau-Suffolk, NY</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47,438</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277,000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w w:val="96"/>
              </w:rPr>
              <w:t>Nordstrom Rack / Bed, Bath &amp; Beyond /</w:t>
            </w: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ind w:left="60"/>
              <w:spacing w:after="0"/>
              <w:rPr>
                <w:sz w:val="20"/>
                <w:szCs w:val="20"/>
                <w:color w:val="auto"/>
              </w:rPr>
            </w:pPr>
            <w:r>
              <w:rPr>
                <w:rFonts w:ascii="Arial" w:cs="Arial" w:eastAsia="Arial" w:hAnsi="Arial"/>
                <w:sz w:val="13"/>
                <w:szCs w:val="13"/>
                <w:color w:val="auto"/>
              </w:rPr>
              <w:t>Buy Buy Baby / Michaels</w:t>
            </w:r>
          </w:p>
        </w:tc>
      </w:tr>
      <w:tr>
        <w:trPr>
          <w:trHeight w:val="181"/>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Huntington Square</w:t>
            </w: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Nassau-Suffolk, NY</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12,212</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74,000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Barnes &amp; Noble</w:t>
            </w:r>
          </w:p>
        </w:tc>
      </w:tr>
      <w:tr>
        <w:trPr>
          <w:trHeight w:val="97"/>
        </w:trPr>
        <w:tc>
          <w:tcPr>
            <w:tcW w:w="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Melville Mall</w:t>
            </w:r>
          </w:p>
        </w:tc>
        <w:tc>
          <w:tcPr>
            <w:tcW w:w="440" w:type="dxa"/>
            <w:vAlign w:val="bottom"/>
          </w:tcPr>
          <w:p>
            <w:pPr>
              <w:spacing w:after="0"/>
              <w:rPr>
                <w:sz w:val="12"/>
                <w:szCs w:val="12"/>
                <w:color w:val="auto"/>
              </w:rPr>
            </w:pP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rPr>
              <w:t>Nassau-Suffolk, NY</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90,374</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251,000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53,000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rPr>
              <w:t>Uncle</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w w:val="94"/>
              </w:rPr>
              <w:t>Marshalls / Dick's Sporting Goods / Field</w:t>
            </w: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ind w:left="80"/>
              <w:spacing w:after="0" w:line="135" w:lineRule="exact"/>
              <w:rPr>
                <w:sz w:val="20"/>
                <w:szCs w:val="20"/>
                <w:color w:val="auto"/>
              </w:rPr>
            </w:pPr>
            <w:r>
              <w:rPr>
                <w:rFonts w:ascii="Arial" w:cs="Arial" w:eastAsia="Arial" w:hAnsi="Arial"/>
                <w:sz w:val="13"/>
                <w:szCs w:val="13"/>
                <w:color w:val="auto"/>
              </w:rPr>
              <w:t>Giuseppe's</w:t>
            </w:r>
          </w:p>
        </w:tc>
        <w:tc>
          <w:tcPr>
            <w:tcW w:w="2280" w:type="dxa"/>
            <w:vAlign w:val="bottom"/>
          </w:tcPr>
          <w:p>
            <w:pPr>
              <w:ind w:left="60"/>
              <w:spacing w:after="0" w:line="135" w:lineRule="exact"/>
              <w:rPr>
                <w:sz w:val="20"/>
                <w:szCs w:val="20"/>
                <w:color w:val="auto"/>
              </w:rPr>
            </w:pPr>
            <w:r>
              <w:rPr>
                <w:rFonts w:ascii="Arial" w:cs="Arial" w:eastAsia="Arial" w:hAnsi="Arial"/>
                <w:sz w:val="13"/>
                <w:szCs w:val="13"/>
                <w:color w:val="auto"/>
              </w:rPr>
              <w:t>&amp; Stream / Macy's Backstage</w:t>
            </w: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Arial" w:cs="Arial" w:eastAsia="Arial" w:hAnsi="Arial"/>
                <w:sz w:val="13"/>
                <w:szCs w:val="13"/>
                <w:color w:val="auto"/>
              </w:rPr>
              <w:t>Marketplace</w:t>
            </w:r>
          </w:p>
        </w:tc>
        <w:tc>
          <w:tcPr>
            <w:tcW w:w="2280" w:type="dxa"/>
            <w:vAlign w:val="bottom"/>
          </w:tcPr>
          <w:p>
            <w:pPr>
              <w:spacing w:after="0"/>
              <w:rPr>
                <w:sz w:val="14"/>
                <w:szCs w:val="14"/>
                <w:color w:val="auto"/>
              </w:rPr>
            </w:pPr>
          </w:p>
        </w:tc>
      </w:tr>
      <w:tr>
        <w:trPr>
          <w:trHeight w:val="15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Mercer Mall</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(6)</w:t>
            </w: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Trenton, NJ</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127,862</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55,511</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530,000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75,000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 Rite</w:t>
            </w: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3"/>
              </w:rPr>
              <w:t>TJ Maxx / Nordstrom Rack / Bed, Bath &amp;</w:t>
            </w: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Beyond / REI</w:t>
            </w: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The Grove at</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w w:val="90"/>
              </w:rPr>
              <w:t>(3) (5)</w:t>
            </w: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rPr>
              <w:t>New York-Northern New Jersey-</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125,007</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43,600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193,000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w w:val="91"/>
              </w:rPr>
              <w:t>Lululemon / Anthropologie / Pottery Barn /</w:t>
            </w:r>
          </w:p>
        </w:tc>
      </w:tr>
      <w:tr>
        <w:trPr>
          <w:trHeight w:val="168"/>
        </w:trPr>
        <w:tc>
          <w:tcPr>
            <w:tcW w:w="1240" w:type="dxa"/>
            <w:vAlign w:val="bottom"/>
            <w:gridSpan w:val="4"/>
          </w:tcPr>
          <w:p>
            <w:pPr>
              <w:ind w:left="20"/>
              <w:spacing w:after="0"/>
              <w:rPr>
                <w:sz w:val="20"/>
                <w:szCs w:val="20"/>
                <w:color w:val="auto"/>
              </w:rPr>
            </w:pPr>
            <w:r>
              <w:rPr>
                <w:rFonts w:ascii="Arial" w:cs="Arial" w:eastAsia="Arial" w:hAnsi="Arial"/>
                <w:sz w:val="13"/>
                <w:szCs w:val="13"/>
                <w:color w:val="auto"/>
              </w:rPr>
              <w:t>Shrewsbury</w:t>
            </w:r>
          </w:p>
        </w:tc>
        <w:tc>
          <w:tcPr>
            <w:tcW w:w="44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Long Island, NY-NJ-PA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ind w:left="60"/>
              <w:spacing w:after="0"/>
              <w:rPr>
                <w:sz w:val="20"/>
                <w:szCs w:val="20"/>
                <w:color w:val="auto"/>
              </w:rPr>
            </w:pPr>
            <w:r>
              <w:rPr>
                <w:rFonts w:ascii="Arial" w:cs="Arial" w:eastAsia="Arial" w:hAnsi="Arial"/>
                <w:sz w:val="13"/>
                <w:szCs w:val="13"/>
                <w:color w:val="auto"/>
              </w:rPr>
              <w:t>Williams-Sonoma</w:t>
            </w:r>
          </w:p>
        </w:tc>
      </w:tr>
      <w:tr>
        <w:trPr>
          <w:trHeight w:val="181"/>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Troy</w:t>
            </w: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Newark, NJ</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37,095</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211,000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Target / L.A. Fitness / Michaels</w:t>
            </w:r>
          </w:p>
        </w:tc>
      </w:tr>
      <w:tr>
        <w:trPr>
          <w:trHeight w:val="97"/>
        </w:trPr>
        <w:tc>
          <w:tcPr>
            <w:tcW w:w="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r>
      <w:tr>
        <w:trPr>
          <w:trHeight w:val="167"/>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b w:val="1"/>
                <w:bCs w:val="1"/>
                <w:color w:val="auto"/>
              </w:rPr>
              <w:t>Total NY Metro/New Jersey</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784,406</w:t>
            </w:r>
          </w:p>
        </w:tc>
        <w:tc>
          <w:tcPr>
            <w:tcW w:w="660" w:type="dxa"/>
            <w:vAlign w:val="bottom"/>
          </w:tcPr>
          <w:p>
            <w:pPr>
              <w:spacing w:after="0"/>
              <w:rPr>
                <w:sz w:val="14"/>
                <w:szCs w:val="14"/>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262</w:t>
            </w:r>
          </w:p>
        </w:tc>
        <w:tc>
          <w:tcPr>
            <w:tcW w:w="12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w w:val="89"/>
              </w:rPr>
              <w:t>2,820,000</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95%</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280"/>
          </w:cols>
          <w:pgMar w:left="320" w:top="747" w:right="299" w:bottom="1440" w:gutter="0" w:footer="0" w:header="0"/>
        </w:sectPr>
      </w:pPr>
    </w:p>
    <w:p>
      <w:pPr>
        <w:spacing w:after="0" w:line="1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80"/>
          </w:cols>
          <w:pgMar w:left="320" w:top="747" w:right="299" w:bottom="1440" w:gutter="0" w:footer="0" w:header="0"/>
          <w:type w:val="continuous"/>
        </w:sectPr>
      </w:pPr>
    </w:p>
    <w:bookmarkStart w:id="25" w:name="page26"/>
    <w:bookmarkEnd w:id="25"/>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2018</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Lease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8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Grocery</w:t>
            </w:r>
          </w:p>
        </w:tc>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Obligation</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Leased</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6"/>
              </w:rPr>
              <w:t>Residential</w:t>
            </w:r>
          </w:p>
        </w:tc>
        <w:tc>
          <w:tcPr>
            <w:tcW w:w="58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2"/>
              </w:rPr>
              <w:t>Anchor</w:t>
            </w:r>
          </w:p>
        </w:tc>
        <w:tc>
          <w:tcPr>
            <w:tcW w:w="9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300" w:type="dxa"/>
            <w:vAlign w:val="bottom"/>
          </w:tcPr>
          <w:p>
            <w:pPr>
              <w:spacing w:after="0"/>
              <w:rPr>
                <w:sz w:val="11"/>
                <w:szCs w:val="11"/>
                <w:color w:val="auto"/>
              </w:rPr>
            </w:pPr>
          </w:p>
        </w:tc>
      </w:tr>
      <w:tr>
        <w:trPr>
          <w:trHeight w:val="174"/>
        </w:trPr>
        <w:tc>
          <w:tcPr>
            <w:tcW w:w="118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Property Name</w:t>
            </w:r>
          </w:p>
        </w:tc>
        <w:tc>
          <w:tcPr>
            <w:tcW w:w="5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MSA Description</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Acreage</w:t>
            </w: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GLA (2)</w:t>
            </w:r>
          </w:p>
        </w:tc>
        <w:tc>
          <w:tcPr>
            <w:tcW w:w="4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w:t>
            </w: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Units</w:t>
            </w: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4"/>
              </w:rPr>
              <w:t>GLA</w:t>
            </w: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3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600" w:type="dxa"/>
            <w:vAlign w:val="bottom"/>
            <w:gridSpan w:val="7"/>
            <w:shd w:val="clear" w:color="auto" w:fill="CCEEFF"/>
          </w:tcPr>
          <w:p>
            <w:pPr>
              <w:ind w:left="60"/>
              <w:spacing w:after="0"/>
              <w:rPr>
                <w:sz w:val="20"/>
                <w:szCs w:val="20"/>
                <w:color w:val="auto"/>
              </w:rPr>
            </w:pPr>
            <w:r>
              <w:rPr>
                <w:rFonts w:ascii="Arial" w:cs="Arial" w:eastAsia="Arial" w:hAnsi="Arial"/>
                <w:sz w:val="13"/>
                <w:szCs w:val="13"/>
                <w:b w:val="1"/>
                <w:bCs w:val="1"/>
                <w:color w:val="auto"/>
              </w:rPr>
              <w:t>Philadelphia Metropolitan Area</w:t>
            </w: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182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c>
          <w:tcPr>
            <w:tcW w:w="2300" w:type="dxa"/>
            <w:vAlign w:val="bottom"/>
            <w:tcBorders>
              <w:top w:val="single" w:sz="8" w:color="CCEEFF"/>
            </w:tcBorders>
            <w:shd w:val="clear" w:color="auto" w:fill="CCEEFF"/>
          </w:tcPr>
          <w:p>
            <w:pPr>
              <w:spacing w:after="0"/>
              <w:rPr>
                <w:sz w:val="8"/>
                <w:szCs w:val="8"/>
                <w:color w:val="auto"/>
              </w:rPr>
            </w:pPr>
          </w:p>
        </w:tc>
      </w:tr>
      <w:tr>
        <w:trPr>
          <w:trHeight w:val="173"/>
        </w:trPr>
        <w:tc>
          <w:tcPr>
            <w:tcW w:w="1180" w:type="dxa"/>
            <w:vAlign w:val="bottom"/>
            <w:gridSpan w:val="5"/>
          </w:tcPr>
          <w:p>
            <w:pPr>
              <w:ind w:left="20"/>
              <w:spacing w:after="0"/>
              <w:rPr>
                <w:sz w:val="20"/>
                <w:szCs w:val="20"/>
                <w:color w:val="auto"/>
              </w:rPr>
            </w:pPr>
            <w:r>
              <w:rPr>
                <w:rFonts w:ascii="Arial" w:cs="Arial" w:eastAsia="Arial" w:hAnsi="Arial"/>
                <w:sz w:val="13"/>
                <w:szCs w:val="13"/>
                <w:color w:val="auto"/>
              </w:rPr>
              <w:t>Andorra</w:t>
            </w:r>
          </w:p>
        </w:tc>
        <w:tc>
          <w:tcPr>
            <w:tcW w:w="500" w:type="dxa"/>
            <w:vAlign w:val="bottom"/>
          </w:tcPr>
          <w:p>
            <w:pPr>
              <w:spacing w:after="0"/>
              <w:rPr>
                <w:sz w:val="15"/>
                <w:szCs w:val="15"/>
                <w:color w:val="auto"/>
              </w:rPr>
            </w:pPr>
          </w:p>
        </w:tc>
        <w:tc>
          <w:tcPr>
            <w:tcW w:w="1940" w:type="dxa"/>
            <w:vAlign w:val="bottom"/>
            <w:gridSpan w:val="2"/>
          </w:tcPr>
          <w:p>
            <w:pPr>
              <w:ind w:left="40"/>
              <w:spacing w:after="0"/>
              <w:rPr>
                <w:sz w:val="20"/>
                <w:szCs w:val="20"/>
                <w:color w:val="auto"/>
              </w:rPr>
            </w:pPr>
            <w:r>
              <w:rPr>
                <w:rFonts w:ascii="Arial" w:cs="Arial" w:eastAsia="Arial" w:hAnsi="Arial"/>
                <w:sz w:val="13"/>
                <w:szCs w:val="13"/>
                <w:color w:val="auto"/>
              </w:rPr>
              <w:t>Philadelphia, PA-NJ</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25,875</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264,000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88%</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24,000</w:t>
            </w:r>
          </w:p>
        </w:tc>
        <w:tc>
          <w:tcPr>
            <w:tcW w:w="900" w:type="dxa"/>
            <w:vAlign w:val="bottom"/>
          </w:tcPr>
          <w:p>
            <w:pPr>
              <w:ind w:left="80"/>
              <w:spacing w:after="0"/>
              <w:rPr>
                <w:sz w:val="20"/>
                <w:szCs w:val="20"/>
                <w:color w:val="auto"/>
              </w:rPr>
            </w:pPr>
            <w:r>
              <w:rPr>
                <w:rFonts w:ascii="Arial" w:cs="Arial" w:eastAsia="Arial" w:hAnsi="Arial"/>
                <w:sz w:val="13"/>
                <w:szCs w:val="13"/>
                <w:color w:val="auto"/>
                <w:w w:val="96"/>
              </w:rPr>
              <w:t>Acme Markets</w:t>
            </w:r>
          </w:p>
        </w:tc>
        <w:tc>
          <w:tcPr>
            <w:tcW w:w="2300" w:type="dxa"/>
            <w:vAlign w:val="bottom"/>
          </w:tcPr>
          <w:p>
            <w:pPr>
              <w:ind w:left="80"/>
              <w:spacing w:after="0"/>
              <w:rPr>
                <w:sz w:val="20"/>
                <w:szCs w:val="20"/>
                <w:color w:val="auto"/>
              </w:rPr>
            </w:pPr>
            <w:r>
              <w:rPr>
                <w:rFonts w:ascii="Arial" w:cs="Arial" w:eastAsia="Arial" w:hAnsi="Arial"/>
                <w:sz w:val="13"/>
                <w:szCs w:val="13"/>
                <w:color w:val="auto"/>
              </w:rPr>
              <w:t>Kohl's / L.A. Fitness / Staples</w:t>
            </w:r>
          </w:p>
        </w:tc>
      </w:tr>
      <w:tr>
        <w:trPr>
          <w:trHeight w:val="97"/>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73"/>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Bala Cynwyd</w:t>
            </w:r>
          </w:p>
        </w:tc>
        <w:tc>
          <w:tcPr>
            <w:tcW w:w="50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Philadelphia, PA-NJ</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42,000</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294,000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45,000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6"/>
              </w:rPr>
              <w:t>Acme Markets</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Lord &amp; Taylor / Michaels / L.A. Fitness</w:t>
            </w:r>
          </w:p>
        </w:tc>
      </w:tr>
      <w:tr>
        <w:trPr>
          <w:trHeight w:val="97"/>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73"/>
        </w:trPr>
        <w:tc>
          <w:tcPr>
            <w:tcW w:w="1180" w:type="dxa"/>
            <w:vAlign w:val="bottom"/>
            <w:gridSpan w:val="5"/>
          </w:tcPr>
          <w:p>
            <w:pPr>
              <w:ind w:left="20"/>
              <w:spacing w:after="0"/>
              <w:rPr>
                <w:sz w:val="20"/>
                <w:szCs w:val="20"/>
                <w:color w:val="auto"/>
              </w:rPr>
            </w:pPr>
            <w:r>
              <w:rPr>
                <w:rFonts w:ascii="Arial" w:cs="Arial" w:eastAsia="Arial" w:hAnsi="Arial"/>
                <w:sz w:val="13"/>
                <w:szCs w:val="13"/>
                <w:color w:val="auto"/>
              </w:rPr>
              <w:t>Ellisburg</w:t>
            </w:r>
          </w:p>
        </w:tc>
        <w:tc>
          <w:tcPr>
            <w:tcW w:w="500" w:type="dxa"/>
            <w:vAlign w:val="bottom"/>
          </w:tcPr>
          <w:p>
            <w:pPr>
              <w:spacing w:after="0"/>
              <w:rPr>
                <w:sz w:val="15"/>
                <w:szCs w:val="15"/>
                <w:color w:val="auto"/>
              </w:rPr>
            </w:pPr>
          </w:p>
        </w:tc>
        <w:tc>
          <w:tcPr>
            <w:tcW w:w="1940" w:type="dxa"/>
            <w:vAlign w:val="bottom"/>
            <w:gridSpan w:val="2"/>
          </w:tcPr>
          <w:p>
            <w:pPr>
              <w:ind w:left="40"/>
              <w:spacing w:after="0"/>
              <w:rPr>
                <w:sz w:val="20"/>
                <w:szCs w:val="20"/>
                <w:color w:val="auto"/>
              </w:rPr>
            </w:pPr>
            <w:r>
              <w:rPr>
                <w:rFonts w:ascii="Arial" w:cs="Arial" w:eastAsia="Arial" w:hAnsi="Arial"/>
                <w:sz w:val="13"/>
                <w:szCs w:val="13"/>
                <w:color w:val="auto"/>
              </w:rPr>
              <w:t>Philadelphia, PA-NJ</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34,556</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268,000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93%</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47,000</w:t>
            </w:r>
          </w:p>
        </w:tc>
        <w:tc>
          <w:tcPr>
            <w:tcW w:w="900" w:type="dxa"/>
            <w:vAlign w:val="bottom"/>
          </w:tcPr>
          <w:p>
            <w:pPr>
              <w:ind w:left="80"/>
              <w:spacing w:after="0"/>
              <w:rPr>
                <w:sz w:val="20"/>
                <w:szCs w:val="20"/>
                <w:color w:val="auto"/>
              </w:rPr>
            </w:pPr>
            <w:r>
              <w:rPr>
                <w:rFonts w:ascii="Arial" w:cs="Arial" w:eastAsia="Arial" w:hAnsi="Arial"/>
                <w:sz w:val="13"/>
                <w:szCs w:val="13"/>
                <w:color w:val="auto"/>
              </w:rPr>
              <w:t>Whole Foods</w:t>
            </w:r>
          </w:p>
        </w:tc>
        <w:tc>
          <w:tcPr>
            <w:tcW w:w="2300" w:type="dxa"/>
            <w:vAlign w:val="bottom"/>
          </w:tcPr>
          <w:p>
            <w:pPr>
              <w:ind w:left="80"/>
              <w:spacing w:after="0"/>
              <w:rPr>
                <w:sz w:val="20"/>
                <w:szCs w:val="20"/>
                <w:color w:val="auto"/>
              </w:rPr>
            </w:pPr>
            <w:r>
              <w:rPr>
                <w:rFonts w:ascii="Arial" w:cs="Arial" w:eastAsia="Arial" w:hAnsi="Arial"/>
                <w:sz w:val="13"/>
                <w:szCs w:val="13"/>
                <w:color w:val="auto"/>
              </w:rPr>
              <w:t>Buy Buy Baby / Stein Mart</w:t>
            </w:r>
          </w:p>
        </w:tc>
      </w:tr>
      <w:tr>
        <w:trPr>
          <w:trHeight w:val="97"/>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73"/>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Flourtown</w:t>
            </w:r>
          </w:p>
        </w:tc>
        <w:tc>
          <w:tcPr>
            <w:tcW w:w="50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Philadelphia, PA-NJ</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16,990</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156,000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75,000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Movie Tavern</w:t>
            </w:r>
          </w:p>
        </w:tc>
      </w:tr>
      <w:tr>
        <w:trPr>
          <w:trHeight w:val="97"/>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48"/>
        </w:trPr>
        <w:tc>
          <w:tcPr>
            <w:tcW w:w="118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Langhorne Square</w:t>
            </w:r>
          </w:p>
        </w:tc>
        <w:tc>
          <w:tcPr>
            <w:tcW w:w="500" w:type="dxa"/>
            <w:vAlign w:val="bottom"/>
          </w:tcPr>
          <w:p>
            <w:pPr>
              <w:spacing w:after="0"/>
              <w:rPr>
                <w:sz w:val="12"/>
                <w:szCs w:val="12"/>
                <w:color w:val="auto"/>
              </w:rPr>
            </w:pPr>
          </w:p>
        </w:tc>
        <w:tc>
          <w:tcPr>
            <w:tcW w:w="19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Philadelphia, PA-NJ</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22,188</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227,000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55,000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Redner's</w:t>
            </w: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rPr>
              <w:t>Marshalls / Planet Fitness</w:t>
            </w:r>
          </w:p>
        </w:tc>
      </w:tr>
      <w:tr>
        <w:trPr>
          <w:trHeight w:val="135"/>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3"/>
                <w:szCs w:val="13"/>
                <w:color w:val="auto"/>
              </w:rPr>
              <w:t>Warehouse</w:t>
            </w:r>
          </w:p>
        </w:tc>
        <w:tc>
          <w:tcPr>
            <w:tcW w:w="2300" w:type="dxa"/>
            <w:vAlign w:val="bottom"/>
          </w:tcPr>
          <w:p>
            <w:pPr>
              <w:spacing w:after="0"/>
              <w:rPr>
                <w:sz w:val="11"/>
                <w:szCs w:val="11"/>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Arial" w:cs="Arial" w:eastAsia="Arial" w:hAnsi="Arial"/>
                <w:sz w:val="13"/>
                <w:szCs w:val="13"/>
                <w:color w:val="auto"/>
              </w:rPr>
              <w:t>Mkts.</w:t>
            </w:r>
          </w:p>
        </w:tc>
        <w:tc>
          <w:tcPr>
            <w:tcW w:w="2300" w:type="dxa"/>
            <w:vAlign w:val="bottom"/>
          </w:tcPr>
          <w:p>
            <w:pPr>
              <w:spacing w:after="0"/>
              <w:rPr>
                <w:sz w:val="14"/>
                <w:szCs w:val="14"/>
                <w:color w:val="auto"/>
              </w:rPr>
            </w:pPr>
          </w:p>
        </w:tc>
      </w:tr>
      <w:tr>
        <w:trPr>
          <w:trHeight w:val="181"/>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Lawrence Park</w:t>
            </w:r>
          </w:p>
        </w:tc>
        <w:tc>
          <w:tcPr>
            <w:tcW w:w="50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Philadelphia, PA-NJ</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35,242</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374,000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53,000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6"/>
              </w:rPr>
              <w:t>Acme Markets</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3"/>
              </w:rPr>
              <w:t>TJ Maxx / HomeGoods / Barnes &amp; Noble</w:t>
            </w:r>
          </w:p>
        </w:tc>
      </w:tr>
      <w:tr>
        <w:trPr>
          <w:trHeight w:val="97"/>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73"/>
        </w:trPr>
        <w:tc>
          <w:tcPr>
            <w:tcW w:w="1180" w:type="dxa"/>
            <w:vAlign w:val="bottom"/>
            <w:gridSpan w:val="5"/>
          </w:tcPr>
          <w:p>
            <w:pPr>
              <w:ind w:left="20"/>
              <w:spacing w:after="0"/>
              <w:rPr>
                <w:sz w:val="20"/>
                <w:szCs w:val="20"/>
                <w:color w:val="auto"/>
              </w:rPr>
            </w:pPr>
            <w:r>
              <w:rPr>
                <w:rFonts w:ascii="Arial" w:cs="Arial" w:eastAsia="Arial" w:hAnsi="Arial"/>
                <w:sz w:val="13"/>
                <w:szCs w:val="13"/>
                <w:color w:val="auto"/>
              </w:rPr>
              <w:t>Northeast</w:t>
            </w:r>
          </w:p>
        </w:tc>
        <w:tc>
          <w:tcPr>
            <w:tcW w:w="500" w:type="dxa"/>
            <w:vAlign w:val="bottom"/>
          </w:tcPr>
          <w:p>
            <w:pPr>
              <w:spacing w:after="0"/>
              <w:rPr>
                <w:sz w:val="15"/>
                <w:szCs w:val="15"/>
                <w:color w:val="auto"/>
              </w:rPr>
            </w:pPr>
          </w:p>
        </w:tc>
        <w:tc>
          <w:tcPr>
            <w:tcW w:w="1940" w:type="dxa"/>
            <w:vAlign w:val="bottom"/>
            <w:gridSpan w:val="2"/>
          </w:tcPr>
          <w:p>
            <w:pPr>
              <w:ind w:left="40"/>
              <w:spacing w:after="0"/>
              <w:rPr>
                <w:sz w:val="20"/>
                <w:szCs w:val="20"/>
                <w:color w:val="auto"/>
              </w:rPr>
            </w:pPr>
            <w:r>
              <w:rPr>
                <w:rFonts w:ascii="Arial" w:cs="Arial" w:eastAsia="Arial" w:hAnsi="Arial"/>
                <w:sz w:val="13"/>
                <w:szCs w:val="13"/>
                <w:color w:val="auto"/>
              </w:rPr>
              <w:t>Philadelphia, PA-NJ</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30,776</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288,000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85%</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00" w:type="dxa"/>
            <w:vAlign w:val="bottom"/>
          </w:tcPr>
          <w:p>
            <w:pPr>
              <w:ind w:left="80"/>
              <w:spacing w:after="0"/>
              <w:rPr>
                <w:sz w:val="20"/>
                <w:szCs w:val="20"/>
                <w:color w:val="auto"/>
              </w:rPr>
            </w:pPr>
            <w:r>
              <w:rPr>
                <w:rFonts w:ascii="Arial" w:cs="Arial" w:eastAsia="Arial" w:hAnsi="Arial"/>
                <w:sz w:val="13"/>
                <w:szCs w:val="13"/>
                <w:color w:val="auto"/>
              </w:rPr>
              <w:t>Marshalls / Burlington / A.C. Moore</w:t>
            </w:r>
          </w:p>
        </w:tc>
      </w:tr>
      <w:tr>
        <w:trPr>
          <w:trHeight w:val="97"/>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48"/>
        </w:trPr>
        <w:tc>
          <w:tcPr>
            <w:tcW w:w="1180" w:type="dxa"/>
            <w:vAlign w:val="bottom"/>
            <w:gridSpan w:val="5"/>
            <w:shd w:val="clear" w:color="auto" w:fill="CCEEFF"/>
          </w:tcPr>
          <w:p>
            <w:pPr>
              <w:ind w:left="20"/>
              <w:spacing w:after="0" w:line="148" w:lineRule="exact"/>
              <w:rPr>
                <w:sz w:val="20"/>
                <w:szCs w:val="20"/>
                <w:color w:val="auto"/>
              </w:rPr>
            </w:pPr>
            <w:r>
              <w:rPr>
                <w:rFonts w:ascii="Arial" w:cs="Arial" w:eastAsia="Arial" w:hAnsi="Arial"/>
                <w:sz w:val="13"/>
                <w:szCs w:val="13"/>
                <w:color w:val="auto"/>
                <w:w w:val="96"/>
              </w:rPr>
              <w:t>Town Center of New</w:t>
            </w:r>
          </w:p>
        </w:tc>
        <w:tc>
          <w:tcPr>
            <w:tcW w:w="50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Philadelphia, PA-NJ</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15,286</w:t>
            </w: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124,000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90%</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36,000</w:t>
            </w:r>
          </w:p>
        </w:tc>
        <w:tc>
          <w:tcPr>
            <w:tcW w:w="9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Giant Food</w:t>
            </w:r>
          </w:p>
        </w:tc>
        <w:tc>
          <w:tcPr>
            <w:tcW w:w="23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Rite Aid / Dollar Tree</w:t>
            </w:r>
          </w:p>
        </w:tc>
      </w:tr>
      <w:tr>
        <w:trPr>
          <w:trHeight w:val="176"/>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Britain</w:t>
            </w: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173"/>
        </w:trPr>
        <w:tc>
          <w:tcPr>
            <w:tcW w:w="1180" w:type="dxa"/>
            <w:vAlign w:val="bottom"/>
            <w:gridSpan w:val="5"/>
          </w:tcPr>
          <w:p>
            <w:pPr>
              <w:ind w:left="20"/>
              <w:spacing w:after="0"/>
              <w:rPr>
                <w:sz w:val="20"/>
                <w:szCs w:val="20"/>
                <w:color w:val="auto"/>
              </w:rPr>
            </w:pPr>
            <w:r>
              <w:rPr>
                <w:rFonts w:ascii="Arial" w:cs="Arial" w:eastAsia="Arial" w:hAnsi="Arial"/>
                <w:sz w:val="13"/>
                <w:szCs w:val="13"/>
                <w:color w:val="auto"/>
              </w:rPr>
              <w:t>Willow Grove</w:t>
            </w:r>
          </w:p>
        </w:tc>
        <w:tc>
          <w:tcPr>
            <w:tcW w:w="500" w:type="dxa"/>
            <w:vAlign w:val="bottom"/>
          </w:tcPr>
          <w:p>
            <w:pPr>
              <w:spacing w:after="0"/>
              <w:rPr>
                <w:sz w:val="15"/>
                <w:szCs w:val="15"/>
                <w:color w:val="auto"/>
              </w:rPr>
            </w:pPr>
          </w:p>
        </w:tc>
        <w:tc>
          <w:tcPr>
            <w:tcW w:w="1940" w:type="dxa"/>
            <w:vAlign w:val="bottom"/>
            <w:gridSpan w:val="2"/>
          </w:tcPr>
          <w:p>
            <w:pPr>
              <w:ind w:left="40"/>
              <w:spacing w:after="0"/>
              <w:rPr>
                <w:sz w:val="20"/>
                <w:szCs w:val="20"/>
                <w:color w:val="auto"/>
              </w:rPr>
            </w:pPr>
            <w:r>
              <w:rPr>
                <w:rFonts w:ascii="Arial" w:cs="Arial" w:eastAsia="Arial" w:hAnsi="Arial"/>
                <w:sz w:val="13"/>
                <w:szCs w:val="13"/>
                <w:color w:val="auto"/>
              </w:rPr>
              <w:t>Philadelphia, PA-NJ</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30,279</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211,000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96%</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00" w:type="dxa"/>
            <w:vAlign w:val="bottom"/>
          </w:tcPr>
          <w:p>
            <w:pPr>
              <w:ind w:left="80"/>
              <w:spacing w:after="0"/>
              <w:rPr>
                <w:sz w:val="20"/>
                <w:szCs w:val="20"/>
                <w:color w:val="auto"/>
              </w:rPr>
            </w:pPr>
            <w:r>
              <w:rPr>
                <w:rFonts w:ascii="Arial" w:cs="Arial" w:eastAsia="Arial" w:hAnsi="Arial"/>
                <w:sz w:val="13"/>
                <w:szCs w:val="13"/>
                <w:color w:val="auto"/>
                <w:w w:val="91"/>
              </w:rPr>
              <w:t>Marshalls / HomeGoods / Barnes &amp; Noble</w:t>
            </w:r>
          </w:p>
        </w:tc>
      </w:tr>
      <w:tr>
        <w:trPr>
          <w:trHeight w:val="97"/>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73"/>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Wynnewood</w:t>
            </w:r>
          </w:p>
        </w:tc>
        <w:tc>
          <w:tcPr>
            <w:tcW w:w="50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Philadelphia, PA-NJ</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42,894</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251,000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w:t>
            </w: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98,000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8"/>
              </w:rPr>
              <w:t>Bed, Bath &amp; Beyond / Old Navy / DSW</w:t>
            </w:r>
          </w:p>
        </w:tc>
      </w:tr>
      <w:tr>
        <w:trPr>
          <w:trHeight w:val="97"/>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29"/>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40" w:type="dxa"/>
            <w:vAlign w:val="bottom"/>
            <w:gridSpan w:val="2"/>
          </w:tcPr>
          <w:p>
            <w:pPr>
              <w:ind w:left="40"/>
              <w:spacing w:after="0" w:line="129" w:lineRule="exact"/>
              <w:rPr>
                <w:sz w:val="20"/>
                <w:szCs w:val="20"/>
                <w:color w:val="auto"/>
              </w:rPr>
            </w:pPr>
            <w:r>
              <w:rPr>
                <w:rFonts w:ascii="Arial" w:cs="Arial" w:eastAsia="Arial" w:hAnsi="Arial"/>
                <w:sz w:val="13"/>
                <w:szCs w:val="13"/>
                <w:b w:val="1"/>
                <w:bCs w:val="1"/>
                <w:color w:val="auto"/>
                <w:w w:val="97"/>
              </w:rPr>
              <w:t>Total Philadelphia Metropolitan</w:t>
            </w:r>
          </w:p>
        </w:tc>
        <w:tc>
          <w:tcPr>
            <w:tcW w:w="700" w:type="dxa"/>
            <w:vAlign w:val="bottom"/>
          </w:tcPr>
          <w:p>
            <w:pPr>
              <w:jc w:val="right"/>
              <w:ind w:right="57"/>
              <w:spacing w:after="0" w:line="129" w:lineRule="exact"/>
              <w:rPr>
                <w:sz w:val="20"/>
                <w:szCs w:val="20"/>
                <w:color w:val="auto"/>
              </w:rPr>
            </w:pPr>
            <w:r>
              <w:rPr>
                <w:rFonts w:ascii="Arial" w:cs="Arial" w:eastAsia="Arial" w:hAnsi="Arial"/>
                <w:sz w:val="13"/>
                <w:szCs w:val="13"/>
                <w:color w:val="auto"/>
              </w:rPr>
              <w:t>296,086</w:t>
            </w:r>
          </w:p>
        </w:tc>
        <w:tc>
          <w:tcPr>
            <w:tcW w:w="660" w:type="dxa"/>
            <w:vAlign w:val="bottom"/>
          </w:tcPr>
          <w:p>
            <w:pPr>
              <w:spacing w:after="0"/>
              <w:rPr>
                <w:sz w:val="11"/>
                <w:szCs w:val="11"/>
                <w:color w:val="auto"/>
              </w:rPr>
            </w:pPr>
          </w:p>
        </w:tc>
        <w:tc>
          <w:tcPr>
            <w:tcW w:w="480" w:type="dxa"/>
            <w:vAlign w:val="bottom"/>
          </w:tcPr>
          <w:p>
            <w:pPr>
              <w:jc w:val="right"/>
              <w:ind w:right="57"/>
              <w:spacing w:after="0" w:line="129" w:lineRule="exact"/>
              <w:rPr>
                <w:sz w:val="20"/>
                <w:szCs w:val="20"/>
                <w:color w:val="auto"/>
              </w:rPr>
            </w:pPr>
            <w:r>
              <w:rPr>
                <w:rFonts w:ascii="Arial" w:cs="Arial" w:eastAsia="Arial" w:hAnsi="Arial"/>
                <w:sz w:val="13"/>
                <w:szCs w:val="13"/>
                <w:color w:val="auto"/>
              </w:rPr>
              <w:t>210</w:t>
            </w:r>
          </w:p>
        </w:tc>
        <w:tc>
          <w:tcPr>
            <w:tcW w:w="120" w:type="dxa"/>
            <w:vAlign w:val="bottom"/>
          </w:tcPr>
          <w:p>
            <w:pPr>
              <w:spacing w:after="0"/>
              <w:rPr>
                <w:sz w:val="11"/>
                <w:szCs w:val="11"/>
                <w:color w:val="auto"/>
              </w:rPr>
            </w:pPr>
          </w:p>
        </w:tc>
        <w:tc>
          <w:tcPr>
            <w:tcW w:w="660" w:type="dxa"/>
            <w:vAlign w:val="bottom"/>
          </w:tcPr>
          <w:p>
            <w:pPr>
              <w:jc w:val="right"/>
              <w:ind w:right="57"/>
              <w:spacing w:after="0" w:line="129" w:lineRule="exact"/>
              <w:rPr>
                <w:sz w:val="20"/>
                <w:szCs w:val="20"/>
                <w:color w:val="auto"/>
              </w:rPr>
            </w:pPr>
            <w:r>
              <w:rPr>
                <w:rFonts w:ascii="Arial" w:cs="Arial" w:eastAsia="Arial" w:hAnsi="Arial"/>
                <w:sz w:val="13"/>
                <w:szCs w:val="13"/>
                <w:color w:val="auto"/>
                <w:w w:val="89"/>
              </w:rPr>
              <w:t>2,457,000</w:t>
            </w:r>
          </w:p>
        </w:tc>
        <w:tc>
          <w:tcPr>
            <w:tcW w:w="10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3"/>
                <w:szCs w:val="13"/>
                <w:color w:val="auto"/>
              </w:rPr>
              <w:t>95%</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170"/>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40" w:type="dxa"/>
            <w:vAlign w:val="bottom"/>
            <w:gridSpan w:val="2"/>
          </w:tcPr>
          <w:p>
            <w:pPr>
              <w:ind w:left="40"/>
              <w:spacing w:after="0"/>
              <w:rPr>
                <w:sz w:val="20"/>
                <w:szCs w:val="20"/>
                <w:color w:val="auto"/>
              </w:rPr>
            </w:pPr>
            <w:r>
              <w:rPr>
                <w:rFonts w:ascii="Arial" w:cs="Arial" w:eastAsia="Arial" w:hAnsi="Arial"/>
                <w:sz w:val="13"/>
                <w:szCs w:val="13"/>
                <w:b w:val="1"/>
                <w:bCs w:val="1"/>
                <w:color w:val="auto"/>
              </w:rPr>
              <w:t>Area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95"/>
        </w:trPr>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r>
      <w:tr>
        <w:trPr>
          <w:trHeight w:val="149"/>
        </w:trPr>
        <w:tc>
          <w:tcPr>
            <w:tcW w:w="20" w:type="dxa"/>
            <w:vAlign w:val="bottom"/>
          </w:tcPr>
          <w:p>
            <w:pPr>
              <w:spacing w:after="0"/>
              <w:rPr>
                <w:sz w:val="12"/>
                <w:szCs w:val="12"/>
                <w:color w:val="auto"/>
              </w:rPr>
            </w:pPr>
          </w:p>
        </w:tc>
        <w:tc>
          <w:tcPr>
            <w:tcW w:w="1160" w:type="dxa"/>
            <w:vAlign w:val="bottom"/>
            <w:gridSpan w:val="4"/>
          </w:tcPr>
          <w:p>
            <w:pPr>
              <w:ind w:left="60"/>
              <w:spacing w:after="0"/>
              <w:rPr>
                <w:sz w:val="20"/>
                <w:szCs w:val="20"/>
                <w:color w:val="auto"/>
              </w:rPr>
            </w:pPr>
            <w:r>
              <w:rPr>
                <w:rFonts w:ascii="Arial" w:cs="Arial" w:eastAsia="Arial" w:hAnsi="Arial"/>
                <w:sz w:val="13"/>
                <w:szCs w:val="13"/>
                <w:b w:val="1"/>
                <w:bCs w:val="1"/>
                <w:color w:val="auto"/>
              </w:rPr>
              <w:t>New England</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02"/>
        </w:trPr>
        <w:tc>
          <w:tcPr>
            <w:tcW w:w="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48"/>
        </w:trPr>
        <w:tc>
          <w:tcPr>
            <w:tcW w:w="1180" w:type="dxa"/>
            <w:vAlign w:val="bottom"/>
            <w:gridSpan w:val="5"/>
            <w:shd w:val="clear" w:color="auto" w:fill="CCEEFF"/>
          </w:tcPr>
          <w:p>
            <w:pPr>
              <w:ind w:left="20"/>
              <w:spacing w:after="0" w:line="148" w:lineRule="exact"/>
              <w:rPr>
                <w:sz w:val="20"/>
                <w:szCs w:val="20"/>
                <w:color w:val="auto"/>
              </w:rPr>
            </w:pPr>
            <w:r>
              <w:rPr>
                <w:rFonts w:ascii="Arial" w:cs="Arial" w:eastAsia="Arial" w:hAnsi="Arial"/>
                <w:sz w:val="13"/>
                <w:szCs w:val="13"/>
                <w:color w:val="auto"/>
              </w:rPr>
              <w:t>Assembly Row /</w:t>
            </w:r>
          </w:p>
        </w:tc>
        <w:tc>
          <w:tcPr>
            <w:tcW w:w="5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(4)</w:t>
            </w:r>
          </w:p>
        </w:tc>
        <w:tc>
          <w:tcPr>
            <w:tcW w:w="19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92"/>
              </w:rPr>
              <w:t>Boston-Cambridge-Quincy, MA-NH</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720,789</w:t>
            </w: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65</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871,000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363</w:t>
            </w: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18,000</w:t>
            </w:r>
          </w:p>
        </w:tc>
        <w:tc>
          <w:tcPr>
            <w:tcW w:w="9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Trader Joe's</w:t>
            </w:r>
          </w:p>
        </w:tc>
        <w:tc>
          <w:tcPr>
            <w:tcW w:w="23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95"/>
              </w:rPr>
              <w:t>TJ Maxx / AMC / LEGOLAND Discovery</w:t>
            </w:r>
          </w:p>
        </w:tc>
      </w:tr>
      <w:tr>
        <w:trPr>
          <w:trHeight w:val="135"/>
        </w:trPr>
        <w:tc>
          <w:tcPr>
            <w:tcW w:w="1180" w:type="dxa"/>
            <w:vAlign w:val="bottom"/>
            <w:gridSpan w:val="5"/>
            <w:shd w:val="clear" w:color="auto" w:fill="CCEEFF"/>
          </w:tcPr>
          <w:p>
            <w:pPr>
              <w:ind w:left="20"/>
              <w:spacing w:after="0" w:line="135" w:lineRule="exact"/>
              <w:rPr>
                <w:sz w:val="20"/>
                <w:szCs w:val="20"/>
                <w:color w:val="auto"/>
              </w:rPr>
            </w:pPr>
            <w:r>
              <w:rPr>
                <w:rFonts w:ascii="Arial" w:cs="Arial" w:eastAsia="Arial" w:hAnsi="Arial"/>
                <w:sz w:val="13"/>
                <w:szCs w:val="13"/>
                <w:color w:val="auto"/>
              </w:rPr>
              <w:t>Assembly Square</w:t>
            </w: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3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97"/>
              </w:rPr>
              <w:t>Center / Multiple Restaurants &amp; Outlets</w:t>
            </w:r>
          </w:p>
        </w:tc>
      </w:tr>
      <w:tr>
        <w:trPr>
          <w:trHeight w:val="176"/>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Marketplace</w:t>
            </w: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148"/>
        </w:trPr>
        <w:tc>
          <w:tcPr>
            <w:tcW w:w="118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Atlantic Plaza</w:t>
            </w:r>
          </w:p>
        </w:tc>
        <w:tc>
          <w:tcPr>
            <w:tcW w:w="500" w:type="dxa"/>
            <w:vAlign w:val="bottom"/>
          </w:tcPr>
          <w:p>
            <w:pPr>
              <w:spacing w:after="0"/>
              <w:rPr>
                <w:sz w:val="12"/>
                <w:szCs w:val="12"/>
                <w:color w:val="auto"/>
              </w:rPr>
            </w:pPr>
          </w:p>
        </w:tc>
        <w:tc>
          <w:tcPr>
            <w:tcW w:w="19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Boston-Worcester-Lawrence-</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25,798</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13</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126,000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64,000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Stop &amp; Shop</w:t>
            </w:r>
          </w:p>
        </w:tc>
        <w:tc>
          <w:tcPr>
            <w:tcW w:w="2300" w:type="dxa"/>
            <w:vAlign w:val="bottom"/>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40" w:type="dxa"/>
            <w:vAlign w:val="bottom"/>
            <w:gridSpan w:val="2"/>
          </w:tcPr>
          <w:p>
            <w:pPr>
              <w:ind w:left="40"/>
              <w:spacing w:after="0"/>
              <w:rPr>
                <w:sz w:val="20"/>
                <w:szCs w:val="20"/>
                <w:color w:val="auto"/>
              </w:rPr>
            </w:pPr>
            <w:r>
              <w:rPr>
                <w:rFonts w:ascii="Arial" w:cs="Arial" w:eastAsia="Arial" w:hAnsi="Arial"/>
                <w:sz w:val="13"/>
                <w:szCs w:val="13"/>
                <w:color w:val="auto"/>
              </w:rPr>
              <w:t>Lowell-Brockton, MA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56"/>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Campus Plaza</w:t>
            </w:r>
          </w:p>
        </w:tc>
        <w:tc>
          <w:tcPr>
            <w:tcW w:w="500" w:type="dxa"/>
            <w:vAlign w:val="bottom"/>
            <w:shd w:val="clear" w:color="auto" w:fill="CCEEFF"/>
          </w:tcPr>
          <w:p>
            <w:pPr>
              <w:spacing w:after="0"/>
              <w:rPr>
                <w:sz w:val="13"/>
                <w:szCs w:val="13"/>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Boston-Worcester-Lawrence-</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30,552</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116,000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46,000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Roche Bros.</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Burlington</w:t>
            </w: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Lowell-Brockton, MA</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173"/>
        </w:trPr>
        <w:tc>
          <w:tcPr>
            <w:tcW w:w="1180" w:type="dxa"/>
            <w:vAlign w:val="bottom"/>
            <w:gridSpan w:val="5"/>
          </w:tcPr>
          <w:p>
            <w:pPr>
              <w:ind w:left="20"/>
              <w:spacing w:after="0"/>
              <w:rPr>
                <w:sz w:val="20"/>
                <w:szCs w:val="20"/>
                <w:color w:val="auto"/>
              </w:rPr>
            </w:pPr>
            <w:r>
              <w:rPr>
                <w:rFonts w:ascii="Arial" w:cs="Arial" w:eastAsia="Arial" w:hAnsi="Arial"/>
                <w:sz w:val="13"/>
                <w:szCs w:val="13"/>
                <w:color w:val="auto"/>
              </w:rPr>
              <w:t>Chelsea Commons</w:t>
            </w:r>
          </w:p>
        </w:tc>
        <w:tc>
          <w:tcPr>
            <w:tcW w:w="500" w:type="dxa"/>
            <w:vAlign w:val="bottom"/>
          </w:tcPr>
          <w:p>
            <w:pPr>
              <w:spacing w:after="0"/>
              <w:rPr>
                <w:sz w:val="15"/>
                <w:szCs w:val="15"/>
                <w:color w:val="auto"/>
              </w:rPr>
            </w:pPr>
          </w:p>
        </w:tc>
        <w:tc>
          <w:tcPr>
            <w:tcW w:w="1940" w:type="dxa"/>
            <w:vAlign w:val="bottom"/>
            <w:gridSpan w:val="2"/>
          </w:tcPr>
          <w:p>
            <w:pPr>
              <w:ind w:left="40"/>
              <w:spacing w:after="0"/>
              <w:rPr>
                <w:sz w:val="20"/>
                <w:szCs w:val="20"/>
                <w:color w:val="auto"/>
              </w:rPr>
            </w:pPr>
            <w:r>
              <w:rPr>
                <w:rFonts w:ascii="Arial" w:cs="Arial" w:eastAsia="Arial" w:hAnsi="Arial"/>
                <w:sz w:val="13"/>
                <w:szCs w:val="13"/>
                <w:color w:val="auto"/>
                <w:w w:val="92"/>
              </w:rPr>
              <w:t>Boston-Cambridge-Quincy, MA-NH</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42,933</w:t>
            </w:r>
          </w:p>
        </w:tc>
        <w:tc>
          <w:tcPr>
            <w:tcW w:w="660" w:type="dxa"/>
            <w:vAlign w:val="bottom"/>
          </w:tcPr>
          <w:p>
            <w:pPr>
              <w:jc w:val="right"/>
              <w:ind w:right="59"/>
              <w:spacing w:after="0"/>
              <w:rPr>
                <w:sz w:val="20"/>
                <w:szCs w:val="20"/>
                <w:color w:val="auto"/>
              </w:rPr>
            </w:pPr>
            <w:r>
              <w:rPr>
                <w:rFonts w:ascii="Arial" w:cs="Arial" w:eastAsia="Arial" w:hAnsi="Arial"/>
                <w:sz w:val="13"/>
                <w:szCs w:val="13"/>
                <w:color w:val="auto"/>
              </w:rPr>
              <w:t>6,105</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222,000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99%</w:t>
            </w: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56</w:t>
            </w: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00" w:type="dxa"/>
            <w:vAlign w:val="bottom"/>
          </w:tcPr>
          <w:p>
            <w:pPr>
              <w:ind w:left="80"/>
              <w:spacing w:after="0"/>
              <w:rPr>
                <w:sz w:val="20"/>
                <w:szCs w:val="20"/>
                <w:color w:val="auto"/>
              </w:rPr>
            </w:pPr>
            <w:r>
              <w:rPr>
                <w:rFonts w:ascii="Arial" w:cs="Arial" w:eastAsia="Arial" w:hAnsi="Arial"/>
                <w:sz w:val="13"/>
                <w:szCs w:val="13"/>
                <w:color w:val="auto"/>
              </w:rPr>
              <w:t>Home Depot / Planet Fitness</w:t>
            </w:r>
          </w:p>
        </w:tc>
      </w:tr>
      <w:tr>
        <w:trPr>
          <w:trHeight w:val="97"/>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73"/>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Dedham Plaza</w:t>
            </w:r>
          </w:p>
        </w:tc>
        <w:tc>
          <w:tcPr>
            <w:tcW w:w="50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2"/>
              </w:rPr>
              <w:t>Boston-Cambridge-Quincy, MA-NH</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41,402</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241,000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80,000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Star Market</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Planet Fitness</w:t>
            </w:r>
          </w:p>
        </w:tc>
      </w:tr>
      <w:tr>
        <w:trPr>
          <w:trHeight w:val="97"/>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73"/>
        </w:trPr>
        <w:tc>
          <w:tcPr>
            <w:tcW w:w="1180" w:type="dxa"/>
            <w:vAlign w:val="bottom"/>
            <w:gridSpan w:val="5"/>
          </w:tcPr>
          <w:p>
            <w:pPr>
              <w:ind w:left="20"/>
              <w:spacing w:after="0"/>
              <w:rPr>
                <w:sz w:val="20"/>
                <w:szCs w:val="20"/>
                <w:color w:val="auto"/>
              </w:rPr>
            </w:pPr>
            <w:r>
              <w:rPr>
                <w:rFonts w:ascii="Arial" w:cs="Arial" w:eastAsia="Arial" w:hAnsi="Arial"/>
                <w:sz w:val="13"/>
                <w:szCs w:val="13"/>
                <w:color w:val="auto"/>
              </w:rPr>
              <w:t>Linden Square</w:t>
            </w:r>
          </w:p>
        </w:tc>
        <w:tc>
          <w:tcPr>
            <w:tcW w:w="500" w:type="dxa"/>
            <w:vAlign w:val="bottom"/>
          </w:tcPr>
          <w:p>
            <w:pPr>
              <w:spacing w:after="0"/>
              <w:rPr>
                <w:sz w:val="15"/>
                <w:szCs w:val="15"/>
                <w:color w:val="auto"/>
              </w:rPr>
            </w:pPr>
          </w:p>
        </w:tc>
        <w:tc>
          <w:tcPr>
            <w:tcW w:w="1940" w:type="dxa"/>
            <w:vAlign w:val="bottom"/>
            <w:gridSpan w:val="2"/>
          </w:tcPr>
          <w:p>
            <w:pPr>
              <w:ind w:left="40"/>
              <w:spacing w:after="0"/>
              <w:rPr>
                <w:sz w:val="20"/>
                <w:szCs w:val="20"/>
                <w:color w:val="auto"/>
              </w:rPr>
            </w:pPr>
            <w:r>
              <w:rPr>
                <w:rFonts w:ascii="Arial" w:cs="Arial" w:eastAsia="Arial" w:hAnsi="Arial"/>
                <w:sz w:val="13"/>
                <w:szCs w:val="13"/>
                <w:color w:val="auto"/>
                <w:w w:val="92"/>
              </w:rPr>
              <w:t>Boston-Cambridge-Quincy, MA-NH</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149,198</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223,000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99%</w:t>
            </w: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7</w:t>
            </w: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50,000</w:t>
            </w:r>
          </w:p>
        </w:tc>
        <w:tc>
          <w:tcPr>
            <w:tcW w:w="900" w:type="dxa"/>
            <w:vAlign w:val="bottom"/>
          </w:tcPr>
          <w:p>
            <w:pPr>
              <w:ind w:left="80"/>
              <w:spacing w:after="0"/>
              <w:rPr>
                <w:sz w:val="20"/>
                <w:szCs w:val="20"/>
                <w:color w:val="auto"/>
              </w:rPr>
            </w:pPr>
            <w:r>
              <w:rPr>
                <w:rFonts w:ascii="Arial" w:cs="Arial" w:eastAsia="Arial" w:hAnsi="Arial"/>
                <w:sz w:val="13"/>
                <w:szCs w:val="13"/>
                <w:color w:val="auto"/>
              </w:rPr>
              <w:t>Roche Bros.</w:t>
            </w:r>
          </w:p>
        </w:tc>
        <w:tc>
          <w:tcPr>
            <w:tcW w:w="2300" w:type="dxa"/>
            <w:vAlign w:val="bottom"/>
          </w:tcPr>
          <w:p>
            <w:pPr>
              <w:ind w:left="80"/>
              <w:spacing w:after="0"/>
              <w:rPr>
                <w:sz w:val="20"/>
                <w:szCs w:val="20"/>
                <w:color w:val="auto"/>
              </w:rPr>
            </w:pPr>
            <w:r>
              <w:rPr>
                <w:rFonts w:ascii="Arial" w:cs="Arial" w:eastAsia="Arial" w:hAnsi="Arial"/>
                <w:sz w:val="13"/>
                <w:szCs w:val="13"/>
                <w:color w:val="auto"/>
              </w:rPr>
              <w:t>CVS</w:t>
            </w:r>
          </w:p>
        </w:tc>
      </w:tr>
      <w:tr>
        <w:trPr>
          <w:trHeight w:val="97"/>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73"/>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North Dartmouth</w:t>
            </w:r>
          </w:p>
        </w:tc>
        <w:tc>
          <w:tcPr>
            <w:tcW w:w="50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2"/>
              </w:rPr>
              <w:t>Boston-Cambridge-Quincy, MA-NH</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9,369</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48,000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Stop &amp; Shop</w:t>
            </w:r>
          </w:p>
        </w:tc>
        <w:tc>
          <w:tcPr>
            <w:tcW w:w="2300" w:type="dxa"/>
            <w:vAlign w:val="bottom"/>
            <w:shd w:val="clear" w:color="auto" w:fill="CCEEFF"/>
          </w:tcPr>
          <w:p>
            <w:pPr>
              <w:spacing w:after="0"/>
              <w:rPr>
                <w:sz w:val="15"/>
                <w:szCs w:val="15"/>
                <w:color w:val="auto"/>
              </w:rPr>
            </w:pPr>
          </w:p>
        </w:tc>
      </w:tr>
      <w:tr>
        <w:trPr>
          <w:trHeight w:val="97"/>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73"/>
        </w:trPr>
        <w:tc>
          <w:tcPr>
            <w:tcW w:w="1180" w:type="dxa"/>
            <w:vAlign w:val="bottom"/>
            <w:gridSpan w:val="5"/>
          </w:tcPr>
          <w:p>
            <w:pPr>
              <w:ind w:left="20"/>
              <w:spacing w:after="0"/>
              <w:rPr>
                <w:sz w:val="20"/>
                <w:szCs w:val="20"/>
                <w:color w:val="auto"/>
              </w:rPr>
            </w:pPr>
            <w:r>
              <w:rPr>
                <w:rFonts w:ascii="Arial" w:cs="Arial" w:eastAsia="Arial" w:hAnsi="Arial"/>
                <w:sz w:val="13"/>
                <w:szCs w:val="13"/>
                <w:color w:val="auto"/>
              </w:rPr>
              <w:t>Queen Anne Plaza</w:t>
            </w:r>
          </w:p>
        </w:tc>
        <w:tc>
          <w:tcPr>
            <w:tcW w:w="500" w:type="dxa"/>
            <w:vAlign w:val="bottom"/>
          </w:tcPr>
          <w:p>
            <w:pPr>
              <w:spacing w:after="0"/>
              <w:rPr>
                <w:sz w:val="15"/>
                <w:szCs w:val="15"/>
                <w:color w:val="auto"/>
              </w:rPr>
            </w:pPr>
          </w:p>
        </w:tc>
        <w:tc>
          <w:tcPr>
            <w:tcW w:w="1940" w:type="dxa"/>
            <w:vAlign w:val="bottom"/>
            <w:gridSpan w:val="2"/>
          </w:tcPr>
          <w:p>
            <w:pPr>
              <w:ind w:left="40"/>
              <w:spacing w:after="0"/>
              <w:rPr>
                <w:sz w:val="20"/>
                <w:szCs w:val="20"/>
                <w:color w:val="auto"/>
              </w:rPr>
            </w:pPr>
            <w:r>
              <w:rPr>
                <w:rFonts w:ascii="Arial" w:cs="Arial" w:eastAsia="Arial" w:hAnsi="Arial"/>
                <w:sz w:val="13"/>
                <w:szCs w:val="13"/>
                <w:color w:val="auto"/>
                <w:w w:val="92"/>
              </w:rPr>
              <w:t>Boston-Cambridge-Quincy, MA-NH</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18,295</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149,000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100%</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50,000</w:t>
            </w:r>
          </w:p>
        </w:tc>
        <w:tc>
          <w:tcPr>
            <w:tcW w:w="900" w:type="dxa"/>
            <w:vAlign w:val="bottom"/>
          </w:tcPr>
          <w:p>
            <w:pPr>
              <w:ind w:left="80"/>
              <w:spacing w:after="0"/>
              <w:rPr>
                <w:sz w:val="20"/>
                <w:szCs w:val="20"/>
                <w:color w:val="auto"/>
              </w:rPr>
            </w:pPr>
            <w:r>
              <w:rPr>
                <w:rFonts w:ascii="Arial" w:cs="Arial" w:eastAsia="Arial" w:hAnsi="Arial"/>
                <w:sz w:val="13"/>
                <w:szCs w:val="13"/>
                <w:color w:val="auto"/>
              </w:rPr>
              <w:t>Big Y Foods</w:t>
            </w:r>
          </w:p>
        </w:tc>
        <w:tc>
          <w:tcPr>
            <w:tcW w:w="2300" w:type="dxa"/>
            <w:vAlign w:val="bottom"/>
          </w:tcPr>
          <w:p>
            <w:pPr>
              <w:ind w:left="80"/>
              <w:spacing w:after="0"/>
              <w:rPr>
                <w:sz w:val="20"/>
                <w:szCs w:val="20"/>
                <w:color w:val="auto"/>
              </w:rPr>
            </w:pPr>
            <w:r>
              <w:rPr>
                <w:rFonts w:ascii="Arial" w:cs="Arial" w:eastAsia="Arial" w:hAnsi="Arial"/>
                <w:sz w:val="13"/>
                <w:szCs w:val="13"/>
                <w:color w:val="auto"/>
              </w:rPr>
              <w:t>TJ Maxx / HomeGoods</w:t>
            </w:r>
          </w:p>
        </w:tc>
      </w:tr>
      <w:tr>
        <w:trPr>
          <w:trHeight w:val="97"/>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48"/>
        </w:trPr>
        <w:tc>
          <w:tcPr>
            <w:tcW w:w="1180" w:type="dxa"/>
            <w:vAlign w:val="bottom"/>
            <w:gridSpan w:val="5"/>
            <w:shd w:val="clear" w:color="auto" w:fill="CCEEFF"/>
          </w:tcPr>
          <w:p>
            <w:pPr>
              <w:ind w:left="20"/>
              <w:spacing w:after="0" w:line="148" w:lineRule="exact"/>
              <w:rPr>
                <w:sz w:val="20"/>
                <w:szCs w:val="20"/>
                <w:color w:val="auto"/>
              </w:rPr>
            </w:pPr>
            <w:r>
              <w:rPr>
                <w:rFonts w:ascii="Arial" w:cs="Arial" w:eastAsia="Arial" w:hAnsi="Arial"/>
                <w:sz w:val="13"/>
                <w:szCs w:val="13"/>
                <w:color w:val="auto"/>
              </w:rPr>
              <w:t>Saugus Plaza</w:t>
            </w:r>
          </w:p>
        </w:tc>
        <w:tc>
          <w:tcPr>
            <w:tcW w:w="50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92"/>
              </w:rPr>
              <w:t>Boston-Cambridge-Quincy, MA-NH</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15,303</w:t>
            </w: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169,000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55,000</w:t>
            </w:r>
          </w:p>
        </w:tc>
        <w:tc>
          <w:tcPr>
            <w:tcW w:w="9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Super Stop &amp;</w:t>
            </w:r>
          </w:p>
        </w:tc>
        <w:tc>
          <w:tcPr>
            <w:tcW w:w="2300" w:type="dxa"/>
            <w:vAlign w:val="bottom"/>
            <w:shd w:val="clear" w:color="auto" w:fill="CCEEFF"/>
          </w:tcPr>
          <w:p>
            <w:pPr>
              <w:spacing w:after="0"/>
              <w:rPr>
                <w:sz w:val="12"/>
                <w:szCs w:val="12"/>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w:t>
            </w:r>
          </w:p>
        </w:tc>
        <w:tc>
          <w:tcPr>
            <w:tcW w:w="2300" w:type="dxa"/>
            <w:vAlign w:val="bottom"/>
            <w:shd w:val="clear" w:color="auto" w:fill="CCEEFF"/>
          </w:tcPr>
          <w:p>
            <w:pPr>
              <w:spacing w:after="0"/>
              <w:rPr>
                <w:sz w:val="15"/>
                <w:szCs w:val="15"/>
                <w:color w:val="auto"/>
              </w:rPr>
            </w:pPr>
          </w:p>
        </w:tc>
      </w:tr>
      <w:tr>
        <w:trPr>
          <w:trHeight w:val="167"/>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4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 New England</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w w:val="96"/>
              </w:rPr>
              <w:t>1,053,639</w:t>
            </w:r>
          </w:p>
        </w:tc>
        <w:tc>
          <w:tcPr>
            <w:tcW w:w="660" w:type="dxa"/>
            <w:vAlign w:val="bottom"/>
          </w:tcPr>
          <w:p>
            <w:pPr>
              <w:spacing w:after="0"/>
              <w:rPr>
                <w:sz w:val="14"/>
                <w:szCs w:val="14"/>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228</w:t>
            </w:r>
          </w:p>
        </w:tc>
        <w:tc>
          <w:tcPr>
            <w:tcW w:w="12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w w:val="89"/>
              </w:rPr>
              <w:t>2,165,000</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98%</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84"/>
        </w:trPr>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300" w:type="dxa"/>
            <w:vAlign w:val="bottom"/>
          </w:tcPr>
          <w:p>
            <w:pPr>
              <w:spacing w:after="0"/>
              <w:rPr>
                <w:sz w:val="7"/>
                <w:szCs w:val="7"/>
                <w:color w:val="auto"/>
              </w:rPr>
            </w:pPr>
          </w:p>
        </w:tc>
      </w:tr>
      <w:tr>
        <w:trPr>
          <w:trHeight w:val="270"/>
        </w:trPr>
        <w:tc>
          <w:tcPr>
            <w:tcW w:w="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r>
      <w:tr>
        <w:trPr>
          <w:trHeight w:val="149"/>
        </w:trPr>
        <w:tc>
          <w:tcPr>
            <w:tcW w:w="20" w:type="dxa"/>
            <w:vAlign w:val="bottom"/>
          </w:tcPr>
          <w:p>
            <w:pPr>
              <w:spacing w:after="0"/>
              <w:rPr>
                <w:sz w:val="12"/>
                <w:szCs w:val="12"/>
                <w:color w:val="auto"/>
              </w:rPr>
            </w:pPr>
          </w:p>
        </w:tc>
        <w:tc>
          <w:tcPr>
            <w:tcW w:w="1160" w:type="dxa"/>
            <w:vAlign w:val="bottom"/>
            <w:gridSpan w:val="4"/>
          </w:tcPr>
          <w:p>
            <w:pPr>
              <w:ind w:left="60"/>
              <w:spacing w:after="0"/>
              <w:rPr>
                <w:sz w:val="20"/>
                <w:szCs w:val="20"/>
                <w:color w:val="auto"/>
              </w:rPr>
            </w:pPr>
            <w:r>
              <w:rPr>
                <w:rFonts w:ascii="Arial" w:cs="Arial" w:eastAsia="Arial" w:hAnsi="Arial"/>
                <w:sz w:val="13"/>
                <w:szCs w:val="13"/>
                <w:b w:val="1"/>
                <w:bCs w:val="1"/>
                <w:color w:val="auto"/>
              </w:rPr>
              <w:t>South Florida</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02"/>
        </w:trPr>
        <w:tc>
          <w:tcPr>
            <w:tcW w:w="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48"/>
        </w:trPr>
        <w:tc>
          <w:tcPr>
            <w:tcW w:w="1180" w:type="dxa"/>
            <w:vAlign w:val="bottom"/>
            <w:gridSpan w:val="5"/>
            <w:shd w:val="clear" w:color="auto" w:fill="CCEEFF"/>
          </w:tcPr>
          <w:p>
            <w:pPr>
              <w:ind w:left="20"/>
              <w:spacing w:after="0" w:line="148" w:lineRule="exact"/>
              <w:rPr>
                <w:sz w:val="20"/>
                <w:szCs w:val="20"/>
                <w:color w:val="auto"/>
              </w:rPr>
            </w:pPr>
            <w:r>
              <w:rPr>
                <w:rFonts w:ascii="Arial" w:cs="Arial" w:eastAsia="Arial" w:hAnsi="Arial"/>
                <w:sz w:val="13"/>
                <w:szCs w:val="13"/>
                <w:color w:val="auto"/>
              </w:rPr>
              <w:t>Cocowalk</w:t>
            </w:r>
          </w:p>
        </w:tc>
        <w:tc>
          <w:tcPr>
            <w:tcW w:w="5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(3) (8)</w:t>
            </w:r>
          </w:p>
        </w:tc>
        <w:tc>
          <w:tcPr>
            <w:tcW w:w="19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Miami-Ft Lauderdale</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122,024</w:t>
            </w: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171,000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76%</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3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96"/>
              </w:rPr>
              <w:t>Gap / Cinepolis Theaters / Youfit Health</w:t>
            </w: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Club</w:t>
            </w:r>
          </w:p>
        </w:tc>
      </w:tr>
      <w:tr>
        <w:trPr>
          <w:trHeight w:val="173"/>
        </w:trPr>
        <w:tc>
          <w:tcPr>
            <w:tcW w:w="1180" w:type="dxa"/>
            <w:vAlign w:val="bottom"/>
            <w:gridSpan w:val="5"/>
          </w:tcPr>
          <w:p>
            <w:pPr>
              <w:ind w:left="20"/>
              <w:spacing w:after="0"/>
              <w:rPr>
                <w:sz w:val="20"/>
                <w:szCs w:val="20"/>
                <w:color w:val="auto"/>
              </w:rPr>
            </w:pPr>
            <w:r>
              <w:rPr>
                <w:rFonts w:ascii="Arial" w:cs="Arial" w:eastAsia="Arial" w:hAnsi="Arial"/>
                <w:sz w:val="13"/>
                <w:szCs w:val="13"/>
                <w:color w:val="auto"/>
              </w:rPr>
              <w:t>Del Mar Village</w:t>
            </w:r>
          </w:p>
        </w:tc>
        <w:tc>
          <w:tcPr>
            <w:tcW w:w="500" w:type="dxa"/>
            <w:vAlign w:val="bottom"/>
          </w:tcPr>
          <w:p>
            <w:pPr>
              <w:spacing w:after="0"/>
              <w:rPr>
                <w:sz w:val="15"/>
                <w:szCs w:val="15"/>
                <w:color w:val="auto"/>
              </w:rPr>
            </w:pPr>
          </w:p>
        </w:tc>
        <w:tc>
          <w:tcPr>
            <w:tcW w:w="1940" w:type="dxa"/>
            <w:vAlign w:val="bottom"/>
            <w:gridSpan w:val="2"/>
          </w:tcPr>
          <w:p>
            <w:pPr>
              <w:ind w:left="40"/>
              <w:spacing w:after="0"/>
              <w:rPr>
                <w:sz w:val="20"/>
                <w:szCs w:val="20"/>
                <w:color w:val="auto"/>
              </w:rPr>
            </w:pPr>
            <w:r>
              <w:rPr>
                <w:rFonts w:ascii="Arial" w:cs="Arial" w:eastAsia="Arial" w:hAnsi="Arial"/>
                <w:sz w:val="13"/>
                <w:szCs w:val="13"/>
                <w:color w:val="auto"/>
              </w:rPr>
              <w:t>Miami-Ft Lauderdale</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70,698</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196,000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90%</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44,000</w:t>
            </w:r>
          </w:p>
        </w:tc>
        <w:tc>
          <w:tcPr>
            <w:tcW w:w="900" w:type="dxa"/>
            <w:vAlign w:val="bottom"/>
          </w:tcPr>
          <w:p>
            <w:pPr>
              <w:ind w:left="80"/>
              <w:spacing w:after="0"/>
              <w:rPr>
                <w:sz w:val="20"/>
                <w:szCs w:val="20"/>
                <w:color w:val="auto"/>
              </w:rPr>
            </w:pPr>
            <w:r>
              <w:rPr>
                <w:rFonts w:ascii="Arial" w:cs="Arial" w:eastAsia="Arial" w:hAnsi="Arial"/>
                <w:sz w:val="13"/>
                <w:szCs w:val="13"/>
                <w:color w:val="auto"/>
              </w:rPr>
              <w:t>Winn Dixie</w:t>
            </w:r>
          </w:p>
        </w:tc>
        <w:tc>
          <w:tcPr>
            <w:tcW w:w="2300" w:type="dxa"/>
            <w:vAlign w:val="bottom"/>
          </w:tcPr>
          <w:p>
            <w:pPr>
              <w:ind w:left="80"/>
              <w:spacing w:after="0"/>
              <w:rPr>
                <w:sz w:val="20"/>
                <w:szCs w:val="20"/>
                <w:color w:val="auto"/>
              </w:rPr>
            </w:pPr>
            <w:r>
              <w:rPr>
                <w:rFonts w:ascii="Arial" w:cs="Arial" w:eastAsia="Arial" w:hAnsi="Arial"/>
                <w:sz w:val="13"/>
                <w:szCs w:val="13"/>
                <w:color w:val="auto"/>
              </w:rPr>
              <w:t>CVS</w:t>
            </w:r>
          </w:p>
        </w:tc>
      </w:tr>
      <w:tr>
        <w:trPr>
          <w:trHeight w:val="97"/>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48"/>
        </w:trPr>
        <w:tc>
          <w:tcPr>
            <w:tcW w:w="1180" w:type="dxa"/>
            <w:vAlign w:val="bottom"/>
            <w:gridSpan w:val="5"/>
            <w:shd w:val="clear" w:color="auto" w:fill="CCEEFF"/>
          </w:tcPr>
          <w:p>
            <w:pPr>
              <w:ind w:left="20"/>
              <w:spacing w:after="0" w:line="148" w:lineRule="exact"/>
              <w:rPr>
                <w:sz w:val="20"/>
                <w:szCs w:val="20"/>
                <w:color w:val="auto"/>
              </w:rPr>
            </w:pPr>
            <w:r>
              <w:rPr>
                <w:rFonts w:ascii="Arial" w:cs="Arial" w:eastAsia="Arial" w:hAnsi="Arial"/>
                <w:sz w:val="13"/>
                <w:szCs w:val="13"/>
                <w:color w:val="auto"/>
                <w:w w:val="93"/>
              </w:rPr>
              <w:t>The Shops at Sunset</w:t>
            </w:r>
          </w:p>
        </w:tc>
        <w:tc>
          <w:tcPr>
            <w:tcW w:w="5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(3)</w:t>
            </w:r>
          </w:p>
        </w:tc>
        <w:tc>
          <w:tcPr>
            <w:tcW w:w="19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Miami-Ft Lauderdale</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123,927</w:t>
            </w:r>
          </w:p>
        </w:tc>
        <w:tc>
          <w:tcPr>
            <w:tcW w:w="660" w:type="dxa"/>
            <w:vAlign w:val="bottom"/>
            <w:shd w:val="clear" w:color="auto" w:fill="CCEEFF"/>
          </w:tcPr>
          <w:p>
            <w:pPr>
              <w:jc w:val="right"/>
              <w:ind w:right="59"/>
              <w:spacing w:after="0" w:line="148" w:lineRule="exact"/>
              <w:rPr>
                <w:sz w:val="20"/>
                <w:szCs w:val="20"/>
                <w:color w:val="auto"/>
              </w:rPr>
            </w:pPr>
            <w:r>
              <w:rPr>
                <w:rFonts w:ascii="Arial" w:cs="Arial" w:eastAsia="Arial" w:hAnsi="Arial"/>
                <w:sz w:val="13"/>
                <w:szCs w:val="13"/>
                <w:color w:val="auto"/>
              </w:rPr>
              <w:t>65,538</w:t>
            </w: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523,000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75%</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3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AMC / L.A. Fitness / Barnes &amp; Noble /</w:t>
            </w:r>
          </w:p>
        </w:tc>
      </w:tr>
      <w:tr>
        <w:trPr>
          <w:trHeight w:val="176"/>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Place</w:t>
            </w: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Restoration Hardware Outlet</w:t>
            </w:r>
          </w:p>
        </w:tc>
      </w:tr>
      <w:tr>
        <w:trPr>
          <w:trHeight w:val="148"/>
        </w:trPr>
        <w:tc>
          <w:tcPr>
            <w:tcW w:w="118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Tower Shops</w:t>
            </w:r>
          </w:p>
        </w:tc>
        <w:tc>
          <w:tcPr>
            <w:tcW w:w="500" w:type="dxa"/>
            <w:vAlign w:val="bottom"/>
          </w:tcPr>
          <w:p>
            <w:pPr>
              <w:spacing w:after="0"/>
              <w:rPr>
                <w:sz w:val="12"/>
                <w:szCs w:val="12"/>
                <w:color w:val="auto"/>
              </w:rPr>
            </w:pPr>
          </w:p>
        </w:tc>
        <w:tc>
          <w:tcPr>
            <w:tcW w:w="19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Miami-Ft Lauderdale</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97,647</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67</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426,000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12,000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w w:val="90"/>
              </w:rPr>
              <w:t>TJ Maxx / Ross Dress For Less / Best Buy</w:t>
            </w:r>
          </w:p>
        </w:tc>
      </w:tr>
      <w:tr>
        <w:trPr>
          <w:trHeight w:val="170"/>
        </w:trPr>
        <w:tc>
          <w:tcPr>
            <w:tcW w:w="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 DSW</w:t>
            </w:r>
          </w:p>
        </w:tc>
      </w:tr>
      <w:tr>
        <w:trPr>
          <w:trHeight w:val="173"/>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Total South Florida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414,296</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97</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9"/>
              </w:rPr>
              <w:t>1,316,000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84"/>
        </w:trPr>
        <w:tc>
          <w:tcPr>
            <w:tcW w:w="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2300" w:type="dxa"/>
            <w:vAlign w:val="bottom"/>
            <w:shd w:val="clear" w:color="auto" w:fill="CCEEFF"/>
          </w:tcPr>
          <w:p>
            <w:pPr>
              <w:spacing w:after="0"/>
              <w:rPr>
                <w:sz w:val="7"/>
                <w:szCs w:val="7"/>
                <w:color w:val="auto"/>
              </w:rPr>
            </w:pPr>
          </w:p>
        </w:tc>
      </w:tr>
      <w:tr>
        <w:trPr>
          <w:trHeight w:val="270"/>
        </w:trPr>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300" w:type="dxa"/>
            <w:vAlign w:val="bottom"/>
          </w:tcPr>
          <w:p>
            <w:pPr>
              <w:spacing w:after="0"/>
              <w:rPr>
                <w:sz w:val="23"/>
                <w:szCs w:val="23"/>
                <w:color w:val="auto"/>
              </w:rPr>
            </w:pPr>
          </w:p>
        </w:tc>
      </w:tr>
      <w:tr>
        <w:trPr>
          <w:trHeight w:val="149"/>
        </w:trPr>
        <w:tc>
          <w:tcPr>
            <w:tcW w:w="2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ind w:left="60"/>
              <w:spacing w:after="0"/>
              <w:rPr>
                <w:sz w:val="20"/>
                <w:szCs w:val="20"/>
                <w:color w:val="auto"/>
              </w:rPr>
            </w:pPr>
            <w:r>
              <w:rPr>
                <w:rFonts w:ascii="Arial" w:cs="Arial" w:eastAsia="Arial" w:hAnsi="Arial"/>
                <w:sz w:val="13"/>
                <w:szCs w:val="13"/>
                <w:b w:val="1"/>
                <w:bCs w:val="1"/>
                <w:color w:val="auto"/>
              </w:rPr>
              <w:t>Baltimore</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2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c>
          <w:tcPr>
            <w:tcW w:w="2300" w:type="dxa"/>
            <w:vAlign w:val="bottom"/>
            <w:tcBorders>
              <w:top w:val="single" w:sz="8" w:color="CCEEFF"/>
            </w:tcBorders>
            <w:shd w:val="clear" w:color="auto" w:fill="CCEEFF"/>
          </w:tcPr>
          <w:p>
            <w:pPr>
              <w:spacing w:after="0"/>
              <w:rPr>
                <w:sz w:val="8"/>
                <w:szCs w:val="8"/>
                <w:color w:val="auto"/>
              </w:rPr>
            </w:pPr>
          </w:p>
        </w:tc>
      </w:tr>
      <w:tr>
        <w:trPr>
          <w:trHeight w:val="173"/>
        </w:trPr>
        <w:tc>
          <w:tcPr>
            <w:tcW w:w="1180" w:type="dxa"/>
            <w:vAlign w:val="bottom"/>
            <w:gridSpan w:val="5"/>
          </w:tcPr>
          <w:p>
            <w:pPr>
              <w:ind w:left="20"/>
              <w:spacing w:after="0"/>
              <w:rPr>
                <w:sz w:val="20"/>
                <w:szCs w:val="20"/>
                <w:color w:val="auto"/>
              </w:rPr>
            </w:pPr>
            <w:r>
              <w:rPr>
                <w:rFonts w:ascii="Arial" w:cs="Arial" w:eastAsia="Arial" w:hAnsi="Arial"/>
                <w:sz w:val="13"/>
                <w:szCs w:val="13"/>
                <w:color w:val="auto"/>
              </w:rPr>
              <w:t>Governor Plaza</w:t>
            </w:r>
          </w:p>
        </w:tc>
        <w:tc>
          <w:tcPr>
            <w:tcW w:w="500" w:type="dxa"/>
            <w:vAlign w:val="bottom"/>
          </w:tcPr>
          <w:p>
            <w:pPr>
              <w:spacing w:after="0"/>
              <w:rPr>
                <w:sz w:val="15"/>
                <w:szCs w:val="15"/>
                <w:color w:val="auto"/>
              </w:rPr>
            </w:pPr>
          </w:p>
        </w:tc>
        <w:tc>
          <w:tcPr>
            <w:tcW w:w="1940" w:type="dxa"/>
            <w:vAlign w:val="bottom"/>
            <w:gridSpan w:val="2"/>
          </w:tcPr>
          <w:p>
            <w:pPr>
              <w:ind w:left="40"/>
              <w:spacing w:after="0"/>
              <w:rPr>
                <w:sz w:val="20"/>
                <w:szCs w:val="20"/>
                <w:color w:val="auto"/>
              </w:rPr>
            </w:pPr>
            <w:r>
              <w:rPr>
                <w:rFonts w:ascii="Arial" w:cs="Arial" w:eastAsia="Arial" w:hAnsi="Arial"/>
                <w:sz w:val="13"/>
                <w:szCs w:val="13"/>
                <w:color w:val="auto"/>
              </w:rPr>
              <w:t>Baltimore, MD</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27,332</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243,000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98%</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16,500</w:t>
            </w:r>
          </w:p>
        </w:tc>
        <w:tc>
          <w:tcPr>
            <w:tcW w:w="900" w:type="dxa"/>
            <w:vAlign w:val="bottom"/>
          </w:tcPr>
          <w:p>
            <w:pPr>
              <w:ind w:left="80"/>
              <w:spacing w:after="0"/>
              <w:rPr>
                <w:sz w:val="20"/>
                <w:szCs w:val="20"/>
                <w:color w:val="auto"/>
              </w:rPr>
            </w:pPr>
            <w:r>
              <w:rPr>
                <w:rFonts w:ascii="Arial" w:cs="Arial" w:eastAsia="Arial" w:hAnsi="Arial"/>
                <w:sz w:val="13"/>
                <w:szCs w:val="13"/>
                <w:color w:val="auto"/>
              </w:rPr>
              <w:t>Aldi</w:t>
            </w:r>
          </w:p>
        </w:tc>
        <w:tc>
          <w:tcPr>
            <w:tcW w:w="2300" w:type="dxa"/>
            <w:vAlign w:val="bottom"/>
          </w:tcPr>
          <w:p>
            <w:pPr>
              <w:ind w:left="80"/>
              <w:spacing w:after="0"/>
              <w:rPr>
                <w:sz w:val="20"/>
                <w:szCs w:val="20"/>
                <w:color w:val="auto"/>
              </w:rPr>
            </w:pPr>
            <w:r>
              <w:rPr>
                <w:rFonts w:ascii="Arial" w:cs="Arial" w:eastAsia="Arial" w:hAnsi="Arial"/>
                <w:sz w:val="13"/>
                <w:szCs w:val="13"/>
                <w:color w:val="auto"/>
              </w:rPr>
              <w:t>Dick's Sporting Goods / A.C. Moore</w:t>
            </w:r>
          </w:p>
        </w:tc>
      </w:tr>
      <w:tr>
        <w:trPr>
          <w:trHeight w:val="97"/>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48"/>
        </w:trPr>
        <w:tc>
          <w:tcPr>
            <w:tcW w:w="1180" w:type="dxa"/>
            <w:vAlign w:val="bottom"/>
            <w:gridSpan w:val="5"/>
            <w:shd w:val="clear" w:color="auto" w:fill="CCEEFF"/>
          </w:tcPr>
          <w:p>
            <w:pPr>
              <w:ind w:left="20"/>
              <w:spacing w:after="0" w:line="148" w:lineRule="exact"/>
              <w:rPr>
                <w:sz w:val="20"/>
                <w:szCs w:val="20"/>
                <w:color w:val="auto"/>
              </w:rPr>
            </w:pPr>
            <w:r>
              <w:rPr>
                <w:rFonts w:ascii="Arial" w:cs="Arial" w:eastAsia="Arial" w:hAnsi="Arial"/>
                <w:sz w:val="13"/>
                <w:szCs w:val="13"/>
                <w:color w:val="auto"/>
              </w:rPr>
              <w:t>Perring Plaza</w:t>
            </w:r>
          </w:p>
        </w:tc>
        <w:tc>
          <w:tcPr>
            <w:tcW w:w="50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Baltimore, MD</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31,129</w:t>
            </w: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396,000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58,000</w:t>
            </w:r>
          </w:p>
        </w:tc>
        <w:tc>
          <w:tcPr>
            <w:tcW w:w="9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89"/>
              </w:rPr>
              <w:t>Shoppers Food</w:t>
            </w:r>
          </w:p>
        </w:tc>
        <w:tc>
          <w:tcPr>
            <w:tcW w:w="23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96"/>
              </w:rPr>
              <w:t>Home Depot / Micro Center / Burlington</w:t>
            </w: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Warehouse</w:t>
            </w:r>
          </w:p>
        </w:tc>
        <w:tc>
          <w:tcPr>
            <w:tcW w:w="2300" w:type="dxa"/>
            <w:vAlign w:val="bottom"/>
            <w:shd w:val="clear" w:color="auto" w:fill="CCEEFF"/>
          </w:tcPr>
          <w:p>
            <w:pPr>
              <w:spacing w:after="0"/>
              <w:rPr>
                <w:sz w:val="15"/>
                <w:szCs w:val="15"/>
                <w:color w:val="auto"/>
              </w:rPr>
            </w:pPr>
          </w:p>
        </w:tc>
      </w:tr>
      <w:tr>
        <w:trPr>
          <w:trHeight w:val="148"/>
        </w:trPr>
        <w:tc>
          <w:tcPr>
            <w:tcW w:w="118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THE AVENUE at</w:t>
            </w:r>
          </w:p>
        </w:tc>
        <w:tc>
          <w:tcPr>
            <w:tcW w:w="500" w:type="dxa"/>
            <w:vAlign w:val="bottom"/>
          </w:tcPr>
          <w:p>
            <w:pPr>
              <w:jc w:val="center"/>
              <w:spacing w:after="0" w:line="148" w:lineRule="exact"/>
              <w:rPr>
                <w:sz w:val="20"/>
                <w:szCs w:val="20"/>
                <w:color w:val="auto"/>
              </w:rPr>
            </w:pPr>
            <w:r>
              <w:rPr>
                <w:rFonts w:ascii="Arial" w:cs="Arial" w:eastAsia="Arial" w:hAnsi="Arial"/>
                <w:sz w:val="13"/>
                <w:szCs w:val="13"/>
                <w:color w:val="auto"/>
              </w:rPr>
              <w:t>(5)</w:t>
            </w:r>
          </w:p>
        </w:tc>
        <w:tc>
          <w:tcPr>
            <w:tcW w:w="19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Baltimore, MD</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116,034</w:t>
            </w:r>
          </w:p>
        </w:tc>
        <w:tc>
          <w:tcPr>
            <w:tcW w:w="660" w:type="dxa"/>
            <w:vAlign w:val="bottom"/>
          </w:tcPr>
          <w:p>
            <w:pPr>
              <w:jc w:val="right"/>
              <w:ind w:right="59"/>
              <w:spacing w:after="0" w:line="148" w:lineRule="exact"/>
              <w:rPr>
                <w:sz w:val="20"/>
                <w:szCs w:val="20"/>
                <w:color w:val="auto"/>
              </w:rPr>
            </w:pPr>
            <w:r>
              <w:rPr>
                <w:rFonts w:ascii="Arial" w:cs="Arial" w:eastAsia="Arial" w:hAnsi="Arial"/>
                <w:sz w:val="13"/>
                <w:szCs w:val="13"/>
                <w:color w:val="auto"/>
              </w:rPr>
              <w:t>52,705</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35</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314,000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w w:val="96"/>
              </w:rPr>
              <w:t>AMC / Ulta / Old Navy / Barnes &amp; Noble</w:t>
            </w:r>
          </w:p>
        </w:tc>
      </w:tr>
      <w:tr>
        <w:trPr>
          <w:trHeight w:val="168"/>
        </w:trPr>
        <w:tc>
          <w:tcPr>
            <w:tcW w:w="1180" w:type="dxa"/>
            <w:vAlign w:val="bottom"/>
            <w:gridSpan w:val="5"/>
          </w:tcPr>
          <w:p>
            <w:pPr>
              <w:ind w:left="20"/>
              <w:spacing w:after="0"/>
              <w:rPr>
                <w:sz w:val="20"/>
                <w:szCs w:val="20"/>
                <w:color w:val="auto"/>
              </w:rPr>
            </w:pPr>
            <w:r>
              <w:rPr>
                <w:rFonts w:ascii="Arial" w:cs="Arial" w:eastAsia="Arial" w:hAnsi="Arial"/>
                <w:sz w:val="13"/>
                <w:szCs w:val="13"/>
                <w:color w:val="auto"/>
              </w:rPr>
              <w:t>White Marsh</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56"/>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The Shoppes at</w:t>
            </w:r>
          </w:p>
        </w:tc>
        <w:tc>
          <w:tcPr>
            <w:tcW w:w="500" w:type="dxa"/>
            <w:vAlign w:val="bottom"/>
            <w:shd w:val="clear" w:color="auto" w:fill="CCEEFF"/>
          </w:tcPr>
          <w:p>
            <w:pPr>
              <w:spacing w:after="0"/>
              <w:rPr>
                <w:sz w:val="13"/>
                <w:szCs w:val="13"/>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Baltimore, MD</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17,556</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r>
      <w:tr>
        <w:trPr>
          <w:trHeight w:val="176"/>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Nottingham Square</w:t>
            </w: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280"/>
          </w:cols>
          <w:pgMar w:left="320" w:top="747" w:right="29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80"/>
          </w:cols>
          <w:pgMar w:left="320" w:top="747" w:right="299" w:bottom="1440" w:gutter="0" w:footer="0" w:header="0"/>
          <w:type w:val="continuous"/>
        </w:sectPr>
      </w:pPr>
    </w:p>
    <w:bookmarkStart w:id="26" w:name="page27"/>
    <w:bookmarkEnd w:id="26"/>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2018</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6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8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940" w:type="dxa"/>
            <w:vAlign w:val="bottom"/>
          </w:tcPr>
          <w:p>
            <w:pPr>
              <w:spacing w:after="0"/>
              <w:rPr>
                <w:sz w:val="11"/>
                <w:szCs w:val="11"/>
                <w:color w:val="auto"/>
              </w:rPr>
            </w:pPr>
          </w:p>
        </w:tc>
        <w:tc>
          <w:tcPr>
            <w:tcW w:w="22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Leased</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Residential</w:t>
            </w: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Anchor</w:t>
            </w:r>
          </w:p>
        </w:tc>
        <w:tc>
          <w:tcPr>
            <w:tcW w:w="94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Grocery</w:t>
            </w:r>
          </w:p>
        </w:tc>
        <w:tc>
          <w:tcPr>
            <w:tcW w:w="2260" w:type="dxa"/>
            <w:vAlign w:val="bottom"/>
          </w:tcPr>
          <w:p>
            <w:pPr>
              <w:spacing w:after="0"/>
              <w:rPr>
                <w:sz w:val="11"/>
                <w:szCs w:val="11"/>
                <w:color w:val="auto"/>
              </w:rPr>
            </w:pPr>
          </w:p>
        </w:tc>
      </w:tr>
      <w:tr>
        <w:trPr>
          <w:trHeight w:val="174"/>
        </w:trPr>
        <w:tc>
          <w:tcPr>
            <w:tcW w:w="118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Property Name</w:t>
            </w:r>
          </w:p>
        </w:tc>
        <w:tc>
          <w:tcPr>
            <w:tcW w:w="236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MSA Description</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Acreage</w:t>
            </w:r>
          </w:p>
        </w:tc>
        <w:tc>
          <w:tcPr>
            <w:tcW w:w="80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w:t>
            </w: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Units</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Anchor</w:t>
            </w:r>
          </w:p>
        </w:tc>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w w:val="86"/>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60" w:type="dxa"/>
            <w:vAlign w:val="bottom"/>
          </w:tcPr>
          <w:p>
            <w:pPr>
              <w:spacing w:after="0"/>
              <w:rPr>
                <w:sz w:val="11"/>
                <w:szCs w:val="11"/>
                <w:color w:val="auto"/>
              </w:rPr>
            </w:pPr>
          </w:p>
        </w:tc>
      </w:tr>
      <w:tr>
        <w:trPr>
          <w:trHeight w:val="170"/>
        </w:trPr>
        <w:tc>
          <w:tcPr>
            <w:tcW w:w="1180" w:type="dxa"/>
            <w:vAlign w:val="bottom"/>
            <w:gridSpan w:val="4"/>
          </w:tcPr>
          <w:p>
            <w:pPr>
              <w:ind w:left="20"/>
              <w:spacing w:after="0"/>
              <w:rPr>
                <w:sz w:val="20"/>
                <w:szCs w:val="20"/>
                <w:color w:val="auto"/>
              </w:rPr>
            </w:pPr>
            <w:r>
              <w:rPr>
                <w:rFonts w:ascii="Arial" w:cs="Arial" w:eastAsia="Arial" w:hAnsi="Arial"/>
                <w:sz w:val="13"/>
                <w:szCs w:val="13"/>
                <w:color w:val="auto"/>
              </w:rPr>
              <w:t>Towson Residential</w:t>
            </w:r>
          </w:p>
        </w:tc>
        <w:tc>
          <w:tcPr>
            <w:tcW w:w="2360" w:type="dxa"/>
            <w:vAlign w:val="bottom"/>
          </w:tcPr>
          <w:p>
            <w:pPr>
              <w:ind w:left="480"/>
              <w:spacing w:after="0"/>
              <w:rPr>
                <w:sz w:val="20"/>
                <w:szCs w:val="20"/>
                <w:color w:val="auto"/>
              </w:rPr>
            </w:pPr>
            <w:r>
              <w:rPr>
                <w:rFonts w:ascii="Arial" w:cs="Arial" w:eastAsia="Arial" w:hAnsi="Arial"/>
                <w:sz w:val="13"/>
                <w:szCs w:val="13"/>
                <w:color w:val="auto"/>
              </w:rPr>
              <w:t>Baltimore, MD</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22,343</w:t>
            </w:r>
          </w:p>
        </w:tc>
        <w:tc>
          <w:tcPr>
            <w:tcW w:w="66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4,000</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105</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68"/>
        </w:trPr>
        <w:tc>
          <w:tcPr>
            <w:tcW w:w="1180" w:type="dxa"/>
            <w:vAlign w:val="bottom"/>
            <w:gridSpan w:val="4"/>
          </w:tcPr>
          <w:p>
            <w:pPr>
              <w:ind w:left="20"/>
              <w:spacing w:after="0"/>
              <w:rPr>
                <w:sz w:val="20"/>
                <w:szCs w:val="20"/>
                <w:color w:val="auto"/>
              </w:rPr>
            </w:pPr>
            <w:r>
              <w:rPr>
                <w:rFonts w:ascii="Arial" w:cs="Arial" w:eastAsia="Arial" w:hAnsi="Arial"/>
                <w:sz w:val="13"/>
                <w:szCs w:val="13"/>
                <w:color w:val="auto"/>
              </w:rPr>
              <w:t>(Flats @ 703)</w:t>
            </w:r>
          </w:p>
        </w:tc>
        <w:tc>
          <w:tcPr>
            <w:tcW w:w="2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81"/>
        </w:trPr>
        <w:tc>
          <w:tcPr>
            <w:tcW w:w="11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White Marsh Plaza</w:t>
            </w:r>
          </w:p>
        </w:tc>
        <w:tc>
          <w:tcPr>
            <w:tcW w:w="2360" w:type="dxa"/>
            <w:vAlign w:val="bottom"/>
            <w:shd w:val="clear" w:color="auto" w:fill="CCEEFF"/>
          </w:tcPr>
          <w:p>
            <w:pPr>
              <w:ind w:left="480"/>
              <w:spacing w:after="0"/>
              <w:rPr>
                <w:sz w:val="20"/>
                <w:szCs w:val="20"/>
                <w:color w:val="auto"/>
              </w:rPr>
            </w:pPr>
            <w:r>
              <w:rPr>
                <w:rFonts w:ascii="Arial" w:cs="Arial" w:eastAsia="Arial" w:hAnsi="Arial"/>
                <w:sz w:val="13"/>
                <w:szCs w:val="13"/>
                <w:color w:val="auto"/>
              </w:rPr>
              <w:t>Baltimore, MD</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25,604</w:t>
            </w: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80,000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54,000</w:t>
            </w:r>
          </w:p>
        </w:tc>
        <w:tc>
          <w:tcPr>
            <w:tcW w:w="9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2260" w:type="dxa"/>
            <w:vAlign w:val="bottom"/>
            <w:shd w:val="clear" w:color="auto" w:fill="CCEEFF"/>
          </w:tcPr>
          <w:p>
            <w:pPr>
              <w:spacing w:after="0"/>
              <w:rPr>
                <w:sz w:val="15"/>
                <w:szCs w:val="15"/>
                <w:color w:val="auto"/>
              </w:rPr>
            </w:pPr>
          </w:p>
        </w:tc>
      </w:tr>
      <w:tr>
        <w:trPr>
          <w:trHeight w:val="97"/>
        </w:trPr>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3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260" w:type="dxa"/>
            <w:vAlign w:val="bottom"/>
            <w:shd w:val="clear" w:color="auto" w:fill="CCEEFF"/>
          </w:tcPr>
          <w:p>
            <w:pPr>
              <w:spacing w:after="0"/>
              <w:rPr>
                <w:sz w:val="8"/>
                <w:szCs w:val="8"/>
                <w:color w:val="auto"/>
              </w:rPr>
            </w:pPr>
          </w:p>
        </w:tc>
      </w:tr>
      <w:tr>
        <w:trPr>
          <w:trHeight w:val="173"/>
        </w:trPr>
        <w:tc>
          <w:tcPr>
            <w:tcW w:w="1180" w:type="dxa"/>
            <w:vAlign w:val="bottom"/>
            <w:gridSpan w:val="4"/>
          </w:tcPr>
          <w:p>
            <w:pPr>
              <w:ind w:left="20"/>
              <w:spacing w:after="0"/>
              <w:rPr>
                <w:sz w:val="20"/>
                <w:szCs w:val="20"/>
                <w:color w:val="auto"/>
              </w:rPr>
            </w:pPr>
            <w:r>
              <w:rPr>
                <w:rFonts w:ascii="Arial" w:cs="Arial" w:eastAsia="Arial" w:hAnsi="Arial"/>
                <w:sz w:val="13"/>
                <w:szCs w:val="13"/>
                <w:color w:val="auto"/>
              </w:rPr>
              <w:t>White Marsh Other</w:t>
            </w:r>
          </w:p>
        </w:tc>
        <w:tc>
          <w:tcPr>
            <w:tcW w:w="2360" w:type="dxa"/>
            <w:vAlign w:val="bottom"/>
          </w:tcPr>
          <w:p>
            <w:pPr>
              <w:ind w:left="480"/>
              <w:spacing w:after="0"/>
              <w:rPr>
                <w:sz w:val="20"/>
                <w:szCs w:val="20"/>
                <w:color w:val="auto"/>
              </w:rPr>
            </w:pPr>
            <w:r>
              <w:rPr>
                <w:rFonts w:ascii="Arial" w:cs="Arial" w:eastAsia="Arial" w:hAnsi="Arial"/>
                <w:sz w:val="13"/>
                <w:szCs w:val="13"/>
                <w:color w:val="auto"/>
              </w:rPr>
              <w:t>Baltimore, MD</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33,939</w:t>
            </w:r>
          </w:p>
        </w:tc>
        <w:tc>
          <w:tcPr>
            <w:tcW w:w="660" w:type="dxa"/>
            <w:vAlign w:val="bottom"/>
          </w:tcPr>
          <w:p>
            <w:pPr>
              <w:spacing w:after="0"/>
              <w:rPr>
                <w:sz w:val="15"/>
                <w:szCs w:val="15"/>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70,000</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97"/>
        </w:trPr>
        <w:tc>
          <w:tcPr>
            <w:tcW w:w="20" w:type="dxa"/>
            <w:vAlign w:val="bottom"/>
            <w:tcBorders>
              <w:bottom w:val="single" w:sz="8" w:color="CCEEFF"/>
            </w:tcBorders>
          </w:tcPr>
          <w:p>
            <w:pPr>
              <w:spacing w:after="0"/>
              <w:rPr>
                <w:sz w:val="8"/>
                <w:szCs w:val="8"/>
                <w:color w:val="auto"/>
              </w:rPr>
            </w:pPr>
          </w:p>
        </w:tc>
        <w:tc>
          <w:tcPr>
            <w:tcW w:w="38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2360" w:type="dxa"/>
            <w:vAlign w:val="bottom"/>
            <w:tcBorders>
              <w:bottom w:val="single" w:sz="8" w:color="CCEEFF"/>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80" w:type="dxa"/>
            <w:vAlign w:val="bottom"/>
            <w:tcBorders>
              <w:bottom w:val="single" w:sz="8" w:color="CCEEFF"/>
            </w:tcBorders>
          </w:tcPr>
          <w:p>
            <w:pPr>
              <w:spacing w:after="0"/>
              <w:rPr>
                <w:sz w:val="8"/>
                <w:szCs w:val="8"/>
                <w:color w:val="auto"/>
              </w:rPr>
            </w:pPr>
          </w:p>
        </w:tc>
        <w:tc>
          <w:tcPr>
            <w:tcW w:w="580" w:type="dxa"/>
            <w:vAlign w:val="bottom"/>
            <w:tcBorders>
              <w:bottom w:val="single" w:sz="8" w:color="CCEEFF"/>
            </w:tcBorders>
          </w:tcPr>
          <w:p>
            <w:pPr>
              <w:spacing w:after="0"/>
              <w:rPr>
                <w:sz w:val="8"/>
                <w:szCs w:val="8"/>
                <w:color w:val="auto"/>
              </w:rPr>
            </w:pPr>
          </w:p>
        </w:tc>
        <w:tc>
          <w:tcPr>
            <w:tcW w:w="940" w:type="dxa"/>
            <w:vAlign w:val="bottom"/>
            <w:tcBorders>
              <w:bottom w:val="single" w:sz="8" w:color="CCEEFF"/>
            </w:tcBorders>
          </w:tcPr>
          <w:p>
            <w:pPr>
              <w:spacing w:after="0"/>
              <w:rPr>
                <w:sz w:val="8"/>
                <w:szCs w:val="8"/>
                <w:color w:val="auto"/>
              </w:rPr>
            </w:pPr>
          </w:p>
        </w:tc>
        <w:tc>
          <w:tcPr>
            <w:tcW w:w="2260" w:type="dxa"/>
            <w:vAlign w:val="bottom"/>
            <w:tcBorders>
              <w:bottom w:val="single" w:sz="8" w:color="CCEEFF"/>
            </w:tcBorders>
          </w:tcPr>
          <w:p>
            <w:pPr>
              <w:spacing w:after="0"/>
              <w:rPr>
                <w:sz w:val="8"/>
                <w:szCs w:val="8"/>
                <w:color w:val="auto"/>
              </w:rPr>
            </w:pPr>
          </w:p>
        </w:tc>
      </w:tr>
      <w:tr>
        <w:trPr>
          <w:trHeight w:val="167"/>
        </w:trPr>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360" w:type="dxa"/>
            <w:vAlign w:val="bottom"/>
            <w:shd w:val="clear" w:color="auto" w:fill="CCEEFF"/>
          </w:tcPr>
          <w:p>
            <w:pPr>
              <w:ind w:left="480"/>
              <w:spacing w:after="0"/>
              <w:rPr>
                <w:sz w:val="20"/>
                <w:szCs w:val="20"/>
                <w:color w:val="auto"/>
              </w:rPr>
            </w:pPr>
            <w:r>
              <w:rPr>
                <w:rFonts w:ascii="Arial" w:cs="Arial" w:eastAsia="Arial" w:hAnsi="Arial"/>
                <w:sz w:val="13"/>
                <w:szCs w:val="13"/>
                <w:b w:val="1"/>
                <w:bCs w:val="1"/>
                <w:color w:val="auto"/>
              </w:rPr>
              <w:t>Total Baltimore</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273,937</w:t>
            </w:r>
          </w:p>
        </w:tc>
        <w:tc>
          <w:tcPr>
            <w:tcW w:w="6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121</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6"/>
              </w:rPr>
              <w:t>1,139,000</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r>
      <w:tr>
        <w:trPr>
          <w:trHeight w:val="84"/>
        </w:trPr>
        <w:tc>
          <w:tcPr>
            <w:tcW w:w="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3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260" w:type="dxa"/>
            <w:vAlign w:val="bottom"/>
            <w:shd w:val="clear" w:color="auto" w:fill="CCEEFF"/>
          </w:tcPr>
          <w:p>
            <w:pPr>
              <w:spacing w:after="0"/>
              <w:rPr>
                <w:sz w:val="7"/>
                <w:szCs w:val="7"/>
                <w:color w:val="auto"/>
              </w:rPr>
            </w:pPr>
          </w:p>
        </w:tc>
      </w:tr>
      <w:tr>
        <w:trPr>
          <w:trHeight w:val="270"/>
        </w:trPr>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60" w:type="dxa"/>
            <w:vAlign w:val="bottom"/>
          </w:tcPr>
          <w:p>
            <w:pPr>
              <w:spacing w:after="0"/>
              <w:rPr>
                <w:sz w:val="23"/>
                <w:szCs w:val="23"/>
                <w:color w:val="auto"/>
              </w:rPr>
            </w:pPr>
          </w:p>
        </w:tc>
      </w:tr>
      <w:tr>
        <w:trPr>
          <w:trHeight w:val="149"/>
        </w:trPr>
        <w:tc>
          <w:tcPr>
            <w:tcW w:w="2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ind w:left="60"/>
              <w:spacing w:after="0"/>
              <w:rPr>
                <w:sz w:val="20"/>
                <w:szCs w:val="20"/>
                <w:color w:val="auto"/>
              </w:rPr>
            </w:pPr>
            <w:r>
              <w:rPr>
                <w:rFonts w:ascii="Arial" w:cs="Arial" w:eastAsia="Arial" w:hAnsi="Arial"/>
                <w:sz w:val="13"/>
                <w:szCs w:val="13"/>
                <w:b w:val="1"/>
                <w:bCs w:val="1"/>
                <w:color w:val="auto"/>
              </w:rPr>
              <w:t>Chicago</w:t>
            </w:r>
          </w:p>
        </w:tc>
        <w:tc>
          <w:tcPr>
            <w:tcW w:w="2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236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CCEEFF"/>
            </w:tcBorders>
            <w:shd w:val="clear" w:color="auto" w:fill="CCEEFF"/>
          </w:tcPr>
          <w:p>
            <w:pPr>
              <w:spacing w:after="0"/>
              <w:rPr>
                <w:sz w:val="8"/>
                <w:szCs w:val="8"/>
                <w:color w:val="auto"/>
              </w:rPr>
            </w:pPr>
          </w:p>
        </w:tc>
        <w:tc>
          <w:tcPr>
            <w:tcW w:w="2260" w:type="dxa"/>
            <w:vAlign w:val="bottom"/>
            <w:tcBorders>
              <w:top w:val="single" w:sz="8" w:color="CCEEFF"/>
            </w:tcBorders>
            <w:shd w:val="clear" w:color="auto" w:fill="CCEEFF"/>
          </w:tcPr>
          <w:p>
            <w:pPr>
              <w:spacing w:after="0"/>
              <w:rPr>
                <w:sz w:val="8"/>
                <w:szCs w:val="8"/>
                <w:color w:val="auto"/>
              </w:rPr>
            </w:pPr>
          </w:p>
        </w:tc>
      </w:tr>
      <w:tr>
        <w:trPr>
          <w:trHeight w:val="148"/>
        </w:trPr>
        <w:tc>
          <w:tcPr>
            <w:tcW w:w="118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Crossroads</w:t>
            </w:r>
          </w:p>
        </w:tc>
        <w:tc>
          <w:tcPr>
            <w:tcW w:w="2360" w:type="dxa"/>
            <w:vAlign w:val="bottom"/>
          </w:tcPr>
          <w:p>
            <w:pPr>
              <w:ind w:left="480"/>
              <w:spacing w:after="0" w:line="148" w:lineRule="exact"/>
              <w:rPr>
                <w:sz w:val="20"/>
                <w:szCs w:val="20"/>
                <w:color w:val="auto"/>
              </w:rPr>
            </w:pPr>
            <w:r>
              <w:rPr>
                <w:rFonts w:ascii="Arial" w:cs="Arial" w:eastAsia="Arial" w:hAnsi="Arial"/>
                <w:sz w:val="13"/>
                <w:szCs w:val="13"/>
                <w:color w:val="auto"/>
              </w:rPr>
              <w:t>Chicago, IL</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34,242</w:t>
            </w:r>
          </w:p>
        </w:tc>
        <w:tc>
          <w:tcPr>
            <w:tcW w:w="660" w:type="dxa"/>
            <w:vAlign w:val="bottom"/>
          </w:tcPr>
          <w:p>
            <w:pPr>
              <w:spacing w:after="0"/>
              <w:rPr>
                <w:sz w:val="12"/>
                <w:szCs w:val="12"/>
                <w:color w:val="auto"/>
              </w:rPr>
            </w:pP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14</w:t>
            </w:r>
          </w:p>
        </w:tc>
        <w:tc>
          <w:tcPr>
            <w:tcW w:w="100" w:type="dxa"/>
            <w:vAlign w:val="bottom"/>
          </w:tcPr>
          <w:p>
            <w:pPr>
              <w:spacing w:after="0"/>
              <w:rPr>
                <w:sz w:val="12"/>
                <w:szCs w:val="12"/>
                <w:color w:val="auto"/>
              </w:rPr>
            </w:pP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168,000</w:t>
            </w:r>
          </w:p>
        </w:tc>
        <w:tc>
          <w:tcPr>
            <w:tcW w:w="10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60" w:type="dxa"/>
            <w:vAlign w:val="bottom"/>
          </w:tcPr>
          <w:p>
            <w:pPr>
              <w:ind w:left="40"/>
              <w:spacing w:after="0" w:line="148" w:lineRule="exact"/>
              <w:rPr>
                <w:sz w:val="20"/>
                <w:szCs w:val="20"/>
                <w:color w:val="auto"/>
              </w:rPr>
            </w:pPr>
            <w:r>
              <w:rPr>
                <w:rFonts w:ascii="Arial" w:cs="Arial" w:eastAsia="Arial" w:hAnsi="Arial"/>
                <w:sz w:val="13"/>
                <w:szCs w:val="13"/>
                <w:color w:val="auto"/>
              </w:rPr>
              <w:t>L.A. Fitness / Ulta / Binny's / Guitar</w:t>
            </w:r>
          </w:p>
        </w:tc>
      </w:tr>
      <w:tr>
        <w:trPr>
          <w:trHeight w:val="168"/>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60" w:type="dxa"/>
            <w:vAlign w:val="bottom"/>
          </w:tcPr>
          <w:p>
            <w:pPr>
              <w:ind w:left="40"/>
              <w:spacing w:after="0"/>
              <w:rPr>
                <w:sz w:val="20"/>
                <w:szCs w:val="20"/>
                <w:color w:val="auto"/>
              </w:rPr>
            </w:pPr>
            <w:r>
              <w:rPr>
                <w:rFonts w:ascii="Arial" w:cs="Arial" w:eastAsia="Arial" w:hAnsi="Arial"/>
                <w:sz w:val="13"/>
                <w:szCs w:val="13"/>
                <w:color w:val="auto"/>
              </w:rPr>
              <w:t>Center</w:t>
            </w:r>
          </w:p>
        </w:tc>
      </w:tr>
      <w:tr>
        <w:trPr>
          <w:trHeight w:val="156"/>
        </w:trPr>
        <w:tc>
          <w:tcPr>
            <w:tcW w:w="11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Finley Square</w:t>
            </w:r>
          </w:p>
        </w:tc>
        <w:tc>
          <w:tcPr>
            <w:tcW w:w="2360" w:type="dxa"/>
            <w:vAlign w:val="bottom"/>
            <w:shd w:val="clear" w:color="auto" w:fill="CCEEFF"/>
          </w:tcPr>
          <w:p>
            <w:pPr>
              <w:ind w:left="480"/>
              <w:spacing w:after="0"/>
              <w:rPr>
                <w:sz w:val="20"/>
                <w:szCs w:val="20"/>
                <w:color w:val="auto"/>
              </w:rPr>
            </w:pPr>
            <w:r>
              <w:rPr>
                <w:rFonts w:ascii="Arial" w:cs="Arial" w:eastAsia="Arial" w:hAnsi="Arial"/>
                <w:sz w:val="13"/>
                <w:szCs w:val="13"/>
                <w:color w:val="auto"/>
              </w:rPr>
              <w:t>Chicago, IL</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38,932</w:t>
            </w:r>
          </w:p>
        </w:tc>
        <w:tc>
          <w:tcPr>
            <w:tcW w:w="66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278,000</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Bed, Bath &amp; Beyond / Buy Buy Baby /</w:t>
            </w:r>
          </w:p>
        </w:tc>
      </w:tr>
      <w:tr>
        <w:trPr>
          <w:trHeight w:val="176"/>
        </w:trPr>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Petsmart / Portillo's</w:t>
            </w:r>
          </w:p>
        </w:tc>
      </w:tr>
      <w:tr>
        <w:trPr>
          <w:trHeight w:val="148"/>
        </w:trPr>
        <w:tc>
          <w:tcPr>
            <w:tcW w:w="118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Garden Market</w:t>
            </w:r>
          </w:p>
        </w:tc>
        <w:tc>
          <w:tcPr>
            <w:tcW w:w="2360" w:type="dxa"/>
            <w:vAlign w:val="bottom"/>
          </w:tcPr>
          <w:p>
            <w:pPr>
              <w:ind w:left="480"/>
              <w:spacing w:after="0" w:line="148" w:lineRule="exact"/>
              <w:rPr>
                <w:sz w:val="20"/>
                <w:szCs w:val="20"/>
                <w:color w:val="auto"/>
              </w:rPr>
            </w:pPr>
            <w:r>
              <w:rPr>
                <w:rFonts w:ascii="Arial" w:cs="Arial" w:eastAsia="Arial" w:hAnsi="Arial"/>
                <w:sz w:val="13"/>
                <w:szCs w:val="13"/>
                <w:color w:val="auto"/>
              </w:rPr>
              <w:t>Chicago, IL</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14,572</w:t>
            </w:r>
          </w:p>
        </w:tc>
        <w:tc>
          <w:tcPr>
            <w:tcW w:w="660" w:type="dxa"/>
            <w:vAlign w:val="bottom"/>
          </w:tcPr>
          <w:p>
            <w:pPr>
              <w:spacing w:after="0"/>
              <w:rPr>
                <w:sz w:val="12"/>
                <w:szCs w:val="12"/>
                <w:color w:val="auto"/>
              </w:rPr>
            </w:pP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2</w:t>
            </w:r>
          </w:p>
        </w:tc>
        <w:tc>
          <w:tcPr>
            <w:tcW w:w="100" w:type="dxa"/>
            <w:vAlign w:val="bottom"/>
          </w:tcPr>
          <w:p>
            <w:pPr>
              <w:spacing w:after="0"/>
              <w:rPr>
                <w:sz w:val="12"/>
                <w:szCs w:val="12"/>
                <w:color w:val="auto"/>
              </w:rPr>
            </w:pP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140,000</w:t>
            </w:r>
          </w:p>
        </w:tc>
        <w:tc>
          <w:tcPr>
            <w:tcW w:w="10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3"/>
                <w:szCs w:val="13"/>
                <w:color w:val="auto"/>
                <w:w w:val="90"/>
              </w:rPr>
              <w:t>63,000</w:t>
            </w:r>
          </w:p>
        </w:tc>
        <w:tc>
          <w:tcPr>
            <w:tcW w:w="940" w:type="dxa"/>
            <w:vAlign w:val="bottom"/>
          </w:tcPr>
          <w:p>
            <w:pPr>
              <w:ind w:left="100"/>
              <w:spacing w:after="0" w:line="148" w:lineRule="exact"/>
              <w:rPr>
                <w:sz w:val="20"/>
                <w:szCs w:val="20"/>
                <w:color w:val="auto"/>
              </w:rPr>
            </w:pPr>
            <w:r>
              <w:rPr>
                <w:rFonts w:ascii="Arial" w:cs="Arial" w:eastAsia="Arial" w:hAnsi="Arial"/>
                <w:sz w:val="13"/>
                <w:szCs w:val="13"/>
                <w:color w:val="auto"/>
                <w:w w:val="88"/>
              </w:rPr>
              <w:t>Mariano's Fresh</w:t>
            </w:r>
          </w:p>
        </w:tc>
        <w:tc>
          <w:tcPr>
            <w:tcW w:w="2260" w:type="dxa"/>
            <w:vAlign w:val="bottom"/>
          </w:tcPr>
          <w:p>
            <w:pPr>
              <w:ind w:left="40"/>
              <w:spacing w:after="0" w:line="148" w:lineRule="exact"/>
              <w:rPr>
                <w:sz w:val="20"/>
                <w:szCs w:val="20"/>
                <w:color w:val="auto"/>
              </w:rPr>
            </w:pPr>
            <w:r>
              <w:rPr>
                <w:rFonts w:ascii="Arial" w:cs="Arial" w:eastAsia="Arial" w:hAnsi="Arial"/>
                <w:sz w:val="13"/>
                <w:szCs w:val="13"/>
                <w:color w:val="auto"/>
              </w:rPr>
              <w:t>Walgreens</w:t>
            </w:r>
          </w:p>
        </w:tc>
      </w:tr>
      <w:tr>
        <w:trPr>
          <w:trHeight w:val="168"/>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Arial" w:cs="Arial" w:eastAsia="Arial" w:hAnsi="Arial"/>
                <w:sz w:val="13"/>
                <w:szCs w:val="13"/>
                <w:color w:val="auto"/>
              </w:rPr>
              <w:t>Market</w:t>
            </w:r>
          </w:p>
        </w:tc>
        <w:tc>
          <w:tcPr>
            <w:tcW w:w="2260" w:type="dxa"/>
            <w:vAlign w:val="bottom"/>
          </w:tcPr>
          <w:p>
            <w:pPr>
              <w:spacing w:after="0"/>
              <w:rPr>
                <w:sz w:val="14"/>
                <w:szCs w:val="14"/>
                <w:color w:val="auto"/>
              </w:rPr>
            </w:pPr>
          </w:p>
        </w:tc>
      </w:tr>
      <w:tr>
        <w:trPr>
          <w:trHeight w:val="181"/>
        </w:trPr>
        <w:tc>
          <w:tcPr>
            <w:tcW w:w="11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Riverpoint Center</w:t>
            </w:r>
          </w:p>
        </w:tc>
        <w:tc>
          <w:tcPr>
            <w:tcW w:w="2360" w:type="dxa"/>
            <w:vAlign w:val="bottom"/>
            <w:shd w:val="clear" w:color="auto" w:fill="CCEEFF"/>
          </w:tcPr>
          <w:p>
            <w:pPr>
              <w:ind w:left="480"/>
              <w:spacing w:after="0"/>
              <w:rPr>
                <w:sz w:val="20"/>
                <w:szCs w:val="20"/>
                <w:color w:val="auto"/>
              </w:rPr>
            </w:pPr>
            <w:r>
              <w:rPr>
                <w:rFonts w:ascii="Arial" w:cs="Arial" w:eastAsia="Arial" w:hAnsi="Arial"/>
                <w:sz w:val="13"/>
                <w:szCs w:val="13"/>
                <w:color w:val="auto"/>
              </w:rPr>
              <w:t>Chicago, IL</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120,169</w:t>
            </w: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211,000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86,000</w:t>
            </w:r>
          </w:p>
        </w:tc>
        <w:tc>
          <w:tcPr>
            <w:tcW w:w="9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Jewel Osco</w:t>
            </w: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Marshalls / Old Navy</w:t>
            </w:r>
          </w:p>
        </w:tc>
      </w:tr>
      <w:tr>
        <w:trPr>
          <w:trHeight w:val="97"/>
        </w:trPr>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360" w:type="dxa"/>
            <w:vAlign w:val="bottom"/>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260" w:type="dxa"/>
            <w:vAlign w:val="bottom"/>
            <w:shd w:val="clear" w:color="auto" w:fill="CCEEFF"/>
          </w:tcPr>
          <w:p>
            <w:pPr>
              <w:spacing w:after="0"/>
              <w:rPr>
                <w:sz w:val="8"/>
                <w:szCs w:val="8"/>
                <w:color w:val="auto"/>
              </w:rPr>
            </w:pPr>
          </w:p>
        </w:tc>
      </w:tr>
      <w:tr>
        <w:trPr>
          <w:trHeight w:val="167"/>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60" w:type="dxa"/>
            <w:vAlign w:val="bottom"/>
          </w:tcPr>
          <w:p>
            <w:pPr>
              <w:ind w:left="480"/>
              <w:spacing w:after="0"/>
              <w:rPr>
                <w:sz w:val="20"/>
                <w:szCs w:val="20"/>
                <w:color w:val="auto"/>
              </w:rPr>
            </w:pPr>
            <w:r>
              <w:rPr>
                <w:rFonts w:ascii="Arial" w:cs="Arial" w:eastAsia="Arial" w:hAnsi="Arial"/>
                <w:sz w:val="13"/>
                <w:szCs w:val="13"/>
                <w:b w:val="1"/>
                <w:bCs w:val="1"/>
                <w:color w:val="auto"/>
              </w:rPr>
              <w:t>Total Chicago</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207,915</w:t>
            </w:r>
          </w:p>
        </w:tc>
        <w:tc>
          <w:tcPr>
            <w:tcW w:w="66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797,000</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94%</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84"/>
        </w:trPr>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60" w:type="dxa"/>
            <w:vAlign w:val="bottom"/>
          </w:tcPr>
          <w:p>
            <w:pPr>
              <w:spacing w:after="0"/>
              <w:rPr>
                <w:sz w:val="7"/>
                <w:szCs w:val="7"/>
                <w:color w:val="auto"/>
              </w:rPr>
            </w:pPr>
          </w:p>
        </w:tc>
      </w:tr>
      <w:tr>
        <w:trPr>
          <w:trHeight w:val="270"/>
        </w:trPr>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3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r>
      <w:tr>
        <w:trPr>
          <w:trHeight w:val="149"/>
        </w:trPr>
        <w:tc>
          <w:tcPr>
            <w:tcW w:w="20" w:type="dxa"/>
            <w:vAlign w:val="bottom"/>
          </w:tcPr>
          <w:p>
            <w:pPr>
              <w:spacing w:after="0"/>
              <w:rPr>
                <w:sz w:val="12"/>
                <w:szCs w:val="12"/>
                <w:color w:val="auto"/>
              </w:rPr>
            </w:pPr>
          </w:p>
        </w:tc>
        <w:tc>
          <w:tcPr>
            <w:tcW w:w="1160" w:type="dxa"/>
            <w:vAlign w:val="bottom"/>
            <w:gridSpan w:val="3"/>
          </w:tcPr>
          <w:p>
            <w:pPr>
              <w:ind w:left="60"/>
              <w:spacing w:after="0"/>
              <w:rPr>
                <w:sz w:val="20"/>
                <w:szCs w:val="20"/>
                <w:color w:val="auto"/>
              </w:rPr>
            </w:pPr>
            <w:r>
              <w:rPr>
                <w:rFonts w:ascii="Arial" w:cs="Arial" w:eastAsia="Arial" w:hAnsi="Arial"/>
                <w:sz w:val="13"/>
                <w:szCs w:val="13"/>
                <w:b w:val="1"/>
                <w:bCs w:val="1"/>
                <w:color w:val="auto"/>
              </w:rPr>
              <w:t>Other</w:t>
            </w:r>
          </w:p>
        </w:tc>
        <w:tc>
          <w:tcPr>
            <w:tcW w:w="2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02"/>
        </w:trPr>
        <w:tc>
          <w:tcPr>
            <w:tcW w:w="2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60" w:type="dxa"/>
            <w:vAlign w:val="bottom"/>
          </w:tcPr>
          <w:p>
            <w:pPr>
              <w:spacing w:after="0"/>
              <w:rPr>
                <w:sz w:val="8"/>
                <w:szCs w:val="8"/>
                <w:color w:val="auto"/>
              </w:rPr>
            </w:pPr>
          </w:p>
        </w:tc>
      </w:tr>
      <w:tr>
        <w:trPr>
          <w:trHeight w:val="148"/>
        </w:trPr>
        <w:tc>
          <w:tcPr>
            <w:tcW w:w="118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rPr>
              <w:t>Barracks Road</w:t>
            </w:r>
          </w:p>
        </w:tc>
        <w:tc>
          <w:tcPr>
            <w:tcW w:w="2360" w:type="dxa"/>
            <w:vAlign w:val="bottom"/>
            <w:shd w:val="clear" w:color="auto" w:fill="CCEEFF"/>
          </w:tcPr>
          <w:p>
            <w:pPr>
              <w:ind w:left="480"/>
              <w:spacing w:after="0" w:line="148" w:lineRule="exact"/>
              <w:rPr>
                <w:sz w:val="20"/>
                <w:szCs w:val="20"/>
                <w:color w:val="auto"/>
              </w:rPr>
            </w:pPr>
            <w:r>
              <w:rPr>
                <w:rFonts w:ascii="Arial" w:cs="Arial" w:eastAsia="Arial" w:hAnsi="Arial"/>
                <w:sz w:val="13"/>
                <w:szCs w:val="13"/>
                <w:color w:val="auto"/>
              </w:rPr>
              <w:t>Charlottesville, VA</w:t>
            </w:r>
          </w:p>
        </w:tc>
        <w:tc>
          <w:tcPr>
            <w:tcW w:w="72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68,231</w:t>
            </w: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498,000</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99,000</w:t>
            </w:r>
          </w:p>
        </w:tc>
        <w:tc>
          <w:tcPr>
            <w:tcW w:w="94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w w:val="98"/>
              </w:rPr>
              <w:t>Harris Teeter /</w:t>
            </w:r>
          </w:p>
        </w:tc>
        <w:tc>
          <w:tcPr>
            <w:tcW w:w="22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Anthropologie / Nike / Bed, Bath &amp;</w:t>
            </w:r>
          </w:p>
        </w:tc>
      </w:tr>
      <w:tr>
        <w:trPr>
          <w:trHeight w:val="176"/>
        </w:trPr>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Kroger</w:t>
            </w: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Beyond / Old Navy</w:t>
            </w:r>
          </w:p>
        </w:tc>
      </w:tr>
      <w:tr>
        <w:trPr>
          <w:trHeight w:val="173"/>
        </w:trPr>
        <w:tc>
          <w:tcPr>
            <w:tcW w:w="1180" w:type="dxa"/>
            <w:vAlign w:val="bottom"/>
            <w:gridSpan w:val="4"/>
          </w:tcPr>
          <w:p>
            <w:pPr>
              <w:ind w:left="20"/>
              <w:spacing w:after="0"/>
              <w:rPr>
                <w:sz w:val="20"/>
                <w:szCs w:val="20"/>
                <w:color w:val="auto"/>
              </w:rPr>
            </w:pPr>
            <w:r>
              <w:rPr>
                <w:rFonts w:ascii="Arial" w:cs="Arial" w:eastAsia="Arial" w:hAnsi="Arial"/>
                <w:sz w:val="13"/>
                <w:szCs w:val="13"/>
                <w:color w:val="auto"/>
              </w:rPr>
              <w:t>Bristol Plaza</w:t>
            </w:r>
          </w:p>
        </w:tc>
        <w:tc>
          <w:tcPr>
            <w:tcW w:w="2360" w:type="dxa"/>
            <w:vAlign w:val="bottom"/>
          </w:tcPr>
          <w:p>
            <w:pPr>
              <w:ind w:left="480"/>
              <w:spacing w:after="0"/>
              <w:rPr>
                <w:sz w:val="20"/>
                <w:szCs w:val="20"/>
                <w:color w:val="auto"/>
              </w:rPr>
            </w:pPr>
            <w:r>
              <w:rPr>
                <w:rFonts w:ascii="Arial" w:cs="Arial" w:eastAsia="Arial" w:hAnsi="Arial"/>
                <w:sz w:val="13"/>
                <w:szCs w:val="13"/>
                <w:color w:val="auto"/>
              </w:rPr>
              <w:t>Hartford, CT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31,775</w:t>
            </w:r>
          </w:p>
        </w:tc>
        <w:tc>
          <w:tcPr>
            <w:tcW w:w="660" w:type="dxa"/>
            <w:vAlign w:val="bottom"/>
          </w:tcPr>
          <w:p>
            <w:pPr>
              <w:spacing w:after="0"/>
              <w:rPr>
                <w:sz w:val="15"/>
                <w:szCs w:val="15"/>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266,000</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96%</w:t>
            </w:r>
          </w:p>
        </w:tc>
        <w:tc>
          <w:tcPr>
            <w:tcW w:w="6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90"/>
              </w:rPr>
              <w:t>74,000</w:t>
            </w:r>
          </w:p>
        </w:tc>
        <w:tc>
          <w:tcPr>
            <w:tcW w:w="940" w:type="dxa"/>
            <w:vAlign w:val="bottom"/>
          </w:tcPr>
          <w:p>
            <w:pPr>
              <w:ind w:left="100"/>
              <w:spacing w:after="0"/>
              <w:rPr>
                <w:sz w:val="20"/>
                <w:szCs w:val="20"/>
                <w:color w:val="auto"/>
              </w:rPr>
            </w:pPr>
            <w:r>
              <w:rPr>
                <w:rFonts w:ascii="Arial" w:cs="Arial" w:eastAsia="Arial" w:hAnsi="Arial"/>
                <w:sz w:val="13"/>
                <w:szCs w:val="13"/>
                <w:color w:val="auto"/>
              </w:rPr>
              <w:t>Stop &amp; Shop</w:t>
            </w:r>
          </w:p>
        </w:tc>
        <w:tc>
          <w:tcPr>
            <w:tcW w:w="2260" w:type="dxa"/>
            <w:vAlign w:val="bottom"/>
          </w:tcPr>
          <w:p>
            <w:pPr>
              <w:ind w:left="40"/>
              <w:spacing w:after="0"/>
              <w:rPr>
                <w:sz w:val="20"/>
                <w:szCs w:val="20"/>
                <w:color w:val="auto"/>
              </w:rPr>
            </w:pPr>
            <w:r>
              <w:rPr>
                <w:rFonts w:ascii="Arial" w:cs="Arial" w:eastAsia="Arial" w:hAnsi="Arial"/>
                <w:sz w:val="13"/>
                <w:szCs w:val="13"/>
                <w:color w:val="auto"/>
              </w:rPr>
              <w:t>TJ Maxx</w:t>
            </w:r>
          </w:p>
        </w:tc>
      </w:tr>
      <w:tr>
        <w:trPr>
          <w:trHeight w:val="97"/>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60" w:type="dxa"/>
            <w:vAlign w:val="bottom"/>
          </w:tcPr>
          <w:p>
            <w:pPr>
              <w:spacing w:after="0"/>
              <w:rPr>
                <w:sz w:val="8"/>
                <w:szCs w:val="8"/>
                <w:color w:val="auto"/>
              </w:rPr>
            </w:pPr>
          </w:p>
        </w:tc>
      </w:tr>
      <w:tr>
        <w:trPr>
          <w:trHeight w:val="173"/>
        </w:trPr>
        <w:tc>
          <w:tcPr>
            <w:tcW w:w="11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Eastgate Crossing</w:t>
            </w:r>
          </w:p>
        </w:tc>
        <w:tc>
          <w:tcPr>
            <w:tcW w:w="2360" w:type="dxa"/>
            <w:vAlign w:val="bottom"/>
            <w:shd w:val="clear" w:color="auto" w:fill="CCEEFF"/>
          </w:tcPr>
          <w:p>
            <w:pPr>
              <w:ind w:left="480"/>
              <w:spacing w:after="0"/>
              <w:rPr>
                <w:sz w:val="20"/>
                <w:szCs w:val="20"/>
                <w:color w:val="auto"/>
              </w:rPr>
            </w:pPr>
            <w:r>
              <w:rPr>
                <w:rFonts w:ascii="Arial" w:cs="Arial" w:eastAsia="Arial" w:hAnsi="Arial"/>
                <w:sz w:val="13"/>
                <w:szCs w:val="13"/>
                <w:color w:val="auto"/>
                <w:w w:val="99"/>
              </w:rPr>
              <w:t>Raleigh-Durham-Chapel Hill, NC</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34,536</w:t>
            </w: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159,000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13,000</w:t>
            </w:r>
          </w:p>
        </w:tc>
        <w:tc>
          <w:tcPr>
            <w:tcW w:w="9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Trader Joe's</w:t>
            </w: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Ulta / Stein Mart / Petco</w:t>
            </w:r>
          </w:p>
        </w:tc>
      </w:tr>
      <w:tr>
        <w:trPr>
          <w:trHeight w:val="97"/>
        </w:trPr>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3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260" w:type="dxa"/>
            <w:vAlign w:val="bottom"/>
            <w:shd w:val="clear" w:color="auto" w:fill="CCEEFF"/>
          </w:tcPr>
          <w:p>
            <w:pPr>
              <w:spacing w:after="0"/>
              <w:rPr>
                <w:sz w:val="8"/>
                <w:szCs w:val="8"/>
                <w:color w:val="auto"/>
              </w:rPr>
            </w:pPr>
          </w:p>
        </w:tc>
      </w:tr>
      <w:tr>
        <w:trPr>
          <w:trHeight w:val="173"/>
        </w:trPr>
        <w:tc>
          <w:tcPr>
            <w:tcW w:w="1180" w:type="dxa"/>
            <w:vAlign w:val="bottom"/>
            <w:gridSpan w:val="4"/>
          </w:tcPr>
          <w:p>
            <w:pPr>
              <w:ind w:left="20"/>
              <w:spacing w:after="0"/>
              <w:rPr>
                <w:sz w:val="20"/>
                <w:szCs w:val="20"/>
                <w:color w:val="auto"/>
              </w:rPr>
            </w:pPr>
            <w:r>
              <w:rPr>
                <w:rFonts w:ascii="Arial" w:cs="Arial" w:eastAsia="Arial" w:hAnsi="Arial"/>
                <w:sz w:val="13"/>
                <w:szCs w:val="13"/>
                <w:color w:val="auto"/>
              </w:rPr>
              <w:t>Gratiot Plaza</w:t>
            </w:r>
          </w:p>
        </w:tc>
        <w:tc>
          <w:tcPr>
            <w:tcW w:w="2360" w:type="dxa"/>
            <w:vAlign w:val="bottom"/>
          </w:tcPr>
          <w:p>
            <w:pPr>
              <w:ind w:left="480"/>
              <w:spacing w:after="0"/>
              <w:rPr>
                <w:sz w:val="20"/>
                <w:szCs w:val="20"/>
                <w:color w:val="auto"/>
              </w:rPr>
            </w:pPr>
            <w:r>
              <w:rPr>
                <w:rFonts w:ascii="Arial" w:cs="Arial" w:eastAsia="Arial" w:hAnsi="Arial"/>
                <w:sz w:val="13"/>
                <w:szCs w:val="13"/>
                <w:color w:val="auto"/>
              </w:rPr>
              <w:t>Detroit, MI</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19,920</w:t>
            </w:r>
          </w:p>
        </w:tc>
        <w:tc>
          <w:tcPr>
            <w:tcW w:w="660" w:type="dxa"/>
            <w:vAlign w:val="bottom"/>
          </w:tcPr>
          <w:p>
            <w:pPr>
              <w:spacing w:after="0"/>
              <w:rPr>
                <w:sz w:val="15"/>
                <w:szCs w:val="15"/>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217,000</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90"/>
              </w:rPr>
              <w:t>69,000</w:t>
            </w:r>
          </w:p>
        </w:tc>
        <w:tc>
          <w:tcPr>
            <w:tcW w:w="940" w:type="dxa"/>
            <w:vAlign w:val="bottom"/>
          </w:tcPr>
          <w:p>
            <w:pPr>
              <w:ind w:left="100"/>
              <w:spacing w:after="0"/>
              <w:rPr>
                <w:sz w:val="20"/>
                <w:szCs w:val="20"/>
                <w:color w:val="auto"/>
              </w:rPr>
            </w:pPr>
            <w:r>
              <w:rPr>
                <w:rFonts w:ascii="Arial" w:cs="Arial" w:eastAsia="Arial" w:hAnsi="Arial"/>
                <w:sz w:val="13"/>
                <w:szCs w:val="13"/>
                <w:color w:val="auto"/>
              </w:rPr>
              <w:t>Kroger</w:t>
            </w:r>
          </w:p>
        </w:tc>
        <w:tc>
          <w:tcPr>
            <w:tcW w:w="2260" w:type="dxa"/>
            <w:vAlign w:val="bottom"/>
          </w:tcPr>
          <w:p>
            <w:pPr>
              <w:ind w:left="40"/>
              <w:spacing w:after="0"/>
              <w:rPr>
                <w:sz w:val="20"/>
                <w:szCs w:val="20"/>
                <w:color w:val="auto"/>
              </w:rPr>
            </w:pPr>
            <w:r>
              <w:rPr>
                <w:rFonts w:ascii="Arial" w:cs="Arial" w:eastAsia="Arial" w:hAnsi="Arial"/>
                <w:sz w:val="13"/>
                <w:szCs w:val="13"/>
                <w:color w:val="auto"/>
                <w:w w:val="99"/>
              </w:rPr>
              <w:t>Bed, Bath &amp; Beyond / Best Buy / DSW</w:t>
            </w:r>
          </w:p>
        </w:tc>
      </w:tr>
      <w:tr>
        <w:trPr>
          <w:trHeight w:val="97"/>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60" w:type="dxa"/>
            <w:vAlign w:val="bottom"/>
          </w:tcPr>
          <w:p>
            <w:pPr>
              <w:spacing w:after="0"/>
              <w:rPr>
                <w:sz w:val="8"/>
                <w:szCs w:val="8"/>
                <w:color w:val="auto"/>
              </w:rPr>
            </w:pPr>
          </w:p>
        </w:tc>
      </w:tr>
      <w:tr>
        <w:trPr>
          <w:trHeight w:val="173"/>
        </w:trPr>
        <w:tc>
          <w:tcPr>
            <w:tcW w:w="11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Lancaster</w:t>
            </w:r>
          </w:p>
        </w:tc>
        <w:tc>
          <w:tcPr>
            <w:tcW w:w="23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(6)   Lancaster, PA</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13,716</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4,907</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127,000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75,000</w:t>
            </w:r>
          </w:p>
        </w:tc>
        <w:tc>
          <w:tcPr>
            <w:tcW w:w="9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2260" w:type="dxa"/>
            <w:vAlign w:val="bottom"/>
            <w:shd w:val="clear" w:color="auto" w:fill="CCEEFF"/>
          </w:tcPr>
          <w:p>
            <w:pPr>
              <w:spacing w:after="0"/>
              <w:rPr>
                <w:sz w:val="15"/>
                <w:szCs w:val="15"/>
                <w:color w:val="auto"/>
              </w:rPr>
            </w:pPr>
          </w:p>
        </w:tc>
      </w:tr>
      <w:tr>
        <w:trPr>
          <w:trHeight w:val="97"/>
        </w:trPr>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3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260" w:type="dxa"/>
            <w:vAlign w:val="bottom"/>
            <w:shd w:val="clear" w:color="auto" w:fill="CCEEFF"/>
          </w:tcPr>
          <w:p>
            <w:pPr>
              <w:spacing w:after="0"/>
              <w:rPr>
                <w:sz w:val="8"/>
                <w:szCs w:val="8"/>
                <w:color w:val="auto"/>
              </w:rPr>
            </w:pPr>
          </w:p>
        </w:tc>
      </w:tr>
      <w:tr>
        <w:trPr>
          <w:trHeight w:val="173"/>
        </w:trPr>
        <w:tc>
          <w:tcPr>
            <w:tcW w:w="1180" w:type="dxa"/>
            <w:vAlign w:val="bottom"/>
            <w:gridSpan w:val="4"/>
          </w:tcPr>
          <w:p>
            <w:pPr>
              <w:ind w:left="20"/>
              <w:spacing w:after="0"/>
              <w:rPr>
                <w:sz w:val="20"/>
                <w:szCs w:val="20"/>
                <w:color w:val="auto"/>
              </w:rPr>
            </w:pPr>
            <w:r>
              <w:rPr>
                <w:rFonts w:ascii="Arial" w:cs="Arial" w:eastAsia="Arial" w:hAnsi="Arial"/>
                <w:sz w:val="13"/>
                <w:szCs w:val="13"/>
                <w:color w:val="auto"/>
              </w:rPr>
              <w:t>29th Place</w:t>
            </w:r>
          </w:p>
        </w:tc>
        <w:tc>
          <w:tcPr>
            <w:tcW w:w="2360" w:type="dxa"/>
            <w:vAlign w:val="bottom"/>
          </w:tcPr>
          <w:p>
            <w:pPr>
              <w:ind w:left="480"/>
              <w:spacing w:after="0"/>
              <w:rPr>
                <w:sz w:val="20"/>
                <w:szCs w:val="20"/>
                <w:color w:val="auto"/>
              </w:rPr>
            </w:pPr>
            <w:r>
              <w:rPr>
                <w:rFonts w:ascii="Arial" w:cs="Arial" w:eastAsia="Arial" w:hAnsi="Arial"/>
                <w:sz w:val="13"/>
                <w:szCs w:val="13"/>
                <w:color w:val="auto"/>
              </w:rPr>
              <w:t>Charlottesville, VA</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40,759</w:t>
            </w:r>
          </w:p>
        </w:tc>
        <w:tc>
          <w:tcPr>
            <w:tcW w:w="660" w:type="dxa"/>
            <w:vAlign w:val="bottom"/>
          </w:tcPr>
          <w:p>
            <w:pPr>
              <w:jc w:val="right"/>
              <w:ind w:right="39"/>
              <w:spacing w:after="0"/>
              <w:rPr>
                <w:sz w:val="20"/>
                <w:szCs w:val="20"/>
                <w:color w:val="auto"/>
              </w:rPr>
            </w:pPr>
            <w:r>
              <w:rPr>
                <w:rFonts w:ascii="Arial" w:cs="Arial" w:eastAsia="Arial" w:hAnsi="Arial"/>
                <w:sz w:val="13"/>
                <w:szCs w:val="13"/>
                <w:color w:val="auto"/>
              </w:rPr>
              <w:t>4,231</w:t>
            </w: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169,000</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60" w:type="dxa"/>
            <w:vAlign w:val="bottom"/>
          </w:tcPr>
          <w:p>
            <w:pPr>
              <w:ind w:left="40"/>
              <w:spacing w:after="0"/>
              <w:rPr>
                <w:sz w:val="20"/>
                <w:szCs w:val="20"/>
                <w:color w:val="auto"/>
              </w:rPr>
            </w:pPr>
            <w:r>
              <w:rPr>
                <w:rFonts w:ascii="Arial" w:cs="Arial" w:eastAsia="Arial" w:hAnsi="Arial"/>
                <w:sz w:val="13"/>
                <w:szCs w:val="13"/>
                <w:color w:val="auto"/>
                <w:w w:val="92"/>
              </w:rPr>
              <w:t>HomeGoods / DSW / Stein Mart / Staples</w:t>
            </w:r>
          </w:p>
        </w:tc>
      </w:tr>
      <w:tr>
        <w:trPr>
          <w:trHeight w:val="97"/>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60" w:type="dxa"/>
            <w:vAlign w:val="bottom"/>
          </w:tcPr>
          <w:p>
            <w:pPr>
              <w:spacing w:after="0"/>
              <w:rPr>
                <w:sz w:val="8"/>
                <w:szCs w:val="8"/>
                <w:color w:val="auto"/>
              </w:rPr>
            </w:pPr>
          </w:p>
        </w:tc>
      </w:tr>
      <w:tr>
        <w:trPr>
          <w:trHeight w:val="148"/>
        </w:trPr>
        <w:tc>
          <w:tcPr>
            <w:tcW w:w="118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rPr>
              <w:t>Willow Lawn</w:t>
            </w:r>
          </w:p>
        </w:tc>
        <w:tc>
          <w:tcPr>
            <w:tcW w:w="2360" w:type="dxa"/>
            <w:vAlign w:val="bottom"/>
            <w:shd w:val="clear" w:color="auto" w:fill="CCEEFF"/>
          </w:tcPr>
          <w:p>
            <w:pPr>
              <w:ind w:left="480"/>
              <w:spacing w:after="0" w:line="148" w:lineRule="exact"/>
              <w:rPr>
                <w:sz w:val="20"/>
                <w:szCs w:val="20"/>
                <w:color w:val="auto"/>
              </w:rPr>
            </w:pPr>
            <w:r>
              <w:rPr>
                <w:rFonts w:ascii="Arial" w:cs="Arial" w:eastAsia="Arial" w:hAnsi="Arial"/>
                <w:sz w:val="13"/>
                <w:szCs w:val="13"/>
                <w:color w:val="auto"/>
              </w:rPr>
              <w:t>Richmond-Petersburg, VA</w:t>
            </w:r>
          </w:p>
        </w:tc>
        <w:tc>
          <w:tcPr>
            <w:tcW w:w="72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102,634</w:t>
            </w: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463,000</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66,000</w:t>
            </w:r>
          </w:p>
        </w:tc>
        <w:tc>
          <w:tcPr>
            <w:tcW w:w="94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Kroger</w:t>
            </w:r>
          </w:p>
        </w:tc>
        <w:tc>
          <w:tcPr>
            <w:tcW w:w="22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5"/>
              </w:rPr>
              <w:t>Dick's Sporting Goods / Ross Dress For</w:t>
            </w:r>
          </w:p>
        </w:tc>
      </w:tr>
      <w:tr>
        <w:trPr>
          <w:trHeight w:val="176"/>
        </w:trPr>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Less / Gold's Gym / DSW</w:t>
            </w:r>
          </w:p>
        </w:tc>
      </w:tr>
      <w:tr>
        <w:trPr>
          <w:trHeight w:val="167"/>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60" w:type="dxa"/>
            <w:vAlign w:val="bottom"/>
          </w:tcPr>
          <w:p>
            <w:pPr>
              <w:ind w:left="480"/>
              <w:spacing w:after="0"/>
              <w:rPr>
                <w:sz w:val="20"/>
                <w:szCs w:val="20"/>
                <w:color w:val="auto"/>
              </w:rPr>
            </w:pPr>
            <w:r>
              <w:rPr>
                <w:rFonts w:ascii="Arial" w:cs="Arial" w:eastAsia="Arial" w:hAnsi="Arial"/>
                <w:sz w:val="13"/>
                <w:szCs w:val="13"/>
                <w:b w:val="1"/>
                <w:bCs w:val="1"/>
                <w:color w:val="auto"/>
              </w:rPr>
              <w:t>Total Other</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311,571</w:t>
            </w:r>
          </w:p>
        </w:tc>
        <w:tc>
          <w:tcPr>
            <w:tcW w:w="66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162</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w w:val="96"/>
              </w:rPr>
              <w:t>1,899,000</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84"/>
        </w:trPr>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60" w:type="dxa"/>
            <w:vAlign w:val="bottom"/>
          </w:tcPr>
          <w:p>
            <w:pPr>
              <w:spacing w:after="0"/>
              <w:rPr>
                <w:sz w:val="7"/>
                <w:szCs w:val="7"/>
                <w:color w:val="auto"/>
              </w:rPr>
            </w:pPr>
          </w:p>
        </w:tc>
      </w:tr>
      <w:tr>
        <w:trPr>
          <w:trHeight w:val="189"/>
        </w:trPr>
        <w:tc>
          <w:tcPr>
            <w:tcW w:w="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23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2260" w:type="dxa"/>
            <w:vAlign w:val="bottom"/>
            <w:tcBorders>
              <w:bottom w:val="single" w:sz="8" w:color="auto"/>
            </w:tcBorders>
            <w:shd w:val="clear" w:color="auto" w:fill="CCEEFF"/>
          </w:tcPr>
          <w:p>
            <w:pPr>
              <w:spacing w:after="0"/>
              <w:rPr>
                <w:sz w:val="16"/>
                <w:szCs w:val="16"/>
                <w:color w:val="auto"/>
              </w:rPr>
            </w:pPr>
          </w:p>
        </w:tc>
      </w:tr>
      <w:tr>
        <w:trPr>
          <w:trHeight w:val="167"/>
        </w:trPr>
        <w:tc>
          <w:tcPr>
            <w:tcW w:w="1180" w:type="dxa"/>
            <w:vAlign w:val="bottom"/>
            <w:gridSpan w:val="4"/>
          </w:tcPr>
          <w:p>
            <w:pPr>
              <w:ind w:left="20"/>
              <w:spacing w:after="0"/>
              <w:rPr>
                <w:sz w:val="20"/>
                <w:szCs w:val="20"/>
                <w:color w:val="auto"/>
              </w:rPr>
            </w:pPr>
            <w:r>
              <w:rPr>
                <w:rFonts w:ascii="Arial" w:cs="Arial" w:eastAsia="Arial" w:hAnsi="Arial"/>
                <w:sz w:val="13"/>
                <w:szCs w:val="13"/>
                <w:b w:val="1"/>
                <w:bCs w:val="1"/>
                <w:color w:val="auto"/>
              </w:rPr>
              <w:t>Grand Total</w:t>
            </w:r>
          </w:p>
        </w:tc>
        <w:tc>
          <w:tcPr>
            <w:tcW w:w="236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b w:val="1"/>
                <w:bCs w:val="1"/>
                <w:color w:val="auto"/>
                <w:w w:val="84"/>
              </w:rPr>
              <w:t>$ 7,745,110</w:t>
            </w:r>
          </w:p>
        </w:tc>
        <w:tc>
          <w:tcPr>
            <w:tcW w:w="660" w:type="dxa"/>
            <w:vAlign w:val="bottom"/>
          </w:tcPr>
          <w:p>
            <w:pPr>
              <w:jc w:val="right"/>
              <w:ind w:right="39"/>
              <w:spacing w:after="0"/>
              <w:rPr>
                <w:sz w:val="20"/>
                <w:szCs w:val="20"/>
                <w:color w:val="auto"/>
              </w:rPr>
            </w:pPr>
            <w:r>
              <w:rPr>
                <w:rFonts w:ascii="Arial" w:cs="Arial" w:eastAsia="Arial" w:hAnsi="Arial"/>
                <w:sz w:val="13"/>
                <w:szCs w:val="13"/>
                <w:b w:val="1"/>
                <w:bCs w:val="1"/>
                <w:color w:val="auto"/>
                <w:w w:val="93"/>
              </w:rPr>
              <w:t>$ 549,728</w:t>
            </w:r>
          </w:p>
        </w:tc>
        <w:tc>
          <w:tcPr>
            <w:tcW w:w="500" w:type="dxa"/>
            <w:vAlign w:val="bottom"/>
          </w:tcPr>
          <w:p>
            <w:pPr>
              <w:jc w:val="right"/>
              <w:ind w:right="77"/>
              <w:spacing w:after="0"/>
              <w:rPr>
                <w:sz w:val="20"/>
                <w:szCs w:val="20"/>
                <w:color w:val="auto"/>
              </w:rPr>
            </w:pPr>
            <w:r>
              <w:rPr>
                <w:rFonts w:ascii="Arial" w:cs="Arial" w:eastAsia="Arial" w:hAnsi="Arial"/>
                <w:sz w:val="13"/>
                <w:szCs w:val="13"/>
                <w:b w:val="1"/>
                <w:bCs w:val="1"/>
                <w:color w:val="auto"/>
              </w:rPr>
              <w:t>1,975</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auto"/>
                <w:w w:val="86"/>
              </w:rPr>
              <w:t>24,250,000</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95%</w:t>
            </w:r>
          </w:p>
        </w:tc>
        <w:tc>
          <w:tcPr>
            <w:tcW w:w="680" w:type="dxa"/>
            <w:vAlign w:val="bottom"/>
          </w:tcPr>
          <w:p>
            <w:pPr>
              <w:jc w:val="right"/>
              <w:ind w:right="57"/>
              <w:spacing w:after="0"/>
              <w:rPr>
                <w:sz w:val="20"/>
                <w:szCs w:val="20"/>
                <w:color w:val="auto"/>
              </w:rPr>
            </w:pPr>
            <w:r>
              <w:rPr>
                <w:rFonts w:ascii="Arial" w:cs="Arial" w:eastAsia="Arial" w:hAnsi="Arial"/>
                <w:sz w:val="13"/>
                <w:szCs w:val="13"/>
                <w:b w:val="1"/>
                <w:bCs w:val="1"/>
                <w:color w:val="auto"/>
              </w:rPr>
              <w:t>2,639</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97"/>
        </w:trPr>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0" w:lineRule="exact"/>
        <w:rPr>
          <w:sz w:val="20"/>
          <w:szCs w:val="20"/>
          <w:color w:val="auto"/>
        </w:rPr>
      </w:pPr>
    </w:p>
    <w:p>
      <w:pPr>
        <w:ind w:left="580" w:right="80" w:hanging="571"/>
        <w:spacing w:after="0" w:line="239" w:lineRule="auto"/>
        <w:tabs>
          <w:tab w:leader="none" w:pos="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mortgage or capital lease obligations differ from the total reported on the consolidated balance sheet due to the unamortized discount, premium, and/or debt issuance costs on certain mortgages payable.</w:t>
      </w:r>
    </w:p>
    <w:p>
      <w:pPr>
        <w:spacing w:after="0" w:line="30" w:lineRule="exact"/>
        <w:rPr>
          <w:rFonts w:ascii="Arial" w:cs="Arial" w:eastAsia="Arial" w:hAnsi="Arial"/>
          <w:sz w:val="14"/>
          <w:szCs w:val="14"/>
          <w:color w:val="auto"/>
        </w:rPr>
      </w:pPr>
    </w:p>
    <w:p>
      <w:pPr>
        <w:ind w:left="580" w:right="400" w:hanging="571"/>
        <w:spacing w:after="0" w:line="239" w:lineRule="auto"/>
        <w:tabs>
          <w:tab w:leader="none" w:pos="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the GLA and the percentage leased of the commercial portion of the property. Some of our properties include office space which is included in this square footage. Excludes newly created redevelopment square footage not yet in service, as well as residential and hotel square footage.</w:t>
      </w:r>
    </w:p>
    <w:p>
      <w:pPr>
        <w:spacing w:after="0" w:line="30" w:lineRule="exact"/>
        <w:rPr>
          <w:rFonts w:ascii="Arial" w:cs="Arial" w:eastAsia="Arial" w:hAnsi="Arial"/>
          <w:sz w:val="14"/>
          <w:szCs w:val="14"/>
          <w:color w:val="auto"/>
        </w:rPr>
      </w:pPr>
    </w:p>
    <w:p>
      <w:pPr>
        <w:ind w:left="580" w:hanging="571"/>
        <w:spacing w:after="0"/>
        <w:tabs>
          <w:tab w:leader="none" w:pos="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Trust has a controlling financial interest in this property.</w:t>
      </w:r>
    </w:p>
    <w:p>
      <w:pPr>
        <w:spacing w:after="0" w:line="41" w:lineRule="exact"/>
        <w:rPr>
          <w:rFonts w:ascii="Arial" w:cs="Arial" w:eastAsia="Arial" w:hAnsi="Arial"/>
          <w:sz w:val="14"/>
          <w:szCs w:val="14"/>
          <w:color w:val="auto"/>
        </w:rPr>
      </w:pPr>
    </w:p>
    <w:p>
      <w:pPr>
        <w:ind w:left="580" w:hanging="571"/>
        <w:spacing w:after="0"/>
        <w:tabs>
          <w:tab w:leader="none" w:pos="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Portion of property is currently under development. See further discussion in the Assembly Row and Pike &amp; Rose schedules.</w:t>
      </w:r>
    </w:p>
    <w:p>
      <w:pPr>
        <w:spacing w:after="0" w:line="41" w:lineRule="exact"/>
        <w:rPr>
          <w:rFonts w:ascii="Arial" w:cs="Arial" w:eastAsia="Arial" w:hAnsi="Arial"/>
          <w:sz w:val="14"/>
          <w:szCs w:val="14"/>
          <w:color w:val="auto"/>
        </w:rPr>
      </w:pPr>
    </w:p>
    <w:p>
      <w:pPr>
        <w:ind w:left="580" w:right="420" w:hanging="571"/>
        <w:spacing w:after="0" w:line="239" w:lineRule="auto"/>
        <w:tabs>
          <w:tab w:leader="none" w:pos="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All or a portion of the property is owned in a "downREIT" partnership, of which a wholly owned subsidiary of the Trust is the sole general partner, with third party partners holding operating partnership units.</w:t>
      </w:r>
    </w:p>
    <w:p>
      <w:pPr>
        <w:spacing w:after="0" w:line="30" w:lineRule="exact"/>
        <w:rPr>
          <w:rFonts w:ascii="Arial" w:cs="Arial" w:eastAsia="Arial" w:hAnsi="Arial"/>
          <w:sz w:val="14"/>
          <w:szCs w:val="14"/>
          <w:color w:val="auto"/>
        </w:rPr>
      </w:pPr>
    </w:p>
    <w:p>
      <w:pPr>
        <w:ind w:left="580" w:hanging="571"/>
        <w:spacing w:after="0"/>
        <w:tabs>
          <w:tab w:leader="none" w:pos="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All or a portion of property subject to capital lease obligation.</w:t>
      </w:r>
    </w:p>
    <w:p>
      <w:pPr>
        <w:spacing w:after="0" w:line="41" w:lineRule="exact"/>
        <w:rPr>
          <w:rFonts w:ascii="Arial" w:cs="Arial" w:eastAsia="Arial" w:hAnsi="Arial"/>
          <w:sz w:val="14"/>
          <w:szCs w:val="14"/>
          <w:color w:val="auto"/>
        </w:rPr>
      </w:pPr>
    </w:p>
    <w:p>
      <w:pPr>
        <w:jc w:val="both"/>
        <w:ind w:left="580" w:right="20" w:hanging="571"/>
        <w:spacing w:after="0" w:line="265" w:lineRule="auto"/>
        <w:tabs>
          <w:tab w:leader="none" w:pos="5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On June 15, 2018, we formed a new joint venture to develop Jordan Downs Plaza, which when completed, will be an approximately 113,000 square foot grocery anchored shopping center located in Los Angeles County, California. The total investment at June 30, 2018 was $34.4 million as a result of a pre-funding requirement for equity to be advanced prior to the start of construction. We own approximately 91% of the venture, and control the 9.4 acre land parcel on which the shopping center will be constructed under a long-term ground lease that expires June 15, 2093 (including two</w:t>
      </w:r>
    </w:p>
    <w:p>
      <w:pPr>
        <w:ind w:left="580"/>
        <w:spacing w:after="0"/>
        <w:rPr>
          <w:rFonts w:ascii="Arial" w:cs="Arial" w:eastAsia="Arial" w:hAnsi="Arial"/>
          <w:sz w:val="12"/>
          <w:szCs w:val="12"/>
          <w:color w:val="auto"/>
        </w:rPr>
      </w:pPr>
      <w:r>
        <w:rPr>
          <w:rFonts w:ascii="Arial" w:cs="Arial" w:eastAsia="Arial" w:hAnsi="Arial"/>
          <w:sz w:val="12"/>
          <w:szCs w:val="12"/>
          <w:color w:val="auto"/>
        </w:rPr>
        <w:t>10-year option periods which may be exercised at our option). See further discussion in the Summary of Redevelopments Opportunities schedule, as well as Note 3 of our June 30, 2018 Form 10-Q.</w:t>
      </w:r>
    </w:p>
    <w:p>
      <w:pPr>
        <w:spacing w:after="0" w:line="52" w:lineRule="exact"/>
        <w:rPr>
          <w:rFonts w:ascii="Arial" w:cs="Arial" w:eastAsia="Arial" w:hAnsi="Arial"/>
          <w:sz w:val="12"/>
          <w:szCs w:val="12"/>
          <w:color w:val="auto"/>
        </w:rPr>
      </w:pPr>
    </w:p>
    <w:p>
      <w:pPr>
        <w:ind w:left="580" w:hanging="571"/>
        <w:spacing w:after="0"/>
        <w:tabs>
          <w:tab w:leader="none" w:pos="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This property includes interests in five buildings in addition to our initial acquisition.</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80"/>
          </w:cols>
          <w:pgMar w:left="320" w:top="747" w:right="299" w:bottom="1440" w:gutter="0" w:footer="0" w:header="0"/>
        </w:sectPr>
      </w:pPr>
    </w:p>
    <w:bookmarkStart w:id="27" w:name="page28"/>
    <w:bookmarkEnd w:id="27"/>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Retail Leasing Summary (1)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2018</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2nd Quarter 2018</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449,247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34.75</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$ 31.61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1,410,856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17,466,295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38.88</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1st Quarter 2018</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403,250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
              <w:spacing w:after="0"/>
              <w:rPr>
                <w:sz w:val="20"/>
                <w:szCs w:val="20"/>
                <w:color w:val="auto"/>
              </w:rPr>
            </w:pPr>
            <w:r>
              <w:rPr>
                <w:rFonts w:ascii="Arial" w:cs="Arial" w:eastAsia="Arial" w:hAnsi="Arial"/>
                <w:sz w:val="14"/>
                <w:szCs w:val="14"/>
                <w:color w:val="auto"/>
              </w:rPr>
              <w:t>31.51</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$ 25.91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2,258,454</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7,422,889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18.41</w:t>
            </w:r>
          </w:p>
        </w:tc>
        <w:tc>
          <w:tcPr>
            <w:tcW w:w="36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2017</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300,511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34.75</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$ 30.19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1,369,494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9,763,062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32.49</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3rd Quarter 2017</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82</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399,619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38.24</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$ 33.43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9"/>
              </w:rPr>
              <w:t>1,922,439</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7.4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10,411,714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26.05</w:t>
            </w:r>
          </w:p>
        </w:tc>
        <w:tc>
          <w:tcPr>
            <w:tcW w:w="360" w:type="dxa"/>
            <w:vAlign w:val="bottom"/>
            <w:tcBorders>
              <w:bottom w:val="single" w:sz="8" w:color="auto"/>
            </w:tcBorders>
          </w:tcPr>
          <w:p>
            <w:pPr>
              <w:spacing w:after="0"/>
              <w:rPr>
                <w:sz w:val="22"/>
                <w:szCs w:val="2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339</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1,552,627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34.81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$ 30.32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6,961,243</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45,063,960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29.02</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Arial" w:cs="Arial" w:eastAsia="Arial" w:hAnsi="Arial"/>
                <w:sz w:val="14"/>
                <w:szCs w:val="14"/>
                <w:b w:val="1"/>
                <w:bCs w:val="1"/>
                <w:color w:val="auto"/>
              </w:rPr>
              <w:t>New Lease Summary - Comparable (2)</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2nd Quarter 2018</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203,883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38.18</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$ 33.13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1,030,413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16,706,322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81.94</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1st Quarter 2018</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40%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203,038</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
              <w:spacing w:after="0"/>
              <w:rPr>
                <w:sz w:val="20"/>
                <w:szCs w:val="20"/>
                <w:color w:val="auto"/>
              </w:rPr>
            </w:pPr>
            <w:r>
              <w:rPr>
                <w:rFonts w:ascii="Arial" w:cs="Arial" w:eastAsia="Arial" w:hAnsi="Arial"/>
                <w:sz w:val="14"/>
                <w:szCs w:val="14"/>
                <w:color w:val="auto"/>
              </w:rPr>
              <w:t>28.44</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$ 19.61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1,792,929</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7,127,676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35.11</w:t>
            </w:r>
          </w:p>
        </w:tc>
        <w:tc>
          <w:tcPr>
            <w:tcW w:w="36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2017</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49%</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158,213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32.66</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$ 27.27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853,245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9,545,231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60.33</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3rd Quarter 2017</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44%</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165,289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40.97</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$ 33.19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9"/>
              </w:rPr>
              <w:t>1,285,427</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8.4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8,563,714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51.81</w:t>
            </w:r>
          </w:p>
        </w:tc>
        <w:tc>
          <w:tcPr>
            <w:tcW w:w="360" w:type="dxa"/>
            <w:vAlign w:val="bottom"/>
            <w:tcBorders>
              <w:bottom w:val="single" w:sz="8" w:color="auto"/>
            </w:tcBorders>
          </w:tcPr>
          <w:p>
            <w:pPr>
              <w:spacing w:after="0"/>
              <w:rPr>
                <w:sz w:val="22"/>
                <w:szCs w:val="2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730,423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34.91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$ 28.11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4,962,014</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41,942,943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57.42</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Arial" w:cs="Arial" w:eastAsia="Arial" w:hAnsi="Arial"/>
                <w:sz w:val="14"/>
                <w:szCs w:val="14"/>
                <w:b w:val="1"/>
                <w:bCs w:val="1"/>
                <w:color w:val="auto"/>
                <w:w w:val="95"/>
              </w:rPr>
              <w:t>Renewal Lease Summary - Comparable (2) (8)</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2nd Quarter 2018</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61%</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245,364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31.90</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$ 30.35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380,443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759,973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3.10</w:t>
            </w:r>
          </w:p>
        </w:tc>
        <w:tc>
          <w:tcPr>
            <w:tcW w:w="360" w:type="dxa"/>
            <w:vAlign w:val="bottom"/>
            <w:shd w:val="clear" w:color="auto" w:fill="CCEEFF"/>
          </w:tcPr>
          <w:p>
            <w:pPr>
              <w:spacing w:after="0"/>
              <w:rPr>
                <w:sz w:val="21"/>
                <w:szCs w:val="21"/>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1st Quarter 2018</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60%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200,212</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
              <w:spacing w:after="0"/>
              <w:rPr>
                <w:sz w:val="20"/>
                <w:szCs w:val="20"/>
                <w:color w:val="auto"/>
              </w:rPr>
            </w:pPr>
            <w:r>
              <w:rPr>
                <w:rFonts w:ascii="Arial" w:cs="Arial" w:eastAsia="Arial" w:hAnsi="Arial"/>
                <w:sz w:val="14"/>
                <w:szCs w:val="14"/>
                <w:color w:val="auto"/>
              </w:rPr>
              <w:t>34.62</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$ 32.30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465,525</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295,213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1.47</w:t>
            </w:r>
          </w:p>
        </w:tc>
        <w:tc>
          <w:tcPr>
            <w:tcW w:w="36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2017</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51%</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142,298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37.07</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$ 33.44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516,249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217,831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1.53</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3rd Quarter 2017</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56%</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234,330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36.31</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$ 33.59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637,012</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6.7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1,848,000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7.89</w:t>
            </w:r>
          </w:p>
        </w:tc>
        <w:tc>
          <w:tcPr>
            <w:tcW w:w="360" w:type="dxa"/>
            <w:vAlign w:val="bottom"/>
            <w:tcBorders>
              <w:bottom w:val="single" w:sz="8" w:color="auto"/>
            </w:tcBorders>
          </w:tcPr>
          <w:p>
            <w:pPr>
              <w:spacing w:after="0"/>
              <w:rPr>
                <w:sz w:val="22"/>
                <w:szCs w:val="2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822,204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34.72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$ 32.28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1,999,229</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3,121,017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3.80</w:t>
            </w:r>
          </w:p>
        </w:tc>
        <w:tc>
          <w:tcPr>
            <w:tcW w:w="36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700" w:type="dxa"/>
            <w:vAlign w:val="bottom"/>
            <w:gridSpan w:val="13"/>
          </w:tcPr>
          <w:p>
            <w:pPr>
              <w:spacing w:after="0"/>
              <w:rPr>
                <w:sz w:val="20"/>
                <w:szCs w:val="20"/>
                <w:color w:val="auto"/>
              </w:rPr>
            </w:pPr>
            <w:r>
              <w:rPr>
                <w:rFonts w:ascii="Arial" w:cs="Arial" w:eastAsia="Arial" w:hAnsi="Arial"/>
                <w:sz w:val="14"/>
                <w:szCs w:val="14"/>
                <w:b w:val="1"/>
                <w:bCs w:val="1"/>
                <w:color w:val="auto"/>
              </w:rPr>
              <w:t>Total Lease Summary - Comparable and Non-comparable (2) (9)</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Number</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2"/>
              </w:rPr>
              <w:t>of Leases</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Rent (3) Per Sq.</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140" w:type="dxa"/>
            <w:vAlign w:val="bottom"/>
          </w:tcPr>
          <w:p>
            <w:pPr>
              <w:spacing w:after="0"/>
              <w:rPr>
                <w:sz w:val="12"/>
                <w:szCs w:val="12"/>
                <w:color w:val="auto"/>
              </w:rPr>
            </w:pPr>
          </w:p>
        </w:tc>
        <w:tc>
          <w:tcPr>
            <w:tcW w:w="1680" w:type="dxa"/>
            <w:vAlign w:val="bottom"/>
            <w:gridSpan w:val="4"/>
          </w:tcPr>
          <w:p>
            <w:pPr>
              <w:ind w:left="440"/>
              <w:spacing w:after="0"/>
              <w:rPr>
                <w:sz w:val="20"/>
                <w:szCs w:val="20"/>
                <w:color w:val="auto"/>
              </w:rPr>
            </w:pPr>
            <w:r>
              <w:rPr>
                <w:rFonts w:ascii="Arial" w:cs="Arial" w:eastAsia="Arial" w:hAnsi="Arial"/>
                <w:sz w:val="11"/>
                <w:szCs w:val="11"/>
                <w:b w:val="1"/>
                <w:bCs w:val="1"/>
                <w:color w:val="auto"/>
              </w:rPr>
              <w:t>GLA Signed</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Ft.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64"/>
        </w:trPr>
        <w:tc>
          <w:tcPr>
            <w:tcW w:w="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2nd Quarter 2018</w:t>
            </w: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474,578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35.37</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17,912,856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37.74</w:t>
            </w:r>
          </w:p>
        </w:tc>
        <w:tc>
          <w:tcPr>
            <w:tcW w:w="360" w:type="dxa"/>
            <w:vAlign w:val="bottom"/>
            <w:shd w:val="clear" w:color="auto" w:fill="CCEEFF"/>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1st Quarter 2018</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gridSpan w:val="2"/>
          </w:tcPr>
          <w:p>
            <w:pPr>
              <w:jc w:val="right"/>
              <w:ind w:right="99"/>
              <w:spacing w:after="0"/>
              <w:rPr>
                <w:sz w:val="20"/>
                <w:szCs w:val="20"/>
                <w:color w:val="auto"/>
              </w:rPr>
            </w:pPr>
            <w:r>
              <w:rPr>
                <w:rFonts w:ascii="Arial" w:cs="Arial" w:eastAsia="Arial" w:hAnsi="Arial"/>
                <w:sz w:val="14"/>
                <w:szCs w:val="14"/>
                <w:color w:val="auto"/>
              </w:rPr>
              <w:t>405,556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31.69</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7,831,363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19.31</w:t>
            </w:r>
          </w:p>
        </w:tc>
        <w:tc>
          <w:tcPr>
            <w:tcW w:w="36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2017</w:t>
            </w: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344,768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35.68</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10,887,204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31.58</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3rd Quarter 2017</w:t>
            </w: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90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color w:val="auto"/>
              </w:rPr>
              <w:t>424,492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39.33</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7.6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12,087,142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28.47</w:t>
            </w:r>
          </w:p>
        </w:tc>
        <w:tc>
          <w:tcPr>
            <w:tcW w:w="360" w:type="dxa"/>
            <w:vAlign w:val="bottom"/>
            <w:tcBorders>
              <w:bottom w:val="single" w:sz="8" w:color="auto"/>
            </w:tcBorders>
          </w:tcPr>
          <w:p>
            <w:pPr>
              <w:spacing w:after="0"/>
              <w:rPr>
                <w:sz w:val="22"/>
                <w:szCs w:val="2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1,649,394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35.55</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48,718,565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29.54</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600" w:hanging="585"/>
        <w:spacing w:after="0"/>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Leases on this report represent retail activity only; office and residential leases are not included.</w:t>
      </w:r>
    </w:p>
    <w:p>
      <w:pPr>
        <w:spacing w:after="0" w:line="39" w:lineRule="exact"/>
        <w:rPr>
          <w:rFonts w:ascii="Arial" w:cs="Arial" w:eastAsia="Arial" w:hAnsi="Arial"/>
          <w:sz w:val="13"/>
          <w:szCs w:val="13"/>
          <w:color w:val="auto"/>
        </w:rPr>
      </w:pPr>
    </w:p>
    <w:p>
      <w:pPr>
        <w:ind w:left="600" w:hanging="585"/>
        <w:spacing w:after="0"/>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Comparable leases represent those leases signed on spaces for which there was a former tenant.</w:t>
      </w:r>
    </w:p>
    <w:p>
      <w:pPr>
        <w:spacing w:after="0" w:line="39" w:lineRule="exact"/>
        <w:rPr>
          <w:rFonts w:ascii="Arial" w:cs="Arial" w:eastAsia="Arial" w:hAnsi="Arial"/>
          <w:sz w:val="13"/>
          <w:szCs w:val="13"/>
          <w:color w:val="auto"/>
        </w:rPr>
      </w:pPr>
    </w:p>
    <w:p>
      <w:pPr>
        <w:ind w:left="600" w:hanging="585"/>
        <w:spacing w:after="0"/>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Contractual rent represents contractual minimum rent under the new lease for the first 12 months of the term.</w:t>
      </w:r>
    </w:p>
    <w:p>
      <w:pPr>
        <w:spacing w:after="0" w:line="39" w:lineRule="exact"/>
        <w:rPr>
          <w:rFonts w:ascii="Arial" w:cs="Arial" w:eastAsia="Arial" w:hAnsi="Arial"/>
          <w:sz w:val="13"/>
          <w:szCs w:val="13"/>
          <w:color w:val="auto"/>
        </w:rPr>
      </w:pPr>
    </w:p>
    <w:p>
      <w:pPr>
        <w:ind w:left="600" w:hanging="585"/>
        <w:spacing w:after="0"/>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Prior rent represents minimum rent and percentage rent, if any, paid by the prior tenant in the final 12 months of the term.</w:t>
      </w:r>
    </w:p>
    <w:p>
      <w:pPr>
        <w:spacing w:after="0" w:line="39" w:lineRule="exact"/>
        <w:rPr>
          <w:rFonts w:ascii="Arial" w:cs="Arial" w:eastAsia="Arial" w:hAnsi="Arial"/>
          <w:sz w:val="13"/>
          <w:szCs w:val="13"/>
          <w:color w:val="auto"/>
        </w:rPr>
      </w:pPr>
    </w:p>
    <w:p>
      <w:pPr>
        <w:ind w:left="600" w:hanging="585"/>
        <w:spacing w:after="0"/>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Weighted average is determined on the basis of contractual rent for the first 12 months of the term.</w:t>
      </w:r>
    </w:p>
    <w:p>
      <w:pPr>
        <w:spacing w:after="0" w:line="39" w:lineRule="exact"/>
        <w:rPr>
          <w:rFonts w:ascii="Arial" w:cs="Arial" w:eastAsia="Arial" w:hAnsi="Arial"/>
          <w:sz w:val="13"/>
          <w:szCs w:val="13"/>
          <w:color w:val="auto"/>
        </w:rPr>
      </w:pPr>
    </w:p>
    <w:p>
      <w:pPr>
        <w:ind w:left="600" w:hanging="585"/>
        <w:spacing w:after="0"/>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See Glossary of Terms.</w:t>
      </w:r>
    </w:p>
    <w:p>
      <w:pPr>
        <w:spacing w:after="0" w:line="39" w:lineRule="exact"/>
        <w:rPr>
          <w:rFonts w:ascii="Arial" w:cs="Arial" w:eastAsia="Arial" w:hAnsi="Arial"/>
          <w:sz w:val="13"/>
          <w:szCs w:val="13"/>
          <w:color w:val="auto"/>
        </w:rPr>
      </w:pPr>
    </w:p>
    <w:p>
      <w:pPr>
        <w:ind w:left="600" w:right="260" w:hanging="585"/>
        <w:spacing w:after="0" w:line="237" w:lineRule="auto"/>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Approximately $5.4 million ($9.80 per square foot) in 2nd Quarter 2018 of the Tenant Improvements &amp; Incentives are for properties under active redevelopment and are included in the Projected Cost for those properties on the Summary of Redevelopment Opportunities.</w:t>
      </w:r>
    </w:p>
    <w:p>
      <w:pPr>
        <w:spacing w:after="0" w:line="28" w:lineRule="exact"/>
        <w:rPr>
          <w:rFonts w:ascii="Arial" w:cs="Arial" w:eastAsia="Arial" w:hAnsi="Arial"/>
          <w:sz w:val="13"/>
          <w:szCs w:val="13"/>
          <w:color w:val="auto"/>
        </w:rPr>
      </w:pPr>
    </w:p>
    <w:p>
      <w:pPr>
        <w:ind w:left="600" w:hanging="585"/>
        <w:spacing w:after="0"/>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Renewal leases represent expiring leases rolling over with the same tenant in the same location. All other leases are categorized as new.</w:t>
      </w:r>
    </w:p>
    <w:p>
      <w:pPr>
        <w:spacing w:after="0" w:line="39" w:lineRule="exact"/>
        <w:rPr>
          <w:rFonts w:ascii="Arial" w:cs="Arial" w:eastAsia="Arial" w:hAnsi="Arial"/>
          <w:sz w:val="13"/>
          <w:szCs w:val="13"/>
          <w:color w:val="auto"/>
        </w:rPr>
      </w:pPr>
    </w:p>
    <w:p>
      <w:pPr>
        <w:ind w:left="600" w:right="120" w:hanging="585"/>
        <w:spacing w:after="0" w:line="288" w:lineRule="auto"/>
        <w:tabs>
          <w:tab w:leader="none" w:pos="600" w:val="left"/>
        </w:tabs>
        <w:numPr>
          <w:ilvl w:val="0"/>
          <w:numId w:val="16"/>
        </w:numPr>
        <w:rPr>
          <w:rFonts w:ascii="Arial" w:cs="Arial" w:eastAsia="Arial" w:hAnsi="Arial"/>
          <w:sz w:val="11"/>
          <w:szCs w:val="11"/>
          <w:color w:val="auto"/>
        </w:rPr>
      </w:pPr>
      <w:r>
        <w:rPr>
          <w:rFonts w:ascii="Arial" w:cs="Arial" w:eastAsia="Arial" w:hAnsi="Arial"/>
          <w:sz w:val="11"/>
          <w:szCs w:val="11"/>
          <w:color w:val="auto"/>
        </w:rPr>
        <w:t>The Number of Leases Signed, GLA Signed, Contractual Rent Per Sq. Ft. and Weighted Average Lease Term columns include information for leases signed at Phase 2 of both of our Assembly Row and Pike &amp; Rose projects. The Tenant Improvements &amp; Incentives and Tenant Improvements &amp; Incentives Per Sq. Ft. columns do not include the tenant improvements and incentives on leases signed for those projects; these amounts for leases signed for Phase 2 of Assembly Row and Pike &amp; Rose are included in the Projected Cost column for those projects shown on the Assembly Row and Pike &amp; Rose schedule.</w:t>
      </w:r>
    </w:p>
    <w:p>
      <w:pPr>
        <w:sectPr>
          <w:pgSz w:w="11900" w:h="16838" w:orient="portrait"/>
          <w:cols w:equalWidth="0" w:num="1">
            <w:col w:w="11380"/>
          </w:cols>
          <w:pgMar w:left="260" w:top="760" w:right="25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380"/>
          </w:cols>
          <w:pgMar w:left="260" w:top="760" w:right="259" w:bottom="1440" w:gutter="0" w:footer="0" w:header="0"/>
          <w:type w:val="continuous"/>
        </w:sectPr>
      </w:pPr>
    </w:p>
    <w:bookmarkStart w:id="28" w:name="page29"/>
    <w:bookmarkEnd w:id="28"/>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2821305"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21305" cy="18034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12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2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6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7"/>
              </w:rPr>
              <w:t>Minimum Rent</w:t>
            </w:r>
          </w:p>
        </w:tc>
        <w:tc>
          <w:tcPr>
            <w:tcW w:w="12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 of Small</w:t>
            </w:r>
          </w:p>
        </w:tc>
        <w:tc>
          <w:tcPr>
            <w:tcW w:w="1360" w:type="dxa"/>
            <w:vAlign w:val="bottom"/>
            <w:gridSpan w:val="3"/>
          </w:tcPr>
          <w:p>
            <w:pPr>
              <w:jc w:val="center"/>
              <w:ind w:right="16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2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SF</w:t>
            </w:r>
          </w:p>
        </w:tc>
        <w:tc>
          <w:tcPr>
            <w:tcW w:w="240" w:type="dxa"/>
            <w:vAlign w:val="bottom"/>
          </w:tcPr>
          <w:p>
            <w:pPr>
              <w:spacing w:after="0"/>
              <w:rPr>
                <w:sz w:val="16"/>
                <w:szCs w:val="16"/>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Shop SF</w:t>
            </w:r>
          </w:p>
        </w:tc>
        <w:tc>
          <w:tcPr>
            <w:tcW w:w="24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50"/>
        </w:trPr>
        <w:tc>
          <w:tcPr>
            <w:tcW w:w="112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1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351,000</w:t>
            </w:r>
          </w:p>
        </w:tc>
        <w:tc>
          <w:tcPr>
            <w:tcW w:w="120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17.07</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379,000</w:t>
            </w:r>
          </w:p>
        </w:tc>
        <w:tc>
          <w:tcPr>
            <w:tcW w:w="118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32.91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731,000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25.29</w:t>
            </w:r>
          </w:p>
        </w:tc>
        <w:tc>
          <w:tcPr>
            <w:tcW w:w="0" w:type="dxa"/>
            <w:vAlign w:val="bottom"/>
          </w:tcPr>
          <w:p>
            <w:pPr>
              <w:spacing w:after="0"/>
              <w:rPr>
                <w:sz w:val="1"/>
                <w:szCs w:val="1"/>
                <w:color w:val="auto"/>
              </w:rPr>
            </w:pPr>
          </w:p>
        </w:tc>
      </w:tr>
      <w:tr>
        <w:trPr>
          <w:trHeight w:val="243"/>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1,974,000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19.12</w:t>
            </w:r>
          </w:p>
        </w:tc>
        <w:tc>
          <w:tcPr>
            <w:tcW w:w="200" w:type="dxa"/>
            <w:vAlign w:val="bottom"/>
          </w:tcPr>
          <w:p>
            <w:pPr>
              <w:spacing w:after="0"/>
              <w:rPr>
                <w:sz w:val="21"/>
                <w:szCs w:val="21"/>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800,000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37.86</w:t>
            </w:r>
          </w:p>
        </w:tc>
        <w:tc>
          <w:tcPr>
            <w:tcW w:w="220" w:type="dxa"/>
            <w:vAlign w:val="bottom"/>
          </w:tcPr>
          <w:p>
            <w:pPr>
              <w:spacing w:after="0"/>
              <w:rPr>
                <w:sz w:val="21"/>
                <w:szCs w:val="21"/>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2,774,000</w:t>
            </w: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24.52</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1,341,000</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16.79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958,000</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40.85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2,299,000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26.81</w:t>
            </w:r>
          </w:p>
        </w:tc>
        <w:tc>
          <w:tcPr>
            <w:tcW w:w="0" w:type="dxa"/>
            <w:vAlign w:val="bottom"/>
          </w:tcPr>
          <w:p>
            <w:pPr>
              <w:spacing w:after="0"/>
              <w:rPr>
                <w:sz w:val="1"/>
                <w:szCs w:val="1"/>
                <w:color w:val="auto"/>
              </w:rPr>
            </w:pPr>
          </w:p>
        </w:tc>
      </w:tr>
      <w:tr>
        <w:trPr>
          <w:trHeight w:val="243"/>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1,614,000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22.89</w:t>
            </w:r>
          </w:p>
        </w:tc>
        <w:tc>
          <w:tcPr>
            <w:tcW w:w="200" w:type="dxa"/>
            <w:vAlign w:val="bottom"/>
          </w:tcPr>
          <w:p>
            <w:pPr>
              <w:spacing w:after="0"/>
              <w:rPr>
                <w:sz w:val="21"/>
                <w:szCs w:val="21"/>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930,000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43.98</w:t>
            </w:r>
          </w:p>
        </w:tc>
        <w:tc>
          <w:tcPr>
            <w:tcW w:w="220" w:type="dxa"/>
            <w:vAlign w:val="bottom"/>
          </w:tcPr>
          <w:p>
            <w:pPr>
              <w:spacing w:after="0"/>
              <w:rPr>
                <w:sz w:val="21"/>
                <w:szCs w:val="21"/>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2,544,000</w:t>
            </w: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30.60</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2,081,000</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17.91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979,000</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41.99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3,060,000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25.61</w:t>
            </w:r>
          </w:p>
        </w:tc>
        <w:tc>
          <w:tcPr>
            <w:tcW w:w="0" w:type="dxa"/>
            <w:vAlign w:val="bottom"/>
          </w:tcPr>
          <w:p>
            <w:pPr>
              <w:spacing w:after="0"/>
              <w:rPr>
                <w:sz w:val="1"/>
                <w:szCs w:val="1"/>
                <w:color w:val="auto"/>
              </w:rPr>
            </w:pPr>
          </w:p>
        </w:tc>
      </w:tr>
      <w:tr>
        <w:trPr>
          <w:trHeight w:val="243"/>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1,609,000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19.76</w:t>
            </w:r>
          </w:p>
        </w:tc>
        <w:tc>
          <w:tcPr>
            <w:tcW w:w="200" w:type="dxa"/>
            <w:vAlign w:val="bottom"/>
          </w:tcPr>
          <w:p>
            <w:pPr>
              <w:spacing w:after="0"/>
              <w:rPr>
                <w:sz w:val="21"/>
                <w:szCs w:val="21"/>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845,000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44.80</w:t>
            </w:r>
          </w:p>
        </w:tc>
        <w:tc>
          <w:tcPr>
            <w:tcW w:w="220" w:type="dxa"/>
            <w:vAlign w:val="bottom"/>
          </w:tcPr>
          <w:p>
            <w:pPr>
              <w:spacing w:after="0"/>
              <w:rPr>
                <w:sz w:val="21"/>
                <w:szCs w:val="21"/>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2,454,000</w:t>
            </w: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28.38</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2024</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1,333,000</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15.79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586,000</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45.83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1,919,000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24.96</w:t>
            </w:r>
          </w:p>
        </w:tc>
        <w:tc>
          <w:tcPr>
            <w:tcW w:w="0" w:type="dxa"/>
            <w:vAlign w:val="bottom"/>
          </w:tcPr>
          <w:p>
            <w:pPr>
              <w:spacing w:after="0"/>
              <w:rPr>
                <w:sz w:val="1"/>
                <w:szCs w:val="1"/>
                <w:color w:val="auto"/>
              </w:rPr>
            </w:pPr>
          </w:p>
        </w:tc>
      </w:tr>
      <w:tr>
        <w:trPr>
          <w:trHeight w:val="243"/>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905,000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23.02</w:t>
            </w:r>
          </w:p>
        </w:tc>
        <w:tc>
          <w:tcPr>
            <w:tcW w:w="200" w:type="dxa"/>
            <w:vAlign w:val="bottom"/>
          </w:tcPr>
          <w:p>
            <w:pPr>
              <w:spacing w:after="0"/>
              <w:rPr>
                <w:sz w:val="21"/>
                <w:szCs w:val="21"/>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473,000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41.08</w:t>
            </w:r>
          </w:p>
        </w:tc>
        <w:tc>
          <w:tcPr>
            <w:tcW w:w="220" w:type="dxa"/>
            <w:vAlign w:val="bottom"/>
          </w:tcPr>
          <w:p>
            <w:pPr>
              <w:spacing w:after="0"/>
              <w:rPr>
                <w:sz w:val="21"/>
                <w:szCs w:val="21"/>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1,378,000</w:t>
            </w: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29.22</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2026</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573,000</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26.20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360,000</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45.14</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33.50</w:t>
            </w:r>
          </w:p>
        </w:tc>
        <w:tc>
          <w:tcPr>
            <w:tcW w:w="0" w:type="dxa"/>
            <w:vAlign w:val="bottom"/>
          </w:tcPr>
          <w:p>
            <w:pPr>
              <w:spacing w:after="0"/>
              <w:rPr>
                <w:sz w:val="1"/>
                <w:szCs w:val="1"/>
                <w:color w:val="auto"/>
              </w:rPr>
            </w:pPr>
          </w:p>
        </w:tc>
      </w:tr>
      <w:tr>
        <w:trPr>
          <w:trHeight w:val="243"/>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2027</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757,000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33.42</w:t>
            </w:r>
          </w:p>
        </w:tc>
        <w:tc>
          <w:tcPr>
            <w:tcW w:w="200" w:type="dxa"/>
            <w:vAlign w:val="bottom"/>
          </w:tcPr>
          <w:p>
            <w:pPr>
              <w:spacing w:after="0"/>
              <w:rPr>
                <w:sz w:val="21"/>
                <w:szCs w:val="21"/>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448,000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47.39</w:t>
            </w:r>
          </w:p>
        </w:tc>
        <w:tc>
          <w:tcPr>
            <w:tcW w:w="220" w:type="dxa"/>
            <w:vAlign w:val="bottom"/>
          </w:tcPr>
          <w:p>
            <w:pPr>
              <w:spacing w:after="0"/>
              <w:rPr>
                <w:sz w:val="21"/>
                <w:szCs w:val="21"/>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1,206,000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38.61</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2,955,000</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19% </w:t>
            </w: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19.85</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391,000</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51.35</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3,344,000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23.53</w:t>
            </w:r>
          </w:p>
        </w:tc>
        <w:tc>
          <w:tcPr>
            <w:tcW w:w="0" w:type="dxa"/>
            <w:vAlign w:val="bottom"/>
          </w:tcPr>
          <w:p>
            <w:pPr>
              <w:spacing w:after="0"/>
              <w:rPr>
                <w:sz w:val="1"/>
                <w:szCs w:val="1"/>
                <w:color w:val="auto"/>
              </w:rPr>
            </w:pPr>
          </w:p>
        </w:tc>
      </w:tr>
      <w:tr>
        <w:trPr>
          <w:trHeight w:val="244"/>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15,493,000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20.21</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7,149,000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42.75</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22,642,000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27.33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300" w:type="dxa"/>
            <w:vAlign w:val="bottom"/>
            <w:tcBorders>
              <w:left w:val="single" w:sz="8" w:color="auto"/>
            </w:tcBorders>
            <w:gridSpan w:val="3"/>
          </w:tcPr>
          <w:p>
            <w:pPr>
              <w:jc w:val="right"/>
              <w:ind w:right="497"/>
              <w:spacing w:after="0"/>
              <w:rPr>
                <w:sz w:val="20"/>
                <w:szCs w:val="20"/>
                <w:color w:val="auto"/>
              </w:rPr>
            </w:pPr>
            <w:r>
              <w:rPr>
                <w:rFonts w:ascii="Arial" w:cs="Arial" w:eastAsia="Arial" w:hAnsi="Arial"/>
                <w:sz w:val="16"/>
                <w:szCs w:val="16"/>
                <w:b w:val="1"/>
                <w:bCs w:val="1"/>
                <w:color w:val="auto"/>
                <w:w w:val="87"/>
              </w:rPr>
              <w:t>Assumes all lease options are exercised</w:t>
            </w:r>
          </w:p>
        </w:tc>
        <w:tc>
          <w:tcPr>
            <w:tcW w:w="2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2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4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12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2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6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7"/>
              </w:rPr>
              <w:t>Minimum Rent</w:t>
            </w:r>
          </w:p>
        </w:tc>
        <w:tc>
          <w:tcPr>
            <w:tcW w:w="12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 of Small</w:t>
            </w:r>
          </w:p>
        </w:tc>
        <w:tc>
          <w:tcPr>
            <w:tcW w:w="1360" w:type="dxa"/>
            <w:vAlign w:val="bottom"/>
            <w:gridSpan w:val="3"/>
          </w:tcPr>
          <w:p>
            <w:pPr>
              <w:jc w:val="center"/>
              <w:ind w:right="16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2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SF</w:t>
            </w:r>
          </w:p>
        </w:tc>
        <w:tc>
          <w:tcPr>
            <w:tcW w:w="240" w:type="dxa"/>
            <w:vAlign w:val="bottom"/>
          </w:tcPr>
          <w:p>
            <w:pPr>
              <w:spacing w:after="0"/>
              <w:rPr>
                <w:sz w:val="16"/>
                <w:szCs w:val="16"/>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Shop SF</w:t>
            </w:r>
          </w:p>
        </w:tc>
        <w:tc>
          <w:tcPr>
            <w:tcW w:w="24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2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1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14.98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285,000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32.24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470,000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25.44</w:t>
            </w:r>
          </w:p>
        </w:tc>
        <w:tc>
          <w:tcPr>
            <w:tcW w:w="0" w:type="dxa"/>
            <w:vAlign w:val="bottom"/>
          </w:tcPr>
          <w:p>
            <w:pPr>
              <w:spacing w:after="0"/>
              <w:rPr>
                <w:sz w:val="1"/>
                <w:szCs w:val="1"/>
                <w:color w:val="auto"/>
              </w:rPr>
            </w:pPr>
          </w:p>
        </w:tc>
      </w:tr>
      <w:tr>
        <w:trPr>
          <w:trHeight w:val="237"/>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541,000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18.86</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551,000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37.51</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1,092,000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28.27</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278,000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17.24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617,000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40.10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32.99</w:t>
            </w:r>
          </w:p>
        </w:tc>
        <w:tc>
          <w:tcPr>
            <w:tcW w:w="0" w:type="dxa"/>
            <w:vAlign w:val="bottom"/>
          </w:tcPr>
          <w:p>
            <w:pPr>
              <w:spacing w:after="0"/>
              <w:rPr>
                <w:sz w:val="1"/>
                <w:szCs w:val="1"/>
                <w:color w:val="auto"/>
              </w:rPr>
            </w:pPr>
          </w:p>
        </w:tc>
      </w:tr>
      <w:tr>
        <w:trPr>
          <w:trHeight w:val="237"/>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382,000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27.28</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545,000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47.40</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927,000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39.10</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22.97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573,000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41.33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920,000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34.40</w:t>
            </w:r>
          </w:p>
        </w:tc>
        <w:tc>
          <w:tcPr>
            <w:tcW w:w="0" w:type="dxa"/>
            <w:vAlign w:val="bottom"/>
          </w:tcPr>
          <w:p>
            <w:pPr>
              <w:spacing w:after="0"/>
              <w:rPr>
                <w:sz w:val="1"/>
                <w:szCs w:val="1"/>
                <w:color w:val="auto"/>
              </w:rPr>
            </w:pPr>
          </w:p>
        </w:tc>
      </w:tr>
      <w:tr>
        <w:trPr>
          <w:trHeight w:val="237"/>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435,000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21.60</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492,000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41.86</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928,000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32.36</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2024</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20.12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361,000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45.35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977,000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29.43</w:t>
            </w:r>
          </w:p>
        </w:tc>
        <w:tc>
          <w:tcPr>
            <w:tcW w:w="0" w:type="dxa"/>
            <w:vAlign w:val="bottom"/>
          </w:tcPr>
          <w:p>
            <w:pPr>
              <w:spacing w:after="0"/>
              <w:rPr>
                <w:sz w:val="1"/>
                <w:szCs w:val="1"/>
                <w:color w:val="auto"/>
              </w:rPr>
            </w:pPr>
          </w:p>
        </w:tc>
      </w:tr>
      <w:tr>
        <w:trPr>
          <w:trHeight w:val="237"/>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383,000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21.61</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407,000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42.26</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790,000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32.26</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2026</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26.51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380,000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42.31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33.62</w:t>
            </w:r>
          </w:p>
        </w:tc>
        <w:tc>
          <w:tcPr>
            <w:tcW w:w="0" w:type="dxa"/>
            <w:vAlign w:val="bottom"/>
          </w:tcPr>
          <w:p>
            <w:pPr>
              <w:spacing w:after="0"/>
              <w:rPr>
                <w:sz w:val="1"/>
                <w:szCs w:val="1"/>
                <w:color w:val="auto"/>
              </w:rPr>
            </w:pPr>
          </w:p>
        </w:tc>
      </w:tr>
      <w:tr>
        <w:trPr>
          <w:trHeight w:val="237"/>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2027</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694,000</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19.16</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472,000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45.32</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1,166,000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29.74</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11,166,000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19.81</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2,466,000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44.55</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13,632,000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24.29</w:t>
            </w:r>
          </w:p>
        </w:tc>
        <w:tc>
          <w:tcPr>
            <w:tcW w:w="0" w:type="dxa"/>
            <w:vAlign w:val="bottom"/>
          </w:tcPr>
          <w:p>
            <w:pPr>
              <w:spacing w:after="0"/>
              <w:rPr>
                <w:sz w:val="1"/>
                <w:szCs w:val="1"/>
                <w:color w:val="auto"/>
              </w:rPr>
            </w:pPr>
          </w:p>
        </w:tc>
      </w:tr>
      <w:tr>
        <w:trPr>
          <w:trHeight w:val="244"/>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15,493,000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20.21</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7,149,000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42.75</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22,642,000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27.33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1140" w:hanging="1105"/>
        <w:spacing w:after="0"/>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Anchor is defined as a tenant leasing 10,000 square feet or more.</w:t>
      </w:r>
    </w:p>
    <w:p>
      <w:pPr>
        <w:spacing w:after="0" w:line="72" w:lineRule="exact"/>
        <w:rPr>
          <w:rFonts w:ascii="Arial" w:cs="Arial" w:eastAsia="Arial" w:hAnsi="Arial"/>
          <w:sz w:val="16"/>
          <w:szCs w:val="16"/>
          <w:color w:val="auto"/>
        </w:rPr>
      </w:pPr>
    </w:p>
    <w:p>
      <w:pPr>
        <w:ind w:left="1140" w:hanging="1105"/>
        <w:spacing w:after="0"/>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Minimum Rent reflects in-place contractual (defined as cash-basis excluding rent abatements) rent as of June 30, 2018.</w:t>
      </w:r>
    </w:p>
    <w:p>
      <w:pPr>
        <w:spacing w:after="0" w:line="72" w:lineRule="exact"/>
        <w:rPr>
          <w:rFonts w:ascii="Arial" w:cs="Arial" w:eastAsia="Arial" w:hAnsi="Arial"/>
          <w:sz w:val="16"/>
          <w:szCs w:val="16"/>
          <w:color w:val="auto"/>
        </w:rPr>
      </w:pPr>
    </w:p>
    <w:p>
      <w:pPr>
        <w:ind w:left="1140" w:hanging="1105"/>
        <w:spacing w:after="0"/>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occupied square footage of the commercial portion of our portfolio as of June 30, 2018.</w:t>
      </w:r>
    </w:p>
    <w:p>
      <w:pPr>
        <w:spacing w:after="0" w:line="72" w:lineRule="exact"/>
        <w:rPr>
          <w:rFonts w:ascii="Arial" w:cs="Arial" w:eastAsia="Arial" w:hAnsi="Arial"/>
          <w:sz w:val="16"/>
          <w:szCs w:val="16"/>
          <w:color w:val="auto"/>
        </w:rPr>
      </w:pPr>
    </w:p>
    <w:p>
      <w:pPr>
        <w:ind w:left="1140" w:hanging="1105"/>
        <w:spacing w:after="0"/>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2" w:right="239" w:bottom="1440" w:gutter="0" w:footer="0" w:header="0"/>
        </w:sectPr>
      </w:pPr>
    </w:p>
    <w:bookmarkStart w:id="29" w:name="page30"/>
    <w:bookmarkEnd w:id="29"/>
    <w:p>
      <w:pPr>
        <w:ind w:left="40" w:right="1260"/>
        <w:spacing w:after="0" w:line="329" w:lineRule="auto"/>
        <w:rPr>
          <w:sz w:val="20"/>
          <w:szCs w:val="20"/>
          <w:color w:val="auto"/>
        </w:rPr>
      </w:pPr>
      <w:r>
        <w:rPr>
          <w:rFonts w:ascii="Arial" w:cs="Arial" w:eastAsia="Arial" w:hAnsi="Arial"/>
          <w:sz w:val="18"/>
          <w:szCs w:val="18"/>
          <w:b w:val="1"/>
          <w:bCs w:val="1"/>
          <w:color w:val="auto"/>
        </w:rPr>
        <w:t>Federal Realty Investment Trust Portfolio Leased Statistics June 30, 2018</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Overall Portfolio Statistics (1)</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Type</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Retail Properties (2) (3) (4) (sf)</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Residential Properties (units)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5"/>
          <w:szCs w:val="15"/>
          <w:b w:val="1"/>
          <w:bCs w:val="1"/>
          <w:u w:val="single" w:color="auto"/>
          <w:color w:val="auto"/>
        </w:rPr>
        <w:t>Comparable Property Statistics (1)</w:t>
      </w:r>
    </w:p>
    <w:p>
      <w:pPr>
        <w:spacing w:after="0" w:line="385"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Type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7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At June 30, 2018</w:t>
            </w:r>
          </w:p>
        </w:tc>
        <w:tc>
          <w:tcPr>
            <w:tcW w:w="6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At June 30, 2017</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472"/>
        </w:trPr>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3"/>
              </w:rPr>
              <w:t>Leased</w:t>
            </w:r>
          </w:p>
        </w:tc>
        <w:tc>
          <w:tcPr>
            <w:tcW w:w="3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7"/>
              </w:rPr>
              <w:t>Leased %</w:t>
            </w:r>
          </w:p>
        </w:tc>
        <w:tc>
          <w:tcPr>
            <w:tcW w:w="340" w:type="dxa"/>
            <w:vAlign w:val="bottom"/>
          </w:tcPr>
          <w:p>
            <w:pPr>
              <w:spacing w:after="0"/>
              <w:rPr>
                <w:sz w:val="24"/>
                <w:szCs w:val="24"/>
                <w:color w:val="auto"/>
              </w:rPr>
            </w:pPr>
          </w:p>
        </w:tc>
        <w:tc>
          <w:tcPr>
            <w:tcW w:w="1060" w:type="dxa"/>
            <w:vAlign w:val="bottom"/>
            <w:gridSpan w:val="3"/>
          </w:tcPr>
          <w:p>
            <w:pPr>
              <w:ind w:left="680"/>
              <w:spacing w:after="0"/>
              <w:rPr>
                <w:sz w:val="20"/>
                <w:szCs w:val="20"/>
                <w:color w:val="auto"/>
              </w:rPr>
            </w:pPr>
            <w:r>
              <w:rPr>
                <w:rFonts w:ascii="Arial" w:cs="Arial" w:eastAsia="Arial" w:hAnsi="Arial"/>
                <w:sz w:val="16"/>
                <w:szCs w:val="16"/>
                <w:color w:val="auto"/>
              </w:rPr>
              <w:t>Size</w:t>
            </w:r>
          </w:p>
        </w:tc>
        <w:tc>
          <w:tcPr>
            <w:tcW w:w="5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55"/>
        </w:trPr>
        <w:tc>
          <w:tcPr>
            <w:tcW w:w="1020" w:type="dxa"/>
            <w:vAlign w:val="bottom"/>
            <w:gridSpan w:val="2"/>
          </w:tcPr>
          <w:p>
            <w:pPr>
              <w:jc w:val="right"/>
              <w:spacing w:after="0"/>
              <w:rPr>
                <w:sz w:val="20"/>
                <w:szCs w:val="20"/>
                <w:color w:val="auto"/>
              </w:rPr>
            </w:pPr>
            <w:r>
              <w:rPr>
                <w:rFonts w:ascii="Arial" w:cs="Arial" w:eastAsia="Arial" w:hAnsi="Arial"/>
                <w:sz w:val="16"/>
                <w:szCs w:val="16"/>
                <w:color w:val="auto"/>
              </w:rPr>
              <w:t>24,250,000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23,043,000</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95.0%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23,240,000</w:t>
            </w:r>
          </w:p>
        </w:tc>
        <w:tc>
          <w:tcPr>
            <w:tcW w:w="1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21,971,000</w:t>
            </w:r>
          </w:p>
        </w:tc>
        <w:tc>
          <w:tcPr>
            <w:tcW w:w="5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94.5%</w:t>
            </w:r>
          </w:p>
        </w:tc>
      </w:tr>
      <w:tr>
        <w:trPr>
          <w:trHeight w:val="540"/>
        </w:trPr>
        <w:tc>
          <w:tcPr>
            <w:tcW w:w="1020" w:type="dxa"/>
            <w:vAlign w:val="bottom"/>
            <w:gridSpan w:val="2"/>
          </w:tcPr>
          <w:p>
            <w:pPr>
              <w:jc w:val="right"/>
              <w:spacing w:after="0"/>
              <w:rPr>
                <w:sz w:val="20"/>
                <w:szCs w:val="20"/>
                <w:color w:val="auto"/>
              </w:rPr>
            </w:pPr>
            <w:r>
              <w:rPr>
                <w:rFonts w:ascii="Arial" w:cs="Arial" w:eastAsia="Arial" w:hAnsi="Arial"/>
                <w:sz w:val="16"/>
                <w:szCs w:val="16"/>
                <w:color w:val="auto"/>
              </w:rPr>
              <w:t>2,639</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2,521</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95.5%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1,899</w:t>
            </w:r>
          </w:p>
        </w:tc>
        <w:tc>
          <w:tcPr>
            <w:tcW w:w="1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1,846</w:t>
            </w:r>
          </w:p>
        </w:tc>
        <w:tc>
          <w:tcPr>
            <w:tcW w:w="5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97.2%</w:t>
            </w:r>
          </w:p>
        </w:tc>
      </w:tr>
      <w:tr>
        <w:trPr>
          <w:trHeight w:val="864"/>
        </w:trPr>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At June 30, 2018</w:t>
            </w: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At June 30, 2017</w:t>
            </w: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472"/>
        </w:trPr>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3"/>
              </w:rPr>
              <w:t>Leased</w:t>
            </w:r>
          </w:p>
        </w:tc>
        <w:tc>
          <w:tcPr>
            <w:tcW w:w="3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7"/>
              </w:rPr>
              <w:t>Leased %</w:t>
            </w:r>
          </w:p>
        </w:tc>
        <w:tc>
          <w:tcPr>
            <w:tcW w:w="340" w:type="dxa"/>
            <w:vAlign w:val="bottom"/>
          </w:tcPr>
          <w:p>
            <w:pPr>
              <w:spacing w:after="0"/>
              <w:rPr>
                <w:sz w:val="24"/>
                <w:szCs w:val="24"/>
                <w:color w:val="auto"/>
              </w:rPr>
            </w:pPr>
          </w:p>
        </w:tc>
        <w:tc>
          <w:tcPr>
            <w:tcW w:w="1060" w:type="dxa"/>
            <w:vAlign w:val="bottom"/>
            <w:gridSpan w:val="3"/>
          </w:tcPr>
          <w:p>
            <w:pPr>
              <w:ind w:left="680"/>
              <w:spacing w:after="0"/>
              <w:rPr>
                <w:sz w:val="20"/>
                <w:szCs w:val="20"/>
                <w:color w:val="auto"/>
              </w:rPr>
            </w:pPr>
            <w:r>
              <w:rPr>
                <w:rFonts w:ascii="Arial" w:cs="Arial" w:eastAsia="Arial" w:hAnsi="Arial"/>
                <w:sz w:val="16"/>
                <w:szCs w:val="16"/>
                <w:color w:val="auto"/>
              </w:rPr>
              <w:t>Size</w:t>
            </w:r>
          </w:p>
        </w:tc>
        <w:tc>
          <w:tcPr>
            <w:tcW w:w="5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-2057400</wp:posOffset>
            </wp:positionV>
            <wp:extent cx="7246620" cy="2778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778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720"/>
            <w:col w:w="6900"/>
          </w:cols>
          <w:pgMar w:left="240" w:top="742" w:right="239" w:bottom="1440" w:gutter="0" w:footer="0" w:header="0"/>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Properties (2) (4) (sf)</w:t>
            </w:r>
          </w:p>
        </w:tc>
        <w:tc>
          <w:tcPr>
            <w:tcW w:w="2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21,785,000</w:t>
            </w:r>
          </w:p>
        </w:tc>
        <w:tc>
          <w:tcPr>
            <w:tcW w:w="13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20,814,000</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95.5%</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21,783,000</w:t>
            </w:r>
          </w:p>
        </w:tc>
        <w:tc>
          <w:tcPr>
            <w:tcW w:w="13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20,753,000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95.3%</w:t>
            </w:r>
          </w:p>
        </w:tc>
      </w:tr>
      <w:tr>
        <w:trPr>
          <w:trHeight w:val="270"/>
        </w:trPr>
        <w:tc>
          <w:tcPr>
            <w:tcW w:w="338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37"/>
        </w:trPr>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Residential Properties (units)</w:t>
            </w:r>
          </w:p>
        </w:tc>
        <w:tc>
          <w:tcPr>
            <w:tcW w:w="2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1,406</w:t>
            </w:r>
          </w:p>
        </w:tc>
        <w:tc>
          <w:tcPr>
            <w:tcW w:w="13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1,364</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97.0%</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1,406</w:t>
            </w: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1,368</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w:t>
            </w:r>
          </w:p>
        </w:tc>
      </w:tr>
      <w:tr>
        <w:trPr>
          <w:trHeight w:val="33"/>
        </w:trPr>
        <w:tc>
          <w:tcPr>
            <w:tcW w:w="338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67" w:lineRule="exact"/>
        <w:rPr>
          <w:sz w:val="20"/>
          <w:szCs w:val="20"/>
          <w:color w:val="auto"/>
        </w:rPr>
      </w:pPr>
    </w:p>
    <w:p>
      <w:pPr>
        <w:ind w:left="840" w:hanging="805"/>
        <w:spacing w:after="0"/>
        <w:tabs>
          <w:tab w:leader="none" w:pos="8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At June 30, 2018 leased percentage was 98.0% for anchor tenants and 89.0% for small shop tenants.</w:t>
      </w:r>
    </w:p>
    <w:p>
      <w:pPr>
        <w:spacing w:after="0" w:line="72" w:lineRule="exact"/>
        <w:rPr>
          <w:rFonts w:ascii="Arial" w:cs="Arial" w:eastAsia="Arial" w:hAnsi="Arial"/>
          <w:sz w:val="16"/>
          <w:szCs w:val="16"/>
          <w:color w:val="auto"/>
        </w:rPr>
      </w:pPr>
    </w:p>
    <w:p>
      <w:pPr>
        <w:ind w:left="840" w:right="80" w:hanging="805"/>
        <w:spacing w:after="0" w:line="293" w:lineRule="auto"/>
        <w:tabs>
          <w:tab w:leader="none" w:pos="8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Occupied percentage was 93.7% and 93.0% at June 30, 2018 and 2017, respectively, and comparable property occupied percentage was 94.1% and 93.7% at June 30,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2" w:right="239" w:bottom="1440" w:gutter="0" w:footer="0" w:header="0"/>
          <w:type w:val="continuous"/>
        </w:sectPr>
      </w:pPr>
    </w:p>
    <w:bookmarkStart w:id="30" w:name="page31"/>
    <w:bookmarkEnd w:id="3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2018</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2940" w:type="dxa"/>
            <w:vAlign w:val="bottom"/>
            <w:vMerge w:val="restart"/>
          </w:tcPr>
          <w:p>
            <w:pPr>
              <w:jc w:val="center"/>
              <w:ind w:left="1028"/>
              <w:spacing w:after="0"/>
              <w:rPr>
                <w:sz w:val="20"/>
                <w:szCs w:val="20"/>
                <w:color w:val="auto"/>
              </w:rPr>
            </w:pPr>
            <w:r>
              <w:rPr>
                <w:rFonts w:ascii="Arial" w:cs="Arial" w:eastAsia="Arial" w:hAnsi="Arial"/>
                <w:sz w:val="14"/>
                <w:szCs w:val="14"/>
                <w:b w:val="1"/>
                <w:bCs w:val="1"/>
                <w:color w:val="auto"/>
                <w:w w:val="96"/>
              </w:rPr>
              <w:t>Credit Ratings</w:t>
            </w:r>
          </w:p>
        </w:tc>
        <w:tc>
          <w:tcPr>
            <w:tcW w:w="13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Annualized Base</w:t>
            </w:r>
          </w:p>
        </w:tc>
        <w:tc>
          <w:tcPr>
            <w:tcW w:w="1480" w:type="dxa"/>
            <w:vAlign w:val="bottom"/>
          </w:tcPr>
          <w:p>
            <w:pPr>
              <w:jc w:val="right"/>
              <w:ind w:right="68"/>
              <w:spacing w:after="0"/>
              <w:rPr>
                <w:sz w:val="20"/>
                <w:szCs w:val="20"/>
                <w:color w:val="auto"/>
              </w:rPr>
            </w:pPr>
            <w:r>
              <w:rPr>
                <w:rFonts w:ascii="Arial" w:cs="Arial" w:eastAsia="Arial" w:hAnsi="Arial"/>
                <w:sz w:val="14"/>
                <w:szCs w:val="14"/>
                <w:b w:val="1"/>
                <w:bCs w:val="1"/>
                <w:color w:val="auto"/>
              </w:rPr>
              <w:t>Percentage of Total</w:t>
            </w:r>
          </w:p>
        </w:tc>
        <w:tc>
          <w:tcPr>
            <w:tcW w:w="20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Percentage of</w:t>
            </w: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2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Rank   Tenant Name</w:t>
            </w:r>
          </w:p>
        </w:tc>
        <w:tc>
          <w:tcPr>
            <w:tcW w:w="294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48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Annualized Base</w:t>
            </w:r>
          </w:p>
        </w:tc>
        <w:tc>
          <w:tcPr>
            <w:tcW w:w="2080" w:type="dxa"/>
            <w:vAlign w:val="bottom"/>
            <w:vMerge w:val="continue"/>
          </w:tcPr>
          <w:p>
            <w:pPr>
              <w:spacing w:after="0"/>
              <w:rPr>
                <w:sz w:val="12"/>
                <w:szCs w:val="12"/>
                <w:color w:val="auto"/>
              </w:rPr>
            </w:pPr>
          </w:p>
        </w:tc>
        <w:tc>
          <w:tcPr>
            <w:tcW w:w="92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Locations</w:t>
            </w:r>
          </w:p>
        </w:tc>
        <w:tc>
          <w:tcPr>
            <w:tcW w:w="0" w:type="dxa"/>
            <w:vAlign w:val="bottom"/>
          </w:tcPr>
          <w:p>
            <w:pPr>
              <w:spacing w:after="0"/>
              <w:rPr>
                <w:sz w:val="1"/>
                <w:szCs w:val="1"/>
                <w:color w:val="auto"/>
              </w:rPr>
            </w:pPr>
          </w:p>
        </w:tc>
      </w:tr>
      <w:tr>
        <w:trPr>
          <w:trHeight w:val="192"/>
        </w:trPr>
        <w:tc>
          <w:tcPr>
            <w:tcW w:w="2680" w:type="dxa"/>
            <w:vAlign w:val="bottom"/>
            <w:tcBorders>
              <w:bottom w:val="single" w:sz="8" w:color="auto"/>
            </w:tcBorders>
            <w:vMerge w:val="continue"/>
          </w:tcPr>
          <w:p>
            <w:pPr>
              <w:spacing w:after="0"/>
              <w:rPr>
                <w:sz w:val="16"/>
                <w:szCs w:val="16"/>
                <w:color w:val="auto"/>
              </w:rPr>
            </w:pPr>
          </w:p>
        </w:tc>
        <w:tc>
          <w:tcPr>
            <w:tcW w:w="2940" w:type="dxa"/>
            <w:vAlign w:val="bottom"/>
            <w:tcBorders>
              <w:bottom w:val="single" w:sz="8" w:color="auto"/>
            </w:tcBorders>
          </w:tcPr>
          <w:p>
            <w:pPr>
              <w:jc w:val="center"/>
              <w:ind w:left="1028"/>
              <w:spacing w:after="0"/>
              <w:rPr>
                <w:sz w:val="20"/>
                <w:szCs w:val="20"/>
                <w:color w:val="auto"/>
              </w:rPr>
            </w:pPr>
            <w:r>
              <w:rPr>
                <w:rFonts w:ascii="Arial" w:cs="Arial" w:eastAsia="Arial" w:hAnsi="Arial"/>
                <w:sz w:val="14"/>
                <w:szCs w:val="14"/>
                <w:b w:val="1"/>
                <w:bCs w:val="1"/>
                <w:color w:val="auto"/>
                <w:w w:val="97"/>
              </w:rPr>
              <w:t>(S&amp;P/Moody's/Fitch) (1)</w:t>
            </w: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Rent</w:t>
            </w: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Rent (3)</w:t>
            </w:r>
          </w:p>
        </w:tc>
        <w:tc>
          <w:tcPr>
            <w:tcW w:w="2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Tenant GLA  Total GLA (3)</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p>
      <w:pPr>
        <w:spacing w:after="0" w:line="287" w:lineRule="exact"/>
        <w:rPr>
          <w:sz w:val="20"/>
          <w:szCs w:val="20"/>
          <w:color w:val="auto"/>
        </w:rPr>
      </w:pPr>
    </w:p>
    <w:tbl>
      <w:tblPr>
        <w:tblLayout w:type="fixed"/>
        <w:tblInd w:w="220" w:type="dxa"/>
        <w:tblCellMar>
          <w:top w:w="0" w:type="dxa"/>
          <w:left w:w="0" w:type="dxa"/>
          <w:bottom w:w="0" w:type="dxa"/>
          <w:right w:w="0" w:type="dxa"/>
        </w:tblCellMar>
      </w:tblPr>
      <w:tr>
        <w:trPr>
          <w:trHeight w:val="206"/>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3340" w:type="dxa"/>
            <w:vAlign w:val="bottom"/>
          </w:tcPr>
          <w:p>
            <w:pPr>
              <w:ind w:left="120"/>
              <w:spacing w:after="0"/>
              <w:rPr>
                <w:sz w:val="20"/>
                <w:szCs w:val="20"/>
                <w:color w:val="auto"/>
              </w:rPr>
            </w:pPr>
            <w:r>
              <w:rPr>
                <w:rFonts w:ascii="Arial" w:cs="Arial" w:eastAsia="Arial" w:hAnsi="Arial"/>
                <w:sz w:val="16"/>
                <w:szCs w:val="16"/>
                <w:color w:val="auto"/>
              </w:rPr>
              <w:t>TJX Companies, The</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8"/>
              </w:rPr>
              <w:t>A+ / A2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3340" w:type="dxa"/>
            <w:vAlign w:val="bottom"/>
          </w:tcPr>
          <w:p>
            <w:pPr>
              <w:ind w:left="120"/>
              <w:spacing w:after="0"/>
              <w:rPr>
                <w:sz w:val="20"/>
                <w:szCs w:val="20"/>
                <w:color w:val="auto"/>
              </w:rPr>
            </w:pPr>
            <w:r>
              <w:rPr>
                <w:rFonts w:ascii="Arial" w:cs="Arial" w:eastAsia="Arial" w:hAnsi="Arial"/>
                <w:sz w:val="16"/>
                <w:szCs w:val="16"/>
                <w:color w:val="auto"/>
              </w:rPr>
              <w:t>Ahold Delhaize</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6"/>
              </w:rPr>
              <w:t>BBB / Baa1 / BBB</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3340" w:type="dxa"/>
            <w:vAlign w:val="bottom"/>
          </w:tcPr>
          <w:p>
            <w:pPr>
              <w:ind w:left="120"/>
              <w:spacing w:after="0"/>
              <w:rPr>
                <w:sz w:val="20"/>
                <w:szCs w:val="20"/>
                <w:color w:val="auto"/>
              </w:rPr>
            </w:pPr>
            <w:r>
              <w:rPr>
                <w:rFonts w:ascii="Arial" w:cs="Arial" w:eastAsia="Arial" w:hAnsi="Arial"/>
                <w:sz w:val="16"/>
                <w:szCs w:val="16"/>
                <w:color w:val="auto"/>
              </w:rPr>
              <w:t>Gap, Inc., The</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BB+ / Baa2 / BB+</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3340" w:type="dxa"/>
            <w:vAlign w:val="bottom"/>
          </w:tcPr>
          <w:p>
            <w:pPr>
              <w:ind w:left="120"/>
              <w:spacing w:after="0"/>
              <w:rPr>
                <w:sz w:val="20"/>
                <w:szCs w:val="20"/>
                <w:color w:val="auto"/>
              </w:rPr>
            </w:pPr>
            <w:r>
              <w:rPr>
                <w:rFonts w:ascii="Arial" w:cs="Arial" w:eastAsia="Arial" w:hAnsi="Arial"/>
                <w:sz w:val="16"/>
                <w:szCs w:val="16"/>
                <w:color w:val="auto"/>
              </w:rPr>
              <w:t>Bed, Bath &amp; Beyond,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6"/>
              </w:rPr>
              <w:t>BBB- / Baa2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3340" w:type="dxa"/>
            <w:vAlign w:val="bottom"/>
          </w:tcPr>
          <w:p>
            <w:pPr>
              <w:ind w:left="120"/>
              <w:spacing w:after="0"/>
              <w:rPr>
                <w:sz w:val="20"/>
                <w:szCs w:val="20"/>
                <w:color w:val="auto"/>
              </w:rPr>
            </w:pPr>
            <w:r>
              <w:rPr>
                <w:rFonts w:ascii="Arial" w:cs="Arial" w:eastAsia="Arial" w:hAnsi="Arial"/>
                <w:sz w:val="16"/>
                <w:szCs w:val="16"/>
                <w:color w:val="auto"/>
              </w:rPr>
              <w:t>Splunk,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NR / NR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3340" w:type="dxa"/>
            <w:vAlign w:val="bottom"/>
          </w:tcPr>
          <w:p>
            <w:pPr>
              <w:ind w:left="120"/>
              <w:spacing w:after="0"/>
              <w:rPr>
                <w:sz w:val="20"/>
                <w:szCs w:val="20"/>
                <w:color w:val="auto"/>
              </w:rPr>
            </w:pPr>
            <w:r>
              <w:rPr>
                <w:rFonts w:ascii="Arial" w:cs="Arial" w:eastAsia="Arial" w:hAnsi="Arial"/>
                <w:sz w:val="16"/>
                <w:szCs w:val="16"/>
                <w:color w:val="auto"/>
              </w:rPr>
              <w:t>L.A. Fitness International LLC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8"/>
              </w:rPr>
              <w:t>B+ / B2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3340" w:type="dxa"/>
            <w:vAlign w:val="bottom"/>
          </w:tcPr>
          <w:p>
            <w:pPr>
              <w:ind w:left="120"/>
              <w:spacing w:after="0"/>
              <w:rPr>
                <w:sz w:val="20"/>
                <w:szCs w:val="20"/>
                <w:color w:val="auto"/>
              </w:rPr>
            </w:pPr>
            <w:r>
              <w:rPr>
                <w:rFonts w:ascii="Arial" w:cs="Arial" w:eastAsia="Arial" w:hAnsi="Arial"/>
                <w:sz w:val="16"/>
                <w:szCs w:val="16"/>
                <w:color w:val="auto"/>
              </w:rPr>
              <w:t>CVS Corporation</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3"/>
              </w:rPr>
              <w:t>BBB / Baa1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3340" w:type="dxa"/>
            <w:vAlign w:val="bottom"/>
          </w:tcPr>
          <w:p>
            <w:pPr>
              <w:ind w:left="120"/>
              <w:spacing w:after="0"/>
              <w:rPr>
                <w:sz w:val="20"/>
                <w:szCs w:val="20"/>
                <w:color w:val="auto"/>
              </w:rPr>
            </w:pPr>
            <w:r>
              <w:rPr>
                <w:rFonts w:ascii="Arial" w:cs="Arial" w:eastAsia="Arial" w:hAnsi="Arial"/>
                <w:sz w:val="16"/>
                <w:szCs w:val="16"/>
                <w:color w:val="auto"/>
              </w:rPr>
              <w:t>AMC Entertainment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8"/>
              </w:rPr>
              <w:t>B+ / B2 / B</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3340" w:type="dxa"/>
            <w:vAlign w:val="bottom"/>
          </w:tcPr>
          <w:p>
            <w:pPr>
              <w:ind w:left="120"/>
              <w:spacing w:after="0"/>
              <w:rPr>
                <w:sz w:val="20"/>
                <w:szCs w:val="20"/>
                <w:color w:val="auto"/>
              </w:rPr>
            </w:pPr>
            <w:r>
              <w:rPr>
                <w:rFonts w:ascii="Arial" w:cs="Arial" w:eastAsia="Arial" w:hAnsi="Arial"/>
                <w:sz w:val="16"/>
                <w:szCs w:val="16"/>
                <w:color w:val="auto"/>
              </w:rPr>
              <w:t>Best Buy Co.,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BBB / Baa1 / BBB-</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10</w:t>
            </w:r>
          </w:p>
        </w:tc>
        <w:tc>
          <w:tcPr>
            <w:tcW w:w="3340" w:type="dxa"/>
            <w:vAlign w:val="bottom"/>
          </w:tcPr>
          <w:p>
            <w:pPr>
              <w:ind w:left="120"/>
              <w:spacing w:after="0"/>
              <w:rPr>
                <w:sz w:val="20"/>
                <w:szCs w:val="20"/>
                <w:color w:val="auto"/>
              </w:rPr>
            </w:pPr>
            <w:r>
              <w:rPr>
                <w:rFonts w:ascii="Arial" w:cs="Arial" w:eastAsia="Arial" w:hAnsi="Arial"/>
                <w:sz w:val="16"/>
                <w:szCs w:val="16"/>
                <w:color w:val="auto"/>
              </w:rPr>
              <w:t>Dick's Sporting Goods,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NR / NR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11</w:t>
            </w:r>
          </w:p>
        </w:tc>
        <w:tc>
          <w:tcPr>
            <w:tcW w:w="3340" w:type="dxa"/>
            <w:vAlign w:val="bottom"/>
          </w:tcPr>
          <w:p>
            <w:pPr>
              <w:ind w:left="120"/>
              <w:spacing w:after="0"/>
              <w:rPr>
                <w:sz w:val="20"/>
                <w:szCs w:val="20"/>
                <w:color w:val="auto"/>
              </w:rPr>
            </w:pPr>
            <w:r>
              <w:rPr>
                <w:rFonts w:ascii="Arial" w:cs="Arial" w:eastAsia="Arial" w:hAnsi="Arial"/>
                <w:sz w:val="16"/>
                <w:szCs w:val="16"/>
                <w:color w:val="auto"/>
              </w:rPr>
              <w:t>Michaels Stores,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BB- / Ba2 / NR</w:t>
            </w:r>
          </w:p>
        </w:tc>
      </w:tr>
      <w:tr>
        <w:trPr>
          <w:trHeight w:val="266"/>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12</w:t>
            </w:r>
          </w:p>
        </w:tc>
        <w:tc>
          <w:tcPr>
            <w:tcW w:w="3340" w:type="dxa"/>
            <w:vAlign w:val="bottom"/>
          </w:tcPr>
          <w:p>
            <w:pPr>
              <w:ind w:left="120"/>
              <w:spacing w:after="0"/>
              <w:rPr>
                <w:sz w:val="20"/>
                <w:szCs w:val="20"/>
                <w:color w:val="auto"/>
              </w:rPr>
            </w:pPr>
            <w:r>
              <w:rPr>
                <w:rFonts w:ascii="Arial" w:cs="Arial" w:eastAsia="Arial" w:hAnsi="Arial"/>
                <w:sz w:val="16"/>
                <w:szCs w:val="16"/>
                <w:color w:val="auto"/>
              </w:rPr>
              <w:t>Ascena Retail Group, Inc. (Dress Barn, Loft,</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4"/>
              </w:rPr>
              <w:t>B / Ba3 / NR</w:t>
            </w:r>
          </w:p>
        </w:tc>
      </w:tr>
      <w:tr>
        <w:trPr>
          <w:trHeight w:val="203"/>
        </w:trPr>
        <w:tc>
          <w:tcPr>
            <w:tcW w:w="260" w:type="dxa"/>
            <w:vAlign w:val="bottom"/>
          </w:tcPr>
          <w:p>
            <w:pPr>
              <w:spacing w:after="0"/>
              <w:rPr>
                <w:sz w:val="17"/>
                <w:szCs w:val="17"/>
                <w:color w:val="auto"/>
              </w:rPr>
            </w:pPr>
          </w:p>
        </w:tc>
        <w:tc>
          <w:tcPr>
            <w:tcW w:w="3340" w:type="dxa"/>
            <w:vAlign w:val="bottom"/>
          </w:tcPr>
          <w:p>
            <w:pPr>
              <w:ind w:left="120"/>
              <w:spacing w:after="0"/>
              <w:rPr>
                <w:sz w:val="20"/>
                <w:szCs w:val="20"/>
                <w:color w:val="auto"/>
              </w:rPr>
            </w:pPr>
            <w:r>
              <w:rPr>
                <w:rFonts w:ascii="Arial" w:cs="Arial" w:eastAsia="Arial" w:hAnsi="Arial"/>
                <w:sz w:val="16"/>
                <w:szCs w:val="16"/>
                <w:color w:val="auto"/>
              </w:rPr>
              <w:t>Lou &amp; Grey, Ann Taylor, Catherine's, Justice,</w:t>
            </w:r>
          </w:p>
        </w:tc>
        <w:tc>
          <w:tcPr>
            <w:tcW w:w="1580" w:type="dxa"/>
            <w:vAlign w:val="bottom"/>
          </w:tcPr>
          <w:p>
            <w:pPr>
              <w:spacing w:after="0"/>
              <w:rPr>
                <w:sz w:val="17"/>
                <w:szCs w:val="17"/>
                <w:color w:val="auto"/>
              </w:rPr>
            </w:pPr>
          </w:p>
        </w:tc>
      </w:tr>
      <w:tr>
        <w:trPr>
          <w:trHeight w:val="206"/>
        </w:trPr>
        <w:tc>
          <w:tcPr>
            <w:tcW w:w="260" w:type="dxa"/>
            <w:vAlign w:val="bottom"/>
          </w:tcPr>
          <w:p>
            <w:pPr>
              <w:spacing w:after="0"/>
              <w:rPr>
                <w:sz w:val="17"/>
                <w:szCs w:val="17"/>
                <w:color w:val="auto"/>
              </w:rPr>
            </w:pPr>
          </w:p>
        </w:tc>
        <w:tc>
          <w:tcPr>
            <w:tcW w:w="3340" w:type="dxa"/>
            <w:vAlign w:val="bottom"/>
          </w:tcPr>
          <w:p>
            <w:pPr>
              <w:ind w:left="120"/>
              <w:spacing w:after="0"/>
              <w:rPr>
                <w:sz w:val="20"/>
                <w:szCs w:val="20"/>
                <w:color w:val="auto"/>
              </w:rPr>
            </w:pPr>
            <w:r>
              <w:rPr>
                <w:rFonts w:ascii="Arial" w:cs="Arial" w:eastAsia="Arial" w:hAnsi="Arial"/>
                <w:sz w:val="16"/>
                <w:szCs w:val="16"/>
                <w:color w:val="auto"/>
              </w:rPr>
              <w:t>Lane Bryant)</w:t>
            </w:r>
          </w:p>
        </w:tc>
        <w:tc>
          <w:tcPr>
            <w:tcW w:w="1580" w:type="dxa"/>
            <w:vAlign w:val="bottom"/>
          </w:tcPr>
          <w:p>
            <w:pPr>
              <w:spacing w:after="0"/>
              <w:rPr>
                <w:sz w:val="17"/>
                <w:szCs w:val="17"/>
                <w:color w:val="auto"/>
              </w:rPr>
            </w:pPr>
          </w:p>
        </w:tc>
      </w:tr>
      <w:tr>
        <w:trPr>
          <w:trHeight w:val="257"/>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13</w:t>
            </w:r>
          </w:p>
        </w:tc>
        <w:tc>
          <w:tcPr>
            <w:tcW w:w="3340" w:type="dxa"/>
            <w:vAlign w:val="bottom"/>
          </w:tcPr>
          <w:p>
            <w:pPr>
              <w:ind w:left="120"/>
              <w:spacing w:after="0"/>
              <w:rPr>
                <w:sz w:val="20"/>
                <w:szCs w:val="20"/>
                <w:color w:val="auto"/>
              </w:rPr>
            </w:pPr>
            <w:r>
              <w:rPr>
                <w:rFonts w:ascii="Arial" w:cs="Arial" w:eastAsia="Arial" w:hAnsi="Arial"/>
                <w:sz w:val="16"/>
                <w:szCs w:val="16"/>
                <w:color w:val="auto"/>
              </w:rPr>
              <w:t>Kroger Co., The</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6"/>
              </w:rPr>
              <w:t>BBB / Baa1 / BBB</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14</w:t>
            </w:r>
          </w:p>
        </w:tc>
        <w:tc>
          <w:tcPr>
            <w:tcW w:w="3340" w:type="dxa"/>
            <w:vAlign w:val="bottom"/>
          </w:tcPr>
          <w:p>
            <w:pPr>
              <w:ind w:left="120"/>
              <w:spacing w:after="0"/>
              <w:rPr>
                <w:sz w:val="20"/>
                <w:szCs w:val="20"/>
                <w:color w:val="auto"/>
              </w:rPr>
            </w:pPr>
            <w:r>
              <w:rPr>
                <w:rFonts w:ascii="Arial" w:cs="Arial" w:eastAsia="Arial" w:hAnsi="Arial"/>
                <w:sz w:val="16"/>
                <w:szCs w:val="16"/>
                <w:color w:val="auto"/>
              </w:rPr>
              <w:t>Home Depot,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rPr>
              <w:t>A / A2 / A</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15</w:t>
            </w:r>
          </w:p>
        </w:tc>
        <w:tc>
          <w:tcPr>
            <w:tcW w:w="3340" w:type="dxa"/>
            <w:vAlign w:val="bottom"/>
          </w:tcPr>
          <w:p>
            <w:pPr>
              <w:ind w:left="120"/>
              <w:spacing w:after="0"/>
              <w:rPr>
                <w:sz w:val="20"/>
                <w:szCs w:val="20"/>
                <w:color w:val="auto"/>
              </w:rPr>
            </w:pPr>
            <w:r>
              <w:rPr>
                <w:rFonts w:ascii="Arial" w:cs="Arial" w:eastAsia="Arial" w:hAnsi="Arial"/>
                <w:sz w:val="16"/>
                <w:szCs w:val="16"/>
                <w:color w:val="auto"/>
              </w:rPr>
              <w:t>Bank of America, N.A.</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rPr>
              <w:t>A- / A3 / A+</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16</w:t>
            </w:r>
          </w:p>
        </w:tc>
        <w:tc>
          <w:tcPr>
            <w:tcW w:w="3340" w:type="dxa"/>
            <w:vAlign w:val="bottom"/>
          </w:tcPr>
          <w:p>
            <w:pPr>
              <w:ind w:left="120"/>
              <w:spacing w:after="0"/>
              <w:rPr>
                <w:sz w:val="20"/>
                <w:szCs w:val="20"/>
                <w:color w:val="auto"/>
              </w:rPr>
            </w:pPr>
            <w:r>
              <w:rPr>
                <w:rFonts w:ascii="Arial" w:cs="Arial" w:eastAsia="Arial" w:hAnsi="Arial"/>
                <w:sz w:val="16"/>
                <w:szCs w:val="16"/>
                <w:color w:val="auto"/>
              </w:rPr>
              <w:t>DSW,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NR / NR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17</w:t>
            </w:r>
          </w:p>
        </w:tc>
        <w:tc>
          <w:tcPr>
            <w:tcW w:w="3340" w:type="dxa"/>
            <w:vAlign w:val="bottom"/>
          </w:tcPr>
          <w:p>
            <w:pPr>
              <w:ind w:left="120"/>
              <w:spacing w:after="0"/>
              <w:rPr>
                <w:sz w:val="20"/>
                <w:szCs w:val="20"/>
                <w:color w:val="auto"/>
              </w:rPr>
            </w:pPr>
            <w:r>
              <w:rPr>
                <w:rFonts w:ascii="Arial" w:cs="Arial" w:eastAsia="Arial" w:hAnsi="Arial"/>
                <w:sz w:val="16"/>
                <w:szCs w:val="16"/>
                <w:color w:val="auto"/>
                <w:w w:val="97"/>
              </w:rPr>
              <w:t>Hudson's Bay Company (Saks, Lord &amp; Taylor)</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4"/>
              </w:rPr>
              <w:t>B / B3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18</w:t>
            </w:r>
          </w:p>
        </w:tc>
        <w:tc>
          <w:tcPr>
            <w:tcW w:w="3340" w:type="dxa"/>
            <w:vAlign w:val="bottom"/>
          </w:tcPr>
          <w:p>
            <w:pPr>
              <w:ind w:left="120"/>
              <w:spacing w:after="0"/>
              <w:rPr>
                <w:sz w:val="20"/>
                <w:szCs w:val="20"/>
                <w:color w:val="auto"/>
              </w:rPr>
            </w:pPr>
            <w:r>
              <w:rPr>
                <w:rFonts w:ascii="Arial" w:cs="Arial" w:eastAsia="Arial" w:hAnsi="Arial"/>
                <w:sz w:val="16"/>
                <w:szCs w:val="16"/>
                <w:color w:val="auto"/>
              </w:rPr>
              <w:t>Ross Stores,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8"/>
              </w:rPr>
              <w:t>A- / A3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19</w:t>
            </w:r>
          </w:p>
        </w:tc>
        <w:tc>
          <w:tcPr>
            <w:tcW w:w="3340" w:type="dxa"/>
            <w:vAlign w:val="bottom"/>
          </w:tcPr>
          <w:p>
            <w:pPr>
              <w:ind w:left="120"/>
              <w:spacing w:after="0"/>
              <w:rPr>
                <w:sz w:val="20"/>
                <w:szCs w:val="20"/>
                <w:color w:val="auto"/>
              </w:rPr>
            </w:pPr>
            <w:r>
              <w:rPr>
                <w:rFonts w:ascii="Arial" w:cs="Arial" w:eastAsia="Arial" w:hAnsi="Arial"/>
                <w:sz w:val="16"/>
                <w:szCs w:val="16"/>
                <w:color w:val="auto"/>
              </w:rPr>
              <w:t>Nordstrom,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BBB+ / Baa1 / BBB+</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20</w:t>
            </w:r>
          </w:p>
        </w:tc>
        <w:tc>
          <w:tcPr>
            <w:tcW w:w="3340" w:type="dxa"/>
            <w:vAlign w:val="bottom"/>
          </w:tcPr>
          <w:p>
            <w:pPr>
              <w:ind w:left="120"/>
              <w:spacing w:after="0"/>
              <w:rPr>
                <w:sz w:val="20"/>
                <w:szCs w:val="20"/>
                <w:color w:val="auto"/>
              </w:rPr>
            </w:pPr>
            <w:r>
              <w:rPr>
                <w:rFonts w:ascii="Arial" w:cs="Arial" w:eastAsia="Arial" w:hAnsi="Arial"/>
                <w:sz w:val="16"/>
                <w:szCs w:val="16"/>
                <w:color w:val="auto"/>
              </w:rPr>
              <w:t>Ulta Beauty,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NR / NR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21</w:t>
            </w:r>
          </w:p>
        </w:tc>
        <w:tc>
          <w:tcPr>
            <w:tcW w:w="3340" w:type="dxa"/>
            <w:vAlign w:val="bottom"/>
          </w:tcPr>
          <w:p>
            <w:pPr>
              <w:ind w:left="120"/>
              <w:spacing w:after="0"/>
              <w:rPr>
                <w:sz w:val="20"/>
                <w:szCs w:val="20"/>
                <w:color w:val="auto"/>
              </w:rPr>
            </w:pPr>
            <w:r>
              <w:rPr>
                <w:rFonts w:ascii="Arial" w:cs="Arial" w:eastAsia="Arial" w:hAnsi="Arial"/>
                <w:sz w:val="16"/>
                <w:szCs w:val="16"/>
                <w:color w:val="auto"/>
              </w:rPr>
              <w:t>Whole Foods Market, Inc.</w:t>
            </w:r>
          </w:p>
        </w:tc>
        <w:tc>
          <w:tcPr>
            <w:tcW w:w="1580" w:type="dxa"/>
            <w:vAlign w:val="bottom"/>
          </w:tcPr>
          <w:p>
            <w:pPr>
              <w:jc w:val="center"/>
              <w:ind w:left="119"/>
              <w:spacing w:after="0"/>
              <w:rPr>
                <w:sz w:val="20"/>
                <w:szCs w:val="20"/>
                <w:color w:val="auto"/>
              </w:rPr>
            </w:pPr>
            <w:r>
              <w:rPr>
                <w:rFonts w:ascii="Arial" w:cs="Arial" w:eastAsia="Arial" w:hAnsi="Arial"/>
                <w:sz w:val="16"/>
                <w:szCs w:val="16"/>
                <w:color w:val="auto"/>
                <w:w w:val="95"/>
              </w:rPr>
              <w:t>A+ / Baa1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22</w:t>
            </w:r>
          </w:p>
        </w:tc>
        <w:tc>
          <w:tcPr>
            <w:tcW w:w="3340" w:type="dxa"/>
            <w:vAlign w:val="bottom"/>
          </w:tcPr>
          <w:p>
            <w:pPr>
              <w:ind w:left="120"/>
              <w:spacing w:after="0"/>
              <w:rPr>
                <w:sz w:val="20"/>
                <w:szCs w:val="20"/>
                <w:color w:val="auto"/>
              </w:rPr>
            </w:pPr>
            <w:r>
              <w:rPr>
                <w:rFonts w:ascii="Arial" w:cs="Arial" w:eastAsia="Arial" w:hAnsi="Arial"/>
                <w:sz w:val="16"/>
                <w:szCs w:val="16"/>
                <w:color w:val="auto"/>
              </w:rPr>
              <w:t>Barnes &amp; Noble,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NR / NR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23</w:t>
            </w:r>
          </w:p>
        </w:tc>
        <w:tc>
          <w:tcPr>
            <w:tcW w:w="3340" w:type="dxa"/>
            <w:vAlign w:val="bottom"/>
          </w:tcPr>
          <w:p>
            <w:pPr>
              <w:ind w:left="120"/>
              <w:spacing w:after="0"/>
              <w:rPr>
                <w:sz w:val="20"/>
                <w:szCs w:val="20"/>
                <w:color w:val="auto"/>
              </w:rPr>
            </w:pPr>
            <w:r>
              <w:rPr>
                <w:rFonts w:ascii="Arial" w:cs="Arial" w:eastAsia="Arial" w:hAnsi="Arial"/>
                <w:sz w:val="16"/>
                <w:szCs w:val="16"/>
                <w:color w:val="auto"/>
              </w:rPr>
              <w:t>Starbucks Corporation</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BBB+ / Baa1 / BBB+</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24</w:t>
            </w:r>
          </w:p>
        </w:tc>
        <w:tc>
          <w:tcPr>
            <w:tcW w:w="3340" w:type="dxa"/>
            <w:vAlign w:val="bottom"/>
          </w:tcPr>
          <w:p>
            <w:pPr>
              <w:ind w:left="120"/>
              <w:spacing w:after="0"/>
              <w:rPr>
                <w:sz w:val="20"/>
                <w:szCs w:val="20"/>
                <w:color w:val="auto"/>
              </w:rPr>
            </w:pPr>
            <w:r>
              <w:rPr>
                <w:rFonts w:ascii="Arial" w:cs="Arial" w:eastAsia="Arial" w:hAnsi="Arial"/>
                <w:sz w:val="16"/>
                <w:szCs w:val="16"/>
                <w:color w:val="auto"/>
              </w:rPr>
              <w:t>AB Acquisition LLC (Acme, Safeway)</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4"/>
              </w:rPr>
              <w:t>B / B1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25</w:t>
            </w:r>
          </w:p>
        </w:tc>
        <w:tc>
          <w:tcPr>
            <w:tcW w:w="3340" w:type="dxa"/>
            <w:vAlign w:val="bottom"/>
          </w:tcPr>
          <w:p>
            <w:pPr>
              <w:ind w:left="120"/>
              <w:spacing w:after="0"/>
              <w:rPr>
                <w:sz w:val="20"/>
                <w:szCs w:val="20"/>
                <w:color w:val="auto"/>
              </w:rPr>
            </w:pPr>
            <w:r>
              <w:rPr>
                <w:rFonts w:ascii="Arial" w:cs="Arial" w:eastAsia="Arial" w:hAnsi="Arial"/>
                <w:sz w:val="16"/>
                <w:szCs w:val="16"/>
                <w:color w:val="auto"/>
              </w:rPr>
              <w:t>Wells Fargo Bank, N.A.</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rPr>
              <w:t>A- / A2 / A+</w:t>
            </w:r>
          </w:p>
        </w:tc>
      </w:tr>
      <w:tr>
        <w:trPr>
          <w:trHeight w:val="270"/>
        </w:trPr>
        <w:tc>
          <w:tcPr>
            <w:tcW w:w="260" w:type="dxa"/>
            <w:vAlign w:val="bottom"/>
          </w:tcPr>
          <w:p>
            <w:pPr>
              <w:spacing w:after="0"/>
              <w:rPr>
                <w:sz w:val="23"/>
                <w:szCs w:val="23"/>
                <w:color w:val="auto"/>
              </w:rPr>
            </w:pPr>
          </w:p>
        </w:tc>
        <w:tc>
          <w:tcPr>
            <w:tcW w:w="3340" w:type="dxa"/>
            <w:vAlign w:val="bottom"/>
          </w:tcPr>
          <w:p>
            <w:pPr>
              <w:ind w:left="120"/>
              <w:spacing w:after="0"/>
              <w:rPr>
                <w:sz w:val="20"/>
                <w:szCs w:val="20"/>
                <w:color w:val="auto"/>
              </w:rPr>
            </w:pPr>
            <w:r>
              <w:rPr>
                <w:rFonts w:ascii="Arial" w:cs="Arial" w:eastAsia="Arial" w:hAnsi="Arial"/>
                <w:sz w:val="16"/>
                <w:szCs w:val="16"/>
                <w:color w:val="auto"/>
              </w:rPr>
              <w:t>Totals - Top 25 Tenants</w:t>
            </w:r>
          </w:p>
        </w:tc>
        <w:tc>
          <w:tcPr>
            <w:tcW w:w="15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17,977,000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2.60%</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995,000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3.72%</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17,500,000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2.53%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1,036,000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3.87%</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13,387,000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1.93%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366,000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1.37%</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13,347,000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1.93%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736,000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2.75%</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10,585,000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1.53%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235,000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0.88%</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9,833,000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1.42%</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426,000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1.59%</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9,320,000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1.35%</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248,000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0.93%</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7,267,000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1.05%</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317,000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1.19%</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6,633,000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0.96%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231,000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0.86%</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6,425,000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0.93%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289,000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1.08%</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6,290,000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0.91%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330,000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1.23%</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6,281,000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0.91%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198,000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0.74%</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662"/>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6,032,000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0.87%</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529,000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1.98%</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5,929,000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0.86%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440,000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1.64%</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5,670,000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0.82%</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105,000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0.39%</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5,529,000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0.80%</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222,000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0.83%</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5,380,000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0.78%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220,000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0.82%</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5,269,000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0.76%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295,000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1.10%</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5,038,000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0.73%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195,000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0.73%</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4,812,000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0.70%</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140,000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0.52%</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4,772,000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0.69%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167,000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0.62%</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4,459,000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0.64%</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207,000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0.77%</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4,351,000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0.63%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69,000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0.26%</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42</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4,164,000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0.60%</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412,000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1.54%</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4,149,000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0.60%</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52,000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0.19%</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47"/>
        </w:trPr>
        <w:tc>
          <w:tcPr>
            <w:tcW w:w="2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17"/>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190,399,000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27.50%</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8,460,000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31.63%</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348</w:t>
            </w:r>
          </w:p>
        </w:tc>
      </w:tr>
      <w:tr>
        <w:trPr>
          <w:trHeight w:val="33"/>
        </w:trPr>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-4390390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-4046855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-3703955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-3361055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-3018155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-2426335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-2083435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-1740535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-1397000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-1054100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-711200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-368300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-16510</wp:posOffset>
            </wp:positionV>
            <wp:extent cx="724662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260"/>
            <w:col w:w="5760"/>
          </w:cols>
          <w:pgMar w:left="240" w:top="742" w:right="239" w:bottom="1440" w:gutter="0" w:footer="0" w:header="0"/>
          <w:type w:val="continuous"/>
        </w:sectPr>
      </w:pPr>
    </w:p>
    <w:p>
      <w:pPr>
        <w:spacing w:after="0" w:line="87" w:lineRule="exact"/>
        <w:rPr>
          <w:sz w:val="20"/>
          <w:szCs w:val="20"/>
          <w:color w:val="auto"/>
        </w:rPr>
      </w:pPr>
    </w:p>
    <w:tbl>
      <w:tblPr>
        <w:tblLayout w:type="fixed"/>
        <w:tblInd w:w="600" w:type="dxa"/>
        <w:tblCellMar>
          <w:top w:w="0" w:type="dxa"/>
          <w:left w:w="0" w:type="dxa"/>
          <w:bottom w:w="0" w:type="dxa"/>
          <w:right w:w="0" w:type="dxa"/>
        </w:tblCellMar>
      </w:tblPr>
      <w:tr>
        <w:trPr>
          <w:trHeight w:val="206"/>
        </w:trPr>
        <w:tc>
          <w:tcPr>
            <w:tcW w:w="2860" w:type="dxa"/>
            <w:vAlign w:val="bottom"/>
          </w:tcPr>
          <w:p>
            <w:pPr>
              <w:spacing w:after="0"/>
              <w:rPr>
                <w:sz w:val="20"/>
                <w:szCs w:val="20"/>
                <w:color w:val="auto"/>
              </w:rPr>
            </w:pPr>
            <w:r>
              <w:rPr>
                <w:rFonts w:ascii="Arial" w:cs="Arial" w:eastAsia="Arial" w:hAnsi="Arial"/>
                <w:sz w:val="16"/>
                <w:szCs w:val="16"/>
                <w:color w:val="auto"/>
              </w:rPr>
              <w:t>Total (5):</w:t>
            </w:r>
          </w:p>
        </w:tc>
        <w:tc>
          <w:tcPr>
            <w:tcW w:w="4400" w:type="dxa"/>
            <w:vAlign w:val="bottom"/>
          </w:tcPr>
          <w:p>
            <w:pPr>
              <w:jc w:val="right"/>
              <w:ind w:right="659"/>
              <w:spacing w:after="0"/>
              <w:rPr>
                <w:sz w:val="20"/>
                <w:szCs w:val="20"/>
                <w:color w:val="auto"/>
              </w:rPr>
            </w:pPr>
            <w:r>
              <w:rPr>
                <w:rFonts w:ascii="Arial" w:cs="Arial" w:eastAsia="Arial" w:hAnsi="Arial"/>
                <w:sz w:val="16"/>
                <w:szCs w:val="16"/>
                <w:color w:val="auto"/>
              </w:rPr>
              <w:t>$   692,297,000  (2)</w:t>
            </w:r>
          </w:p>
        </w:tc>
        <w:tc>
          <w:tcPr>
            <w:tcW w:w="1800" w:type="dxa"/>
            <w:vAlign w:val="bottom"/>
          </w:tcPr>
          <w:p>
            <w:pPr>
              <w:jc w:val="right"/>
              <w:spacing w:after="0"/>
              <w:rPr>
                <w:sz w:val="20"/>
                <w:szCs w:val="20"/>
                <w:color w:val="auto"/>
              </w:rPr>
            </w:pPr>
            <w:r>
              <w:rPr>
                <w:rFonts w:ascii="Arial" w:cs="Arial" w:eastAsia="Arial" w:hAnsi="Arial"/>
                <w:sz w:val="16"/>
                <w:szCs w:val="16"/>
                <w:color w:val="auto"/>
              </w:rPr>
              <w:t>26,749,000  (4)</w:t>
            </w:r>
          </w:p>
        </w:tc>
      </w:tr>
    </w:tbl>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600" w:hanging="565"/>
        <w:spacing w:after="0"/>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Credit Ratings are as of June 30, 2018. Subsequent rating changes have not been reflected.</w:t>
      </w:r>
    </w:p>
    <w:p>
      <w:pPr>
        <w:spacing w:after="0" w:line="86" w:lineRule="exact"/>
        <w:rPr>
          <w:rFonts w:ascii="Arial" w:cs="Arial" w:eastAsia="Arial" w:hAnsi="Arial"/>
          <w:sz w:val="16"/>
          <w:szCs w:val="16"/>
          <w:color w:val="auto"/>
        </w:rPr>
      </w:pPr>
    </w:p>
    <w:p>
      <w:pPr>
        <w:ind w:left="600" w:hanging="565"/>
        <w:spacing w:after="0"/>
        <w:tabs>
          <w:tab w:leader="none" w:pos="6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aggregate, annualized in-place contractual (defined as cash-basis excluding rent abatements) minimum rent for all occupied spaces as of June 30, 2018.</w:t>
      </w:r>
    </w:p>
    <w:p>
      <w:pPr>
        <w:spacing w:after="0" w:line="122" w:lineRule="exact"/>
        <w:rPr>
          <w:rFonts w:ascii="Arial" w:cs="Arial" w:eastAsia="Arial" w:hAnsi="Arial"/>
          <w:sz w:val="14"/>
          <w:szCs w:val="14"/>
          <w:color w:val="auto"/>
        </w:rPr>
      </w:pPr>
    </w:p>
    <w:p>
      <w:pPr>
        <w:ind w:left="600" w:hanging="565"/>
        <w:spacing w:after="0"/>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86" w:lineRule="exact"/>
        <w:rPr>
          <w:rFonts w:ascii="Arial" w:cs="Arial" w:eastAsia="Arial" w:hAnsi="Arial"/>
          <w:sz w:val="16"/>
          <w:szCs w:val="16"/>
          <w:color w:val="auto"/>
        </w:rPr>
      </w:pPr>
    </w:p>
    <w:p>
      <w:pPr>
        <w:ind w:left="600" w:hanging="565"/>
        <w:spacing w:after="0"/>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Excludes redevelopment square footage not yet placed in service.</w:t>
      </w:r>
    </w:p>
    <w:p>
      <w:pPr>
        <w:spacing w:after="0" w:line="86" w:lineRule="exact"/>
        <w:rPr>
          <w:rFonts w:ascii="Arial" w:cs="Arial" w:eastAsia="Arial" w:hAnsi="Arial"/>
          <w:sz w:val="16"/>
          <w:szCs w:val="16"/>
          <w:color w:val="auto"/>
        </w:rPr>
      </w:pPr>
    </w:p>
    <w:p>
      <w:pPr>
        <w:ind w:left="600" w:hanging="565"/>
        <w:spacing w:after="0"/>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Totals reflect both the commercial and residential portions of our properties.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2" w:right="239" w:bottom="1440" w:gutter="0" w:footer="0" w:header="0"/>
          <w:type w:val="continuous"/>
        </w:sectPr>
      </w:pPr>
    </w:p>
    <w:bookmarkStart w:id="31" w:name="page32"/>
    <w:bookmarkEnd w:id="3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FFO Guidance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2018</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provides a reconciliation of the range of estimated earnings per diluted share to estimated FFO per diluted share for the full year 2018.</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Estimates do not include the impact from potential acquisitions or dispositions which have not closed as of June 30, 2018.</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0"/>
              </w:rPr>
              <w:t>Full Year 2018 Guidance Range</w:t>
            </w:r>
          </w:p>
        </w:tc>
      </w:tr>
      <w:tr>
        <w:trPr>
          <w:trHeight w:val="27"/>
        </w:trPr>
        <w:tc>
          <w:tcPr>
            <w:tcW w:w="8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480"/>
        </w:trPr>
        <w:tc>
          <w:tcPr>
            <w:tcW w:w="8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Low</w:t>
            </w: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High</w:t>
            </w:r>
          </w:p>
        </w:tc>
      </w:tr>
      <w:tr>
        <w:trPr>
          <w:trHeight w:val="27"/>
        </w:trPr>
        <w:tc>
          <w:tcPr>
            <w:tcW w:w="8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net income available to common shareholders, per diluted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gain on sale of real estate, net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Estimated depreciation and amortization</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3.09</w:t>
            </w:r>
          </w:p>
        </w:tc>
      </w:tr>
      <w:tr>
        <w:trPr>
          <w:trHeight w:val="27"/>
        </w:trPr>
        <w:tc>
          <w:tcPr>
            <w:tcW w:w="8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FFO per diluted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6.13</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6.23</w:t>
            </w:r>
          </w:p>
        </w:tc>
      </w:tr>
      <w:tr>
        <w:trPr>
          <w:trHeight w:val="20"/>
        </w:trPr>
        <w:tc>
          <w:tcPr>
            <w:tcW w:w="8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See Glossary of Terms. Individual items may not add up to total due to rounding.</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2"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color w:val="auto"/>
        </w:rPr>
        <w:t xml:space="preserve">EBITDA for Real Estate ("EBITDAre"): </w:t>
      </w:r>
      <w:r>
        <w:rPr>
          <w:rFonts w:ascii="Arial" w:cs="Arial" w:eastAsia="Arial" w:hAnsi="Arial"/>
          <w:sz w:val="17"/>
          <w:szCs w:val="17"/>
          <w:color w:val="auto"/>
        </w:rPr>
        <w:t>EBITDAre is a non-GAAP measure that the National Association of Real Estate Investment Trusts ("NAREIT")</w:t>
      </w:r>
      <w:r>
        <w:rPr>
          <w:rFonts w:ascii="Arial" w:cs="Arial" w:eastAsia="Arial" w:hAnsi="Arial"/>
          <w:sz w:val="17"/>
          <w:szCs w:val="17"/>
          <w:b w:val="1"/>
          <w:bCs w:val="1"/>
          <w:color w:val="auto"/>
        </w:rPr>
        <w:t xml:space="preserve"> </w:t>
      </w:r>
      <w:r>
        <w:rPr>
          <w:rFonts w:ascii="Arial" w:cs="Arial" w:eastAsia="Arial" w:hAnsi="Arial"/>
          <w:sz w:val="17"/>
          <w:szCs w:val="17"/>
          <w:color w:val="auto"/>
        </w:rPr>
        <w:t>defines as: net income computed in accordance with GAAP plus net interest expense, income tax expense, depreciation and amortization, gain or loss on sale of real estate, impairments of real estate,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 The reconciliation of net income to EBITDAre for the three and six months ended June 30, 2018 and 2017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60" w:type="dxa"/>
            <w:vAlign w:val="bottom"/>
            <w:gridSpan w:val="3"/>
          </w:tcPr>
          <w:p>
            <w:pPr>
              <w:jc w:val="center"/>
              <w:ind w:left="395"/>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6"/>
                <w:szCs w:val="16"/>
                <w:color w:val="auto"/>
              </w:rPr>
            </w:pPr>
          </w:p>
        </w:tc>
      </w:tr>
      <w:tr>
        <w:trPr>
          <w:trHeight w:val="276"/>
        </w:trPr>
        <w:tc>
          <w:tcPr>
            <w:tcW w:w="5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left="395"/>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5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65,533</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78,133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128,464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136,203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27,766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23,907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53,950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47,665</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 (1)</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1,698</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58,381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52,666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116,491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104,045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(4,633)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(20,694)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(8,939)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(20,872)</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of EBITDAre of unconsolidated affiliates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1,221</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1,638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r>
      <w:tr>
        <w:trPr>
          <w:trHeight w:val="250"/>
        </w:trPr>
        <w:tc>
          <w:tcPr>
            <w:tcW w:w="5160" w:type="dxa"/>
            <w:vAlign w:val="bottom"/>
          </w:tcPr>
          <w:p>
            <w:pPr>
              <w:ind w:left="380"/>
              <w:spacing w:after="0"/>
              <w:rPr>
                <w:sz w:val="20"/>
                <w:szCs w:val="20"/>
                <w:color w:val="auto"/>
              </w:rPr>
            </w:pPr>
            <w:r>
              <w:rPr>
                <w:rFonts w:ascii="Arial" w:cs="Arial" w:eastAsia="Arial" w:hAnsi="Arial"/>
                <w:sz w:val="18"/>
                <w:szCs w:val="18"/>
                <w:color w:val="auto"/>
              </w:rPr>
              <w:t>EBITDAre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148,941</w:t>
            </w:r>
          </w:p>
        </w:tc>
        <w:tc>
          <w:tcPr>
            <w:tcW w:w="120" w:type="dxa"/>
            <w:vAlign w:val="bottom"/>
          </w:tcPr>
          <w:p>
            <w:pPr>
              <w:spacing w:after="0"/>
              <w:rPr>
                <w:sz w:val="21"/>
                <w:szCs w:val="21"/>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135,751</w:t>
            </w:r>
          </w:p>
        </w:tc>
        <w:tc>
          <w:tcPr>
            <w:tcW w:w="100" w:type="dxa"/>
            <w:vAlign w:val="bottom"/>
          </w:tcPr>
          <w:p>
            <w:pPr>
              <w:spacing w:after="0"/>
              <w:rPr>
                <w:sz w:val="21"/>
                <w:szCs w:val="21"/>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292,932</w:t>
            </w:r>
          </w:p>
        </w:tc>
        <w:tc>
          <w:tcPr>
            <w:tcW w:w="100" w:type="dxa"/>
            <w:vAlign w:val="bottom"/>
          </w:tcPr>
          <w:p>
            <w:pPr>
              <w:spacing w:after="0"/>
              <w:rPr>
                <w:sz w:val="21"/>
                <w:szCs w:val="21"/>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268,785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8890</wp:posOffset>
            </wp:positionV>
            <wp:extent cx="39789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(1) For the three and six months ended June 30, 2018 and 2017, the provision for income tax primarily relates to condominium sales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-130175</wp:posOffset>
            </wp:positionV>
            <wp:extent cx="39789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0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NAREIT defines FFO as follows: net</w:t>
      </w:r>
      <w:r>
        <w:rPr>
          <w:rFonts w:ascii="Arial" w:cs="Arial" w:eastAsia="Arial" w:hAnsi="Arial"/>
          <w:sz w:val="16"/>
          <w:szCs w:val="16"/>
          <w:b w:val="1"/>
          <w:bCs w:val="1"/>
          <w:color w:val="auto"/>
        </w:rPr>
        <w:t xml:space="preserve"> </w:t>
      </w:r>
      <w:r>
        <w:rPr>
          <w:rFonts w:ascii="Arial" w:cs="Arial" w:eastAsia="Arial" w:hAnsi="Arial"/>
          <w:sz w:val="16"/>
          <w:szCs w:val="16"/>
          <w:color w:val="auto"/>
        </w:rPr>
        <w:t>income, computed in accordance with GAAP plus real estate related depreciation and amortization and excluding extraordinary items and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225" w:lineRule="exact"/>
        <w:rPr>
          <w:sz w:val="20"/>
          <w:szCs w:val="20"/>
          <w:color w:val="auto"/>
        </w:rPr>
      </w:pPr>
    </w:p>
    <w:p>
      <w:pPr>
        <w:ind w:right="600"/>
        <w:spacing w:after="0" w:line="314" w:lineRule="auto"/>
        <w:rPr>
          <w:sz w:val="20"/>
          <w:szCs w:val="20"/>
          <w:color w:val="auto"/>
        </w:rPr>
      </w:pPr>
      <w:r>
        <w:rPr>
          <w:rFonts w:ascii="Arial" w:cs="Arial" w:eastAsia="Arial" w:hAnsi="Arial"/>
          <w:sz w:val="16"/>
          <w:szCs w:val="16"/>
          <w:b w:val="1"/>
          <w:bCs w:val="1"/>
          <w:color w:val="auto"/>
        </w:rPr>
        <w:t xml:space="preserve">Comparable Properties: </w:t>
      </w:r>
      <w:r>
        <w:rPr>
          <w:rFonts w:ascii="Arial" w:cs="Arial" w:eastAsia="Arial" w:hAnsi="Arial"/>
          <w:sz w:val="16"/>
          <w:szCs w:val="16"/>
          <w:color w:val="auto"/>
        </w:rPr>
        <w:t>Represents our consolidated property portfolio other than those properties that distort comparability between periods in two</w:t>
      </w:r>
      <w:r>
        <w:rPr>
          <w:rFonts w:ascii="Arial" w:cs="Arial" w:eastAsia="Arial" w:hAnsi="Arial"/>
          <w:sz w:val="16"/>
          <w:szCs w:val="16"/>
          <w:b w:val="1"/>
          <w:bCs w:val="1"/>
          <w:color w:val="auto"/>
        </w:rPr>
        <w:t xml:space="preserve"> </w:t>
      </w:r>
      <w:r>
        <w:rPr>
          <w:rFonts w:ascii="Arial" w:cs="Arial" w:eastAsia="Arial" w:hAnsi="Arial"/>
          <w:sz w:val="16"/>
          <w:szCs w:val="16"/>
          <w:color w:val="auto"/>
        </w:rPr>
        <w:t>primary categories: (1) assets that were not owned for the full quarter in both periods presented and (2) assets currently under development or being repositioned for significant redevelopment and investment. Comparable property growth statistics are calculated on a GAAP basis.</w:t>
      </w:r>
    </w:p>
    <w:p>
      <w:pPr>
        <w:spacing w:after="0" w:line="142"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Tenant Improvements and Incentives: </w:t>
      </w:r>
      <w:r>
        <w:rPr>
          <w:rFonts w:ascii="Arial" w:cs="Arial" w:eastAsia="Arial" w:hAnsi="Arial"/>
          <w:sz w:val="17"/>
          <w:szCs w:val="17"/>
          <w:color w:val="auto"/>
        </w:rPr>
        <w:t>Represents not only the total dollars committed for the improvement (fit-out) of a space as it relates to a specific</w:t>
      </w:r>
      <w:r>
        <w:rPr>
          <w:rFonts w:ascii="Arial" w:cs="Arial" w:eastAsia="Arial" w:hAnsi="Arial"/>
          <w:sz w:val="17"/>
          <w:szCs w:val="17"/>
          <w:b w:val="1"/>
          <w:bCs w:val="1"/>
          <w:color w:val="auto"/>
        </w:rPr>
        <w:t xml:space="preserve"> </w:t>
      </w:r>
      <w:r>
        <w:rPr>
          <w:rFonts w:ascii="Arial" w:cs="Arial" w:eastAsia="Arial" w:hAnsi="Arial"/>
          <w:sz w:val="17"/>
          <w:szCs w:val="17"/>
          <w:color w:val="auto"/>
        </w:rPr>
        <w:t>lease and, except for redevelopments,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3"/>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2019-12-28T20:27:10Z</dcterms:created>
  <dcterms:modified xsi:type="dcterms:W3CDTF">2019-12-28T20:27:10Z</dcterms:modified>
</cp:coreProperties>
</file>