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88265</wp:posOffset>
            </wp:positionV>
            <wp:extent cx="1892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ANNUAL REPORT PURSUANT TO THE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2686050</wp:posOffset>
            </wp:positionH>
            <wp:positionV relativeFrom="paragraph">
              <wp:posOffset>-235585</wp:posOffset>
            </wp:positionV>
            <wp:extent cx="1892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2"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95"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1-07533</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FEDERAL REALTY INVESTMENT TRUST</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Declaration of Trust)</w:t>
      </w:r>
    </w:p>
    <w:p>
      <w:pPr>
        <w:spacing w:after="0" w:line="144"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6"/>
              </w:rPr>
              <w:t>Maryland</w:t>
            </w:r>
          </w:p>
        </w:tc>
        <w:tc>
          <w:tcPr>
            <w:tcW w:w="4800" w:type="dxa"/>
            <w:vAlign w:val="bottom"/>
          </w:tcPr>
          <w:p>
            <w:pPr>
              <w:jc w:val="right"/>
              <w:ind w:right="537"/>
              <w:spacing w:after="0"/>
              <w:rPr>
                <w:sz w:val="20"/>
                <w:szCs w:val="20"/>
                <w:color w:val="auto"/>
              </w:rPr>
            </w:pPr>
            <w:r>
              <w:rPr>
                <w:rFonts w:ascii="Arial" w:cs="Arial" w:eastAsia="Arial" w:hAnsi="Arial"/>
                <w:sz w:val="18"/>
                <w:szCs w:val="18"/>
                <w:b w:val="1"/>
                <w:bCs w:val="1"/>
                <w:color w:val="auto"/>
              </w:rPr>
              <w:t>52-0782497</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of Organization)</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376"/>
        </w:trPr>
        <w:tc>
          <w:tcPr>
            <w:tcW w:w="4020" w:type="dxa"/>
            <w:vAlign w:val="bottom"/>
          </w:tcPr>
          <w:p>
            <w:pPr>
              <w:jc w:val="center"/>
              <w:ind w:right="259"/>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4800" w:type="dxa"/>
            <w:vAlign w:val="bottom"/>
          </w:tcPr>
          <w:p>
            <w:pPr>
              <w:jc w:val="right"/>
              <w:ind w:right="737"/>
              <w:spacing w:after="0"/>
              <w:rPr>
                <w:sz w:val="20"/>
                <w:szCs w:val="20"/>
                <w:color w:val="auto"/>
              </w:rPr>
            </w:pPr>
            <w:r>
              <w:rPr>
                <w:rFonts w:ascii="Arial" w:cs="Arial" w:eastAsia="Arial" w:hAnsi="Arial"/>
                <w:sz w:val="18"/>
                <w:szCs w:val="18"/>
                <w:b w:val="1"/>
                <w:bCs w:val="1"/>
                <w:color w:val="auto"/>
              </w:rPr>
              <w:t>20852</w:t>
            </w:r>
          </w:p>
        </w:tc>
      </w:tr>
      <w:tr>
        <w:trPr>
          <w:trHeight w:val="217"/>
        </w:trPr>
        <w:tc>
          <w:tcPr>
            <w:tcW w:w="4020" w:type="dxa"/>
            <w:vAlign w:val="bottom"/>
          </w:tcPr>
          <w:p>
            <w:pPr>
              <w:jc w:val="center"/>
              <w:ind w:right="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jc w:val="center"/>
              <w:ind w:left="2617"/>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4020" w:type="dxa"/>
            <w:vAlign w:val="bottom"/>
          </w:tcPr>
          <w:p>
            <w:pPr>
              <w:spacing w:after="0"/>
              <w:rPr>
                <w:sz w:val="24"/>
                <w:szCs w:val="24"/>
                <w:color w:val="auto"/>
              </w:rPr>
            </w:pPr>
          </w:p>
        </w:tc>
        <w:tc>
          <w:tcPr>
            <w:tcW w:w="4800" w:type="dxa"/>
            <w:vAlign w:val="bottom"/>
          </w:tcPr>
          <w:p>
            <w:pPr>
              <w:jc w:val="right"/>
              <w:ind w:right="3257"/>
              <w:spacing w:after="0"/>
              <w:rPr>
                <w:sz w:val="20"/>
                <w:szCs w:val="20"/>
                <w:color w:val="auto"/>
              </w:rPr>
            </w:pPr>
            <w:r>
              <w:rPr>
                <w:rFonts w:ascii="Arial" w:cs="Arial" w:eastAsia="Arial" w:hAnsi="Arial"/>
                <w:sz w:val="18"/>
                <w:szCs w:val="18"/>
                <w:b w:val="1"/>
                <w:bCs w:val="1"/>
                <w:color w:val="auto"/>
              </w:rPr>
              <w:t>(301) 998-8100</w:t>
            </w:r>
          </w:p>
        </w:tc>
      </w:tr>
    </w:tbl>
    <w:p>
      <w:pPr>
        <w:spacing w:after="0" w:line="18"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Title of Each Class</w:t>
            </w:r>
          </w:p>
        </w:tc>
        <w:tc>
          <w:tcPr>
            <w:tcW w:w="2580" w:type="dxa"/>
            <w:vAlign w:val="bottom"/>
          </w:tcPr>
          <w:p>
            <w:pPr>
              <w:spacing w:after="0"/>
              <w:rPr>
                <w:sz w:val="18"/>
                <w:szCs w:val="18"/>
                <w:color w:val="auto"/>
              </w:rPr>
            </w:pPr>
          </w:p>
        </w:tc>
        <w:tc>
          <w:tcPr>
            <w:tcW w:w="44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20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r>
      <w:tr>
        <w:trPr>
          <w:trHeight w:val="276"/>
        </w:trPr>
        <w:tc>
          <w:tcPr>
            <w:tcW w:w="6060" w:type="dxa"/>
            <w:vAlign w:val="bottom"/>
            <w:gridSpan w:val="3"/>
          </w:tcPr>
          <w:p>
            <w:pPr>
              <w:jc w:val="center"/>
              <w:ind w:right="560"/>
              <w:spacing w:after="0"/>
              <w:rPr>
                <w:sz w:val="20"/>
                <w:szCs w:val="20"/>
                <w:color w:val="auto"/>
              </w:rPr>
            </w:pPr>
            <w:r>
              <w:rPr>
                <w:rFonts w:ascii="Arial" w:cs="Arial" w:eastAsia="Arial" w:hAnsi="Arial"/>
                <w:sz w:val="18"/>
                <w:szCs w:val="18"/>
                <w:color w:val="auto"/>
                <w:w w:val="90"/>
              </w:rPr>
              <w:t>Common Shares of Beneficial Interest, $.01 par value per share, with</w:t>
            </w:r>
          </w:p>
        </w:tc>
        <w:tc>
          <w:tcPr>
            <w:tcW w:w="840" w:type="dxa"/>
            <w:vAlign w:val="bottom"/>
          </w:tcPr>
          <w:p>
            <w:pPr>
              <w:spacing w:after="0"/>
              <w:rPr>
                <w:sz w:val="23"/>
                <w:szCs w:val="23"/>
                <w:color w:val="auto"/>
              </w:rPr>
            </w:pPr>
          </w:p>
        </w:tc>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6060" w:type="dxa"/>
            <w:vAlign w:val="bottom"/>
            <w:gridSpan w:val="3"/>
          </w:tcPr>
          <w:p>
            <w:pPr>
              <w:jc w:val="center"/>
              <w:ind w:right="540"/>
              <w:spacing w:after="0"/>
              <w:rPr>
                <w:sz w:val="20"/>
                <w:szCs w:val="20"/>
                <w:color w:val="auto"/>
              </w:rPr>
            </w:pPr>
            <w:r>
              <w:rPr>
                <w:rFonts w:ascii="Arial" w:cs="Arial" w:eastAsia="Arial" w:hAnsi="Arial"/>
                <w:sz w:val="18"/>
                <w:szCs w:val="18"/>
                <w:color w:val="auto"/>
                <w:w w:val="88"/>
              </w:rPr>
              <w:t>associated Common Share Purchase Rights</w:t>
            </w:r>
          </w:p>
        </w:tc>
        <w:tc>
          <w:tcPr>
            <w:tcW w:w="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7"/>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12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83"/>
        </w:trPr>
        <w:tc>
          <w:tcPr>
            <w:tcW w:w="924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Yes</w:t>
            </w:r>
          </w:p>
        </w:tc>
        <w:tc>
          <w:tcPr>
            <w:tcW w:w="122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bl>
    <w:p>
      <w:pPr>
        <w:spacing w:after="0" w:line="20"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 w:lineRule="exact"/>
        <w:rPr>
          <w:sz w:val="24"/>
          <w:szCs w:val="24"/>
          <w:color w:val="auto"/>
        </w:rPr>
      </w:pPr>
    </w:p>
    <w:p>
      <w:pPr>
        <w:ind w:right="360"/>
        <w:spacing w:after="0" w:line="34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4" w:right="259" w:bottom="1440" w:gutter="0" w:footer="0" w:header="0"/>
        </w:sectPr>
      </w:pPr>
    </w:p>
    <w:p>
      <w:pPr>
        <w:spacing w:after="0" w:line="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1720" w:space="720"/>
            <w:col w:w="3960" w:space="720"/>
            <w:col w:w="3260" w:space="720"/>
            <w:col w:w="300"/>
          </w:cols>
          <w:pgMar w:left="240" w:top="234" w:right="25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55" w:lineRule="exact"/>
        <w:rPr>
          <w:sz w:val="24"/>
          <w:szCs w:val="24"/>
          <w:color w:val="auto"/>
        </w:rPr>
      </w:pPr>
    </w:p>
    <w:p>
      <w:pPr>
        <w:sectPr>
          <w:pgSz w:w="11900" w:h="16838" w:orient="portrait"/>
          <w:cols w:equalWidth="0" w:num="5">
            <w:col w:w="8240" w:space="220"/>
            <w:col w:w="160" w:space="80"/>
            <w:col w:w="260" w:space="180"/>
            <w:col w:w="160" w:space="100"/>
            <w:col w:w="2000"/>
          </w:cols>
          <w:pgMar w:left="240" w:top="234" w:right="259" w:bottom="1440" w:gutter="0" w:footer="0" w:header="0"/>
          <w:type w:val="continuous"/>
        </w:sectPr>
      </w:pPr>
    </w:p>
    <w:p>
      <w:pPr>
        <w:ind w:right="18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2014 was $8.2 billion.</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6, 2015 was 68,664,043.</w:t>
      </w:r>
    </w:p>
    <w:p>
      <w:pPr>
        <w:sectPr>
          <w:pgSz w:w="11900" w:h="16838" w:orient="portrait"/>
          <w:cols w:equalWidth="0" w:num="1">
            <w:col w:w="11400"/>
          </w:cols>
          <w:pgMar w:left="240" w:top="234" w:right="2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FISCAL YEAR ENDED DECEMBER 31, 2014</w:t>
      </w:r>
    </w:p>
    <w:p>
      <w:pPr>
        <w:spacing w:after="0" w:line="3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36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the Registrant’s 2014 annual meeting of shareholders to be held in May 2015 will be incorporated by reference into Part III hereof.</w:t>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972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18"/>
                <w:szCs w:val="18"/>
                <w:color w:val="auto"/>
              </w:rPr>
              <w:t>PART 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80" w:type="dxa"/>
            <w:vAlign w:val="bottom"/>
          </w:tcPr>
          <w:p>
            <w:pPr>
              <w:spacing w:after="0"/>
              <w:rPr>
                <w:sz w:val="19"/>
                <w:szCs w:val="19"/>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8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1B.</w:t>
            </w:r>
          </w:p>
        </w:tc>
        <w:tc>
          <w:tcPr>
            <w:tcW w:w="972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24</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40"/>
              <w:spacing w:after="0"/>
              <w:rPr>
                <w:sz w:val="20"/>
                <w:szCs w:val="20"/>
                <w:color w:val="auto"/>
              </w:rPr>
            </w:pPr>
            <w:r>
              <w:rPr>
                <w:rFonts w:ascii="Arial" w:cs="Arial" w:eastAsia="Arial" w:hAnsi="Arial"/>
                <w:sz w:val="18"/>
                <w:szCs w:val="18"/>
                <w:color w:val="auto"/>
              </w:rPr>
              <w:t>Market for Our Common Equity and Related Shareholder Matters and Issuer Purchases of Equity Securities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27</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w:t>
            </w:r>
          </w:p>
        </w:tc>
        <w:tc>
          <w:tcPr>
            <w:tcW w:w="97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7A.</w:t>
            </w:r>
          </w:p>
        </w:tc>
        <w:tc>
          <w:tcPr>
            <w:tcW w:w="97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8.</w:t>
            </w:r>
          </w:p>
        </w:tc>
        <w:tc>
          <w:tcPr>
            <w:tcW w:w="972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w:t>
            </w:r>
          </w:p>
        </w:tc>
        <w:tc>
          <w:tcPr>
            <w:tcW w:w="972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9A.</w:t>
            </w:r>
          </w:p>
        </w:tc>
        <w:tc>
          <w:tcPr>
            <w:tcW w:w="97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9B.</w:t>
            </w:r>
          </w:p>
        </w:tc>
        <w:tc>
          <w:tcPr>
            <w:tcW w:w="97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III</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10.</w:t>
            </w:r>
          </w:p>
        </w:tc>
        <w:tc>
          <w:tcPr>
            <w:tcW w:w="9720" w:type="dxa"/>
            <w:vAlign w:val="bottom"/>
          </w:tcPr>
          <w:p>
            <w:pPr>
              <w:ind w:left="140"/>
              <w:spacing w:after="0"/>
              <w:rPr>
                <w:sz w:val="20"/>
                <w:szCs w:val="20"/>
                <w:color w:val="auto"/>
              </w:rPr>
            </w:pPr>
            <w:r>
              <w:rPr>
                <w:rFonts w:ascii="Arial" w:cs="Arial" w:eastAsia="Arial" w:hAnsi="Arial"/>
                <w:sz w:val="18"/>
                <w:szCs w:val="18"/>
                <w:color w:val="auto"/>
              </w:rPr>
              <w:t>Trustees, Executive Officers and Corporate Governance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11.</w:t>
            </w:r>
          </w:p>
        </w:tc>
        <w:tc>
          <w:tcPr>
            <w:tcW w:w="972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12.</w:t>
            </w:r>
          </w:p>
        </w:tc>
        <w:tc>
          <w:tcPr>
            <w:tcW w:w="972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13.</w:t>
            </w:r>
          </w:p>
        </w:tc>
        <w:tc>
          <w:tcPr>
            <w:tcW w:w="972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Trustee Independence</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50"/>
        </w:trPr>
        <w:tc>
          <w:tcPr>
            <w:tcW w:w="1240" w:type="dxa"/>
            <w:vAlign w:val="bottom"/>
          </w:tcPr>
          <w:p>
            <w:pPr>
              <w:spacing w:after="0"/>
              <w:rPr>
                <w:sz w:val="20"/>
                <w:szCs w:val="20"/>
                <w:color w:val="auto"/>
              </w:rPr>
            </w:pPr>
            <w:r>
              <w:rPr>
                <w:rFonts w:ascii="Arial" w:cs="Arial" w:eastAsia="Arial" w:hAnsi="Arial"/>
                <w:sz w:val="18"/>
                <w:szCs w:val="18"/>
                <w:color w:val="auto"/>
              </w:rPr>
              <w:t>Item 14.</w:t>
            </w:r>
          </w:p>
        </w:tc>
        <w:tc>
          <w:tcPr>
            <w:tcW w:w="972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614"/>
        </w:trPr>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9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1240" w:type="dxa"/>
            <w:vAlign w:val="bottom"/>
          </w:tcPr>
          <w:p>
            <w:pPr>
              <w:spacing w:after="0"/>
              <w:rPr>
                <w:sz w:val="20"/>
                <w:szCs w:val="20"/>
                <w:color w:val="auto"/>
              </w:rPr>
            </w:pPr>
            <w:r>
              <w:rPr>
                <w:rFonts w:ascii="Arial" w:cs="Arial" w:eastAsia="Arial" w:hAnsi="Arial"/>
                <w:sz w:val="18"/>
                <w:szCs w:val="18"/>
                <w:color w:val="auto"/>
              </w:rPr>
              <w:t>Item 15.</w:t>
            </w:r>
          </w:p>
        </w:tc>
        <w:tc>
          <w:tcPr>
            <w:tcW w:w="972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574"/>
        </w:trPr>
        <w:tc>
          <w:tcPr>
            <w:tcW w:w="1240" w:type="dxa"/>
            <w:vAlign w:val="bottom"/>
          </w:tcPr>
          <w:p>
            <w:pPr>
              <w:spacing w:after="0"/>
              <w:rPr>
                <w:sz w:val="20"/>
                <w:szCs w:val="20"/>
                <w:color w:val="auto"/>
              </w:rPr>
            </w:pPr>
            <w:r>
              <w:rPr>
                <w:rFonts w:ascii="Arial" w:cs="Arial" w:eastAsia="Arial" w:hAnsi="Arial"/>
                <w:sz w:val="18"/>
                <w:szCs w:val="18"/>
                <w:color w:val="auto"/>
              </w:rPr>
              <w:t>SIGNATURES</w:t>
            </w:r>
          </w:p>
        </w:tc>
        <w:tc>
          <w:tcPr>
            <w:tcW w:w="9720" w:type="dxa"/>
            <w:vAlign w:val="bottom"/>
          </w:tcPr>
          <w:p>
            <w:pPr>
              <w:spacing w:after="0"/>
              <w:rPr>
                <w:sz w:val="24"/>
                <w:szCs w:val="24"/>
                <w:color w:val="auto"/>
              </w:rPr>
            </w:pPr>
          </w:p>
        </w:tc>
        <w:tc>
          <w:tcPr>
            <w:tcW w:w="18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54</w:t>
              </w:r>
            </w:hyperlink>
          </w:p>
        </w:tc>
      </w:tr>
      <w:tr>
        <w:trPr>
          <w:trHeight w:val="506"/>
        </w:trPr>
        <w:tc>
          <w:tcPr>
            <w:tcW w:w="1240" w:type="dxa"/>
            <w:vAlign w:val="bottom"/>
          </w:tcPr>
          <w:p>
            <w:pPr>
              <w:spacing w:after="0"/>
              <w:rPr>
                <w:sz w:val="24"/>
                <w:szCs w:val="24"/>
                <w:color w:val="auto"/>
              </w:rPr>
            </w:pPr>
          </w:p>
        </w:tc>
        <w:tc>
          <w:tcPr>
            <w:tcW w:w="9720" w:type="dxa"/>
            <w:vAlign w:val="bottom"/>
          </w:tcPr>
          <w:p>
            <w:pPr>
              <w:ind w:left="43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80"/>
          </w:cols>
          <w:pgMar w:left="240" w:top="126" w:right="47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2014, we owned or had a majority interest in community and neighborhood shopping centers and mixed-use properties which are operated as 89 predominantly retail real estate projects comprising approximately 20.2 million square feet. In total, the real estate projects were 95.6% leased and 94.7% occupied at December 31, 2014. A joint venture in which we own a 30% interest owned six retail real estate projects totaling approximately 0.8 million square feet as of December 31, 2014. In total, the joint venture properties in which we own an interest were 86.1% leased and 82.8% occupied at December 31, 2014. We have paid quarterly dividends to our shareholders continuously since our founding in 1962 and have increased our dividends per common share for 47 consecutive years.</w:t>
      </w:r>
    </w:p>
    <w:p>
      <w:pPr>
        <w:spacing w:after="0" w:line="12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(the “Code”). Our principal executive offices are located at 1626 East Jefferson Street, Rockville, Maryland 20852. Our telephone number is (301) 998-8100.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 and is not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primary business objective is to own, manage, acquire and redevelop a portfolio of high quality retail focused properties that will:</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 to shareholders;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the shopping center industry;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15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portfolio includes, and we continue to acquire and redevelop, high quality retail in many formats ranging from regional, community and neighborhood shopping centers that often are anchored by grocery stores to mixed-use properties that are typically centered around a retail component but also include office, residential and/or hotel components.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core operating strategy is to actively manage our properties to maximize rents and maintain occupancy levels by attracting and retaining a strong and diverse base of tenants and replacing less relevant, weaker, underperforming tenants with stronger ones. Our properties are generally located in some of the most densely populated and affluent areas of the country. These strong demographics help our tenants generate higher sales, which has enabled us to maintain higher occupancy rates, charge higher rental rates, and maintain steady rent growth, all of which increase the value of our portfolio. Our operating strategies also include:</w:t>
      </w:r>
    </w:p>
    <w:p>
      <w:pPr>
        <w:spacing w:after="0" w:line="3" w:lineRule="exact"/>
        <w:rPr>
          <w:sz w:val="20"/>
          <w:szCs w:val="20"/>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or operating difficulties;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monitoring the merchandising mix of our tenant base to achieve a balance of strong national and regional tenants with local specialty tenants;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8" w:lineRule="exact"/>
        <w:rPr>
          <w:rFonts w:ascii="Arial" w:cs="Arial" w:eastAsia="Arial" w:hAnsi="Arial"/>
          <w:sz w:val="18"/>
          <w:szCs w:val="18"/>
          <w:color w:val="auto"/>
        </w:rPr>
      </w:pPr>
    </w:p>
    <w:p>
      <w:pPr>
        <w:ind w:left="660" w:right="3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right="1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 and</w:t>
      </w:r>
    </w:p>
    <w:p>
      <w:pPr>
        <w:spacing w:after="0" w:line="8"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an experience at many of our properties that is identifiable, unique and serves the surrounding communities to help insulate these properties and the tenants at these properties from the impact of on-line retailing.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investment strategy is to deploy capital at risk-adjusted rates of return that exceed our long-term weighted average cost of capital in projects that have potential for future income growth and increased value. Our investments primarily fall into one of the following four categories:</w:t>
      </w:r>
    </w:p>
    <w:p>
      <w:pPr>
        <w:spacing w:after="0" w:line="1" w:lineRule="exact"/>
        <w:rPr>
          <w:sz w:val="20"/>
          <w:szCs w:val="20"/>
          <w:color w:val="auto"/>
        </w:rPr>
      </w:pP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w:t>
      </w:r>
    </w:p>
    <w:p>
      <w:pPr>
        <w:spacing w:after="0" w:line="8" w:lineRule="exact"/>
        <w:rPr>
          <w:rFonts w:ascii="Arial" w:cs="Arial" w:eastAsia="Arial" w:hAnsi="Arial"/>
          <w:sz w:val="18"/>
          <w:szCs w:val="18"/>
          <w:color w:val="auto"/>
        </w:rPr>
      </w:pPr>
    </w:p>
    <w:p>
      <w:pPr>
        <w:jc w:val="both"/>
        <w:ind w:left="660" w:right="2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quality retail and mixed-use properties located in densely populated and/or affluent areas where barriers to entry for further development are high, and that have possibilities for enhancing operating performance and creating value through renovation, expansion, reconfiguration and/or retenanting; and</w:t>
      </w:r>
    </w:p>
    <w:p>
      <w:pPr>
        <w:ind w:left="660" w:right="54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or otherwise investing in non-retail portions of mixed-use properties we already own in order to capitalize on the overall value created in these properties.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acquisition and development opportunities, we consider such factors as:</w:t>
      </w:r>
    </w:p>
    <w:p>
      <w:pPr>
        <w:spacing w:after="0" w:line="2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expected returns in relation to our short and long-term cost of capital as well as the anticipated risk we will face in achieving the expected returns;</w:t>
      </w:r>
    </w:p>
    <w:p>
      <w:pPr>
        <w:spacing w:after="0" w:line="3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increase the long-term value of the property through redevelopment and retenanting;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8"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ind w:left="660" w:right="5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of others to create competing properties through redevelopment, new construction or renovation;</w:t>
      </w: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Our financing strategies are designed to enable us to maintain an investment grade balance sheet while retaining sufficient flexibility to fund our operating and investing activities in the most cost-efficient way possible. Our financing strategies include:</w:t>
      </w:r>
    </w:p>
    <w:p>
      <w:pPr>
        <w:spacing w:after="0" w:line="1" w:lineRule="exact"/>
        <w:rPr>
          <w:sz w:val="20"/>
          <w:szCs w:val="20"/>
          <w:color w:val="auto"/>
        </w:rPr>
      </w:pPr>
    </w:p>
    <w:p>
      <w:pPr>
        <w:ind w:left="660" w:right="5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available line of credit to fund operating and investing needs on a short-term basis;</w:t>
      </w:r>
    </w:p>
    <w:p>
      <w:pPr>
        <w:spacing w:after="0" w:line="8"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does not mature in any one year;</w:t>
      </w:r>
    </w:p>
    <w:p>
      <w:pPr>
        <w:ind w:left="660" w:right="1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ind w:left="660" w:right="5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utilizing the most advantageous long-term source of capital available to us to finance redevelopment and acquisition opportunities, which may include:</w:t>
      </w:r>
    </w:p>
    <w:p>
      <w:pPr>
        <w:ind w:left="1300" w:right="380" w:hanging="321"/>
        <w:spacing w:after="0" w:line="260"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including our at the market ("ATM") equity program in which we may from time to time offer and sell common shares, or private placements,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unsecured or secured borrowings,</w:t>
      </w:r>
    </w:p>
    <w:p>
      <w:pPr>
        <w:spacing w:after="0" w:line="23" w:lineRule="exact"/>
        <w:rPr>
          <w:rFonts w:ascii="Arial" w:cs="Arial" w:eastAsia="Arial" w:hAnsi="Arial"/>
          <w:sz w:val="18"/>
          <w:szCs w:val="18"/>
          <w:color w:val="auto"/>
        </w:rPr>
      </w:pPr>
    </w:p>
    <w:p>
      <w:pPr>
        <w:ind w:left="1300" w:hanging="321"/>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issuance of operating partnership units in a new or existing “downREIT partnership” that is controlled and consolidated by us (generally operating partnership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ind w:left="1300" w:hanging="32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February 6, 2015, we had 269 full-time employees and 136 part-time employees. None of our employees are represented by a collective bargaining unit.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relationship with our employees is good.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elected to be taxed as a REIT under the federal income tax laws when we filed our 1962 tax return. As a REIT, we are generally not subject to federal income tax on taxable income that we distribute to our shareholders. Under the Code, REITs are subject to numerous organizational and operational requirements, including the requirement to generally distribute at least 90% of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our taxable income. We will also generally not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taxable income.</w:t>
      </w:r>
    </w:p>
    <w:p>
      <w:pPr>
        <w:spacing w:after="0" w:line="1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Our TRS activities have not been material.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and our properties are subject to a variety of federal, state and local environmental, health, safety and similar laws, including without limitation:</w:t>
      </w:r>
    </w:p>
    <w:p>
      <w:pPr>
        <w:spacing w:after="0" w:line="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56"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6" w:right="2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substantial capital expenditures with respect to compliance with environmental, health, safety and similar laws and we carry environmental insurance which covers a number of environmental risks for most of our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Retailers at our properties also face increasing competition from online retailers, outlet stores, discount shopping clubs, superstores, and other forms of sales and marketing of goods and services, such as direct mail. This competition could contribute to lease defaults and insolvency of tenants.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(the “Exchange Act”) are available free of charge through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 xml:space="preserve"> as soon as reasonably practicable after we electronically file the material with, or furnish the material to, the Securities and Exchange Commission, or the SEC.</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Investors section of our website.</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6" w:right="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Exchange Act and the Private Securities Litigation Reform Act of 1995. Also, documents that we “incorporate by reference” into this Annual Report on Form 10-K, including documents that we subsequently file with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Economic conditions may impact the success of our tenants’ retail operations and therefore the amount of rent and expense reimbursements we receive from our tenants. Demand for our retail spaces has been strong and while there can be no assurance that this will continue, we remain optimistic given the trends we have seen over the past few years. However, any reduction in our tenants’ abilities to pay base rent, percentage rent or other charges on a timely basis, including the filing by any of our tenants for bankruptcy protection, will adversely affect our financial condition and results of operations. In the event of default by a tenant, we may experience delays and unexpected costs in enforcing our rights as landlord under lease terms, which may also adversely affect our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While our anchor tenant space is currently well occupied, we have seen an overall decrease in the number of tenants available to fill anchor spaces. Therefore, tenant demand for certain of our anchor spaces may decrease and as a result, we may see an increase in vacancy and/or a decrease in rents for those spaces that could have a negative impact to our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collect balances due from tenants that file for bankruptcy protection.</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If a tenant or lease guarantor files for bankruptcy, we may not be able to collect all pre-petition amounts owed by that party. In addition, a tenant that files for bankruptcy protection may terminate our lease in which event we would have a general unsecured claim that would likely be for less than the full amount owed to us for the remainder of the lease term, which could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derive most of our revenue directly or indirectly from rent received from our tenants. We are subject to the risks that, upon expiration or termination of leases, whether by their terms, as a result of a tenant bankruptcy, general economic conditions or otherwise, leases for space in our properties may not be renewed, space may not be re-leased, or the terms of renewal or re-lease, including the cost of required renovations or concessions to tenants, may be less favorable than current lease terms and may include decreases in rental rates. As a result, our net income could be reduced.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As of December 31, 2014, we had approximately $2.4 billion of debt outstanding. Of that outstanding debt, approximately $563.7 million was secured by all or a portion of 14 of our real estate projects and approximately $71.6 million represented capital lease obligations on four of our properties. In addition, we own a 30% interest in a joint venture that had $34.4 million of debt secured by two properties as of December 31, 2014. Approximately $2.4 billion</w:t>
      </w:r>
    </w:p>
    <w:p>
      <w:pPr>
        <w:spacing w:after="0" w:line="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(99.6%) of our debt as of December 31, 2014 is fixed rate debt, which includes all of our property secured debt, our capital lease obligations and our $275.0 million term loan as the rate is effectively fixed by two interest rate swap agreements. Our unconsolidated joint venture’s debt of $34.4</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1" w:lineRule="exact"/>
        <w:rPr>
          <w:sz w:val="20"/>
          <w:szCs w:val="20"/>
          <w:color w:val="auto"/>
        </w:rPr>
      </w:pPr>
    </w:p>
    <w:p>
      <w:pPr>
        <w:ind w:left="660" w:right="8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8"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debt upon refinancing or on our variable rate, unhedged debt, if interest rates rise;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8" w:lineRule="exact"/>
        <w:rPr>
          <w:rFonts w:ascii="Arial" w:cs="Arial" w:eastAsia="Arial" w:hAnsi="Arial"/>
          <w:sz w:val="18"/>
          <w:szCs w:val="18"/>
          <w:color w:val="auto"/>
        </w:rPr>
      </w:pPr>
    </w:p>
    <w:p>
      <w:pPr>
        <w:ind w:left="660" w:right="9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ind w:left="660" w:right="50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86"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 agreements.</w:t>
      </w:r>
    </w:p>
    <w:p>
      <w:pPr>
        <w:spacing w:after="0" w:line="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revolving credit facility, term loan and certain series of notes include financial covenants that may limit our operating activities in the future. We are also required to comply with additional covenants that include, among other things, provisions:</w:t>
      </w:r>
    </w:p>
    <w:p>
      <w:pPr>
        <w:spacing w:after="0" w:line="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2014,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ground-up development of improvements on real property, as opposed to the renovation and redevelopment of existing improvements, presents substantial risks. We generally do not look to acquire raw land for future development; however, we do intend to complete the development and construction of future phases of projects we already own, such as Santana Row in San Jose, California, Assembly Row in Somerville, Massachusetts, and Pike &amp; Rose in North Bethesda, Maryland. We may undertake development of these and other projects on our own or bring in third parties if it is justifiable on a risk-adjusted return basis. We may also choose to delay completion of a project if market conditions do not allow an appropriate return. If conditions arise and we are not able or decide not to complete a project or if the expected cash flows of our project do not exceed the book value, an impairment of the project may be required. If additional phases of any of our existing projects or if any new projects are not successful, it may adversely affect our financial condition and results of operations.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During 2014, construction on Phase I of both Assembly Row and Pike &amp; Rose continued with portions of both projects opening in 2014 and the remainder of Phase I of both projects expected to be completed in 2015. Additionally, we plan to proceed with the development of Phase II at Pike &amp; Rose with construction expected to commence in the first half of 2015. At Santana Row, we completed and stabilized the new 212 unit residential building and commenced construction in Q4 2014 on a new 225,500 square foot office building. A further discussion of these projects, expected costs, and current status can be found in Item 7. Management's Discussion and Analysis of Financial Condition and Results of Operations in the "Outlook" subsection.</w:t>
      </w:r>
    </w:p>
    <w:p>
      <w:pPr>
        <w:spacing w:after="0" w:line="106"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and the specific risks above, the risks associated with our remaining development activities include:</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contractor changes may delay the completion of development projects and increase overall costs;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8"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delivery of residential product (both rental units and for sale condominium units) into uncertain residential environments may result in lower rents or sale prices than underwritten;</w:t>
      </w: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amount of our investment is related to infrastructure, the value of which may be negatively impacted if we do not complete subsequent phases;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8"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public funding from governmental agencies to fund infrastructure projects, including expected public funding in connection with our development at Assembly Row;</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third-party developer of office or other buildings may not deliver or may encounter delays in delivering space as planned;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securing key anchor or other tenants may impact occupancy rates and projected revenue;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8" w:lineRule="exact"/>
        <w:rPr>
          <w:rFonts w:ascii="Arial" w:cs="Arial" w:eastAsia="Arial" w:hAnsi="Arial"/>
          <w:sz w:val="18"/>
          <w:szCs w:val="18"/>
          <w:color w:val="auto"/>
        </w:rPr>
      </w:pPr>
    </w:p>
    <w:p>
      <w:pPr>
        <w:ind w:left="660" w:hanging="328"/>
        <w:spacing w:after="0" w:line="28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Our investment strategy includes the redevelopment and acquisition of high quality, retail focused properties in densely populated areas with high average household incomes and significant barriers to adding competitive retail supply. The redevelopment and acquisition of properties entail risks that include the following, any of which could adversely affect our results of operations and our ability to meet our obligations:</w:t>
      </w:r>
    </w:p>
    <w:p>
      <w:pPr>
        <w:spacing w:after="0" w:line="2" w:lineRule="exact"/>
        <w:rPr>
          <w:sz w:val="20"/>
          <w:szCs w:val="20"/>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identify suitable properties to acquire or may be unable to complete the acquisition of the properties we identify;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8"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ind w:left="660" w:right="20" w:hanging="328"/>
        <w:spacing w:after="0" w:line="26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pre-acquisition evaluation of the physical condition of each new investment may not detect certain defects or identify necessary repairs until after the property is acquired, which could significantly increase our total acquisition costs or decrease cash flow from the property; and</w:t>
      </w:r>
    </w:p>
    <w:p>
      <w:pPr>
        <w:spacing w:after="0" w:line="1" w:lineRule="exact"/>
        <w:rPr>
          <w:rFonts w:ascii="Arial" w:cs="Arial" w:eastAsia="Arial" w:hAnsi="Arial"/>
          <w:sz w:val="17"/>
          <w:szCs w:val="17"/>
          <w:color w:val="auto"/>
        </w:rPr>
      </w:pPr>
    </w:p>
    <w:p>
      <w:pPr>
        <w:ind w:left="660" w:right="580" w:hanging="328"/>
        <w:spacing w:after="0" w:line="323"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taxable income each year to continue to qualify as a REIT for federal income tax purposes. As a result, we must rely primarily upon the availability of debt or equity capital, which may or may not be available on favorable terms or at all. Debt could include the sale of debt securities and mortgage loans from third parties. If economic conditions and conditions in the capital markets are not favorable at the time we need to raise capital, we may need to obtain capital on less favorable terms. Additionally, we cannot guarantee that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financing, refinancing or other capital will be available in the amounts we desire or on favorable terms. Our access to debt or equity capital depends on a number of factors, including the market’s perception of our growth potential and risk profile, our ability to pay dividends, and our current and potential future earnings. Depending on the outcome of these factors as well as the impact of the economic environment, we could experience delay or difficulty in implementing our growth strategy on satisfactory terms, or be unable to implement this strategy.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Of our approximately $2.4 billion of debt outstanding as of December 31, 2014, approximately $284.4 million bears interest at variable rates of which $275.0 million is effectively fixed through two interest rate swap agreements. We have a $600.0 million revolving credit facility, on which no balance is outstanding at December 31, 2014, that bears interest at LIBOR plus 90 basis points.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The interest rate on our $275.0 million term loan is currently fixed at 2.62% as a result of two interest rate swap agreements. We may enter into this type of hedging arrangements or other transactions for all or a portion of our variable rate debt to limit our exposure to rising interest rates. However, the amounts we are required to pay under the term loan and any other variable rate debt to which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value of our debt and equity securities is subject to various factors that may cause significant fluctuations or volatility.</w:t>
      </w:r>
    </w:p>
    <w:p>
      <w:pPr>
        <w:spacing w:after="0" w:line="9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As with other publicly traded securities, the market price of our debt and equity securities depends on various factors, which may change from time to time and/or may be unrelated to our financial condition, operating performance or prospects that may cause significant fluctuations or volatility in such prices. These factors include, among others:</w:t>
      </w:r>
    </w:p>
    <w:p>
      <w:pPr>
        <w:spacing w:after="0" w:line="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and trend of interest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access the capital markets to raise additional capital;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additional equity or debt securities;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funds from operations (“FFO”) or earnings estimates;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debt or analyst ratings;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financial condition and performance;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our business compared to other REITs;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perception of REITs, in general, compared to other investment alternatives.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our key management could adversely affect performance and the value of our common shares.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common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8" w:lineRule="exact"/>
        <w:rPr>
          <w:rFonts w:ascii="Arial" w:cs="Arial" w:eastAsia="Arial" w:hAnsi="Arial"/>
          <w:sz w:val="18"/>
          <w:szCs w:val="18"/>
          <w:color w:val="auto"/>
        </w:rPr>
      </w:pPr>
    </w:p>
    <w:p>
      <w:pPr>
        <w:ind w:left="660" w:right="78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6" w:right="25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74" w:lineRule="exact"/>
        <w:rPr>
          <w:sz w:val="20"/>
          <w:szCs w:val="20"/>
          <w:color w:val="auto"/>
        </w:rPr>
      </w:pPr>
    </w:p>
    <w:p>
      <w:pPr>
        <w:ind w:left="660" w:right="160"/>
        <w:spacing w:after="0" w:line="324" w:lineRule="auto"/>
        <w:rPr>
          <w:sz w:val="20"/>
          <w:szCs w:val="20"/>
          <w:color w:val="auto"/>
        </w:rPr>
      </w:pPr>
      <w:r>
        <w:rPr>
          <w:rFonts w:ascii="Arial" w:cs="Arial" w:eastAsia="Arial" w:hAnsi="Arial"/>
          <w:sz w:val="18"/>
          <w:szCs w:val="18"/>
          <w:color w:val="auto"/>
        </w:rPr>
        <w:t>competition cause a reduction in revenues from one or more properties, although real estate taxes typically do not increase upon a reduction in such revenues.</w:t>
      </w:r>
    </w:p>
    <w:p>
      <w:pPr>
        <w:spacing w:after="0" w:line="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Each of these risks could result in decreases in market rental rates and increases in vacancy rates, which could adversely affect our financial condition and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redevelop may not produce any significant revenue immediately, and the cash flow from existing operations may be insufficient to pay the operating expenses and debt service associated with such new properties until they are fully occupied.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Retailers at our properties also face increasing competition from online retailers, outlet stores, discount shopping clubs and other forms of sales and marketing of goods, such as direct mail.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economic environment. Our inability to respond quickly to adverse changes in the performance of our investments could have an adverse effect on our ability to meet our obligations and make distributions to our shareholders.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carry comprehensive insurance on all of our properties, including insurance for liability, fire, flood, earthquake, environmental matters, rental loss and acts of terrorism. All of these policies contain coverage limitations. We believe these coverages are of the types and amounts customarily obtained for or by an owner of similar types of real property assets located in the areas where our properties are located. We intend to obtain similar insurance coverage on subsequently acquired properties.</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and other factors outside our control.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seriously disrupt our operations, delay revenue and result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large expenses to repair or rebuild the property. Also, due to inflation, changes in codes and ordinances, environmental considerations and other factors, it may not be feasible to use insurance proceeds to replace a building after it has been damaged or destroyed. Further, we may be unable to collect insurance proceeds if our insurers are unable to pay or contest a claim. Events such as these could adversely affect our results of operations and our ability to meet our obligations, including distributions to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organizational documents do not limit the amount of funds that we may invest in properties and assets owned jointly with other persons or entities. As of December 31, 2014, we held seven predominantly retail real estate projects jointly with other persons in addition to our joint venture with affiliates of a discretionary fund created and advised by ING Clarion Partners (“Clarion”) and properties owned in a “downREIT” structure. Additionally, in fourth quarter 2014, we entered into a joint venture agreement related to the hotel component of Phase II of our Pike &amp; Rose development project.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that those partners or co-investors might be in a position to take action contrary to our suggestions or instructions, or in opposition to our policies or objectives, and that disputes may develop with our joint venture partners over decisions affecting the property or the joint venture, which may result in litigation or arbitration or some other form of dispute resolution. Although as of December 31, 2014, we held the managing general partnership or membership interest in all of our existing co-investments (except the hotel investment discussed above) we generally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new anchor tenant leases, modify existing anchor tenant leases or enforce remedies against anchor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or finance the property with secured debt.</w:t>
      </w:r>
    </w:p>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joint venture with Clarion is subject to a buy-sell provision which is customary for real estate joint venture agreements and the industry. Either partner may initiate these provisions at any time, which could result in either the sale of our interest or the use of available cash or borrowings to acquire Clarion’s interest. Our investment in this joint venture is also subject to the risks described above for jointly owned investments. As of December 31, 2014, this joint venture owned six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to properly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6" w:right="2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expenditures and other costs associated with complying with these laws and regulations, which will adversely affect their potential profitability.</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Americans with Disabilities Act of 1990 could require us to take remedial steps with respect to existing or newly acquired properties.</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revenues generated by our tenants could be negatively affected by various federal, state and local laws to which they are subject.</w:t>
      </w:r>
    </w:p>
    <w:p>
      <w:pPr>
        <w:spacing w:after="0" w:line="10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98"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32" w:lineRule="exact"/>
        <w:rPr>
          <w:sz w:val="20"/>
          <w:szCs w:val="20"/>
          <w:color w:val="auto"/>
        </w:rPr>
      </w:pPr>
    </w:p>
    <w:p>
      <w:pPr>
        <w:ind w:right="340"/>
        <w:spacing w:after="0" w:line="307" w:lineRule="auto"/>
        <w:rPr>
          <w:sz w:val="20"/>
          <w:szCs w:val="20"/>
          <w:color w:val="auto"/>
        </w:rPr>
      </w:pPr>
      <w:r>
        <w:rPr>
          <w:rFonts w:ascii="Arial" w:cs="Arial" w:eastAsia="Arial" w:hAnsi="Arial"/>
          <w:sz w:val="17"/>
          <w:szCs w:val="17"/>
          <w:color w:val="auto"/>
        </w:rPr>
        <w:t>We believe that we are organized and qualified as a REIT for federal income tax purposes and currently intend to operate in a manner that will allow us to continue to qualify as a REIT under the Code. However, we cannot assure you that we will remain qualified as such in the future.</w:t>
      </w:r>
    </w:p>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taxable income. In addition, new legislation, new regulations, new administrative interpretations or new court decisions may significantly change the tax laws with respect to qualification as a REIT or the federal income tax consequences of such qualification. Any modification in the tax treatment of REITs could have a significant adverse impact to our net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8"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ind w:left="660" w:right="1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REIT, we must generally make annual distributions to shareholders of at least 90% of our taxable income. We are subject to income tax on amounts of undistributed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3" w:lineRule="exact"/>
        <w:rPr>
          <w:sz w:val="20"/>
          <w:szCs w:val="20"/>
          <w:color w:val="auto"/>
        </w:rPr>
      </w:pPr>
    </w:p>
    <w:p>
      <w:pPr>
        <w:ind w:left="660" w:right="1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income may not be matched by our related expenses at the time the income is considered received for purposes of determining taxable income; and</w:t>
      </w: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non-deductible capital expenditures, creation of reserves, or debt service requirements may reduce available cash but not taxable income.</w:t>
      </w:r>
    </w:p>
    <w:p>
      <w:pPr>
        <w:spacing w:after="0" w:line="16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Current tax law also allows us to pay a portion of our distributions in shares instead of cash.</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Code imposes certain limitations on the ownership of the stock of a REIT. For example, not more than 50% in value of our outstanding shares of capital stock may be owned, directly or indirectly, by five or fewer individuals (as defined in the Code) during the last half of any taxable year. To protect our REIT status, our declaration of trust prohibits any one 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of ownership would be void or the shares would be transferred to a charitable trust and then sold to someone who can own those shares without violating the 9.8% ownership limit.</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4" w:lineRule="exact"/>
        <w:rPr>
          <w:sz w:val="20"/>
          <w:szCs w:val="20"/>
          <w:color w:val="auto"/>
        </w:rPr>
      </w:pPr>
    </w:p>
    <w:p>
      <w:pPr>
        <w:ind w:right="540"/>
        <w:spacing w:after="0" w:line="273" w:lineRule="auto"/>
        <w:rPr>
          <w:sz w:val="20"/>
          <w:szCs w:val="20"/>
          <w:color w:val="auto"/>
        </w:rPr>
      </w:pPr>
      <w:r>
        <w:rPr>
          <w:rFonts w:ascii="Arial" w:cs="Arial" w:eastAsia="Arial" w:hAnsi="Arial"/>
          <w:sz w:val="17"/>
          <w:szCs w:val="17"/>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do not maintain or increase the dividend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6" w:right="27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ind w:left="660" w:right="3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w:t>
      </w:r>
    </w:p>
    <w:p>
      <w:pPr>
        <w:spacing w:after="0" w:line="15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0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current business plan adopted by our Board of Trustees focuses on our investment in high quality retail based properties that are typically neighborhood and community shopping centers or mixed-use properties, principally through redevelopments and acquisitions. If this business plan is not successful, it could have a material adverse effect on our financial condition and results of operations.</w:t>
      </w:r>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disasters and severe weather conditions could have an adverse impact on our cash flow and operating results.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Changing weather patterns and climatic conditions, such as global warming, may have added to the unpredictability and frequency of natural disasters and severe weather conditions and created additional uncertainty as to future trends and exposures. Our operations are located in areas that are subject to natural disasters and severe weather conditions such as hurricanes, earthquakes, droughts, snow storms, floods and fires. The occurrence of natural disasters or severe weather conditions can delay new development projects, increase investment costs to repair or replace damaged properties, increase operation costs, increase future property insurance costs, and negatively impact the tenant demand for lease space. If insurance is unavailable to us or is unavailable on acceptable terms, or if our insurance is not adequate to cover business interruption or losses from these events, our earnings, liquidity or capital resources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cybersecurity attacks that could cause loss of confidential information and other business disruptions.</w:t>
      </w:r>
    </w:p>
    <w:p>
      <w:pPr>
        <w:spacing w:after="0" w:line="94"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We rely extensively on computer systems to process transactions and manage our business, and our business is at risk from and may be impacted by cybersecurity attacks. These could include attempts to gain unauthorized access to our data and computer systems. Attacks can be both individual and/or highly organized attempts organized by very sophisticated hacking organizations. We employ a number of measures to prevent, detect and mitigate these threats, which include password encryption, frequent password change events, firewall detection systems, anti-virus software in-place, frequent backups, a redundant data system for core applications and annual penetration testing; however, there is no guarantee such efforts will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successful in preventing a cyber attack. A cybersecurity attack could compromise the confidential information of our employees, tenants and vendors. A successful attack could disrupt and otherwise adversely affect our business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may adversely impact our financial results.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Financial Accounting Standards Board ("FASB"), in conjunction with the SEC, has several key projects on their agenda that could impact how we currently account for our material transactions, including lease accounting and other convergence projects with the International Accounting Standards Board. At this time, we are unable to predict with certainty which, if any, proposals may be passed or what level of impact any such proposal could have on the presentation of our consolidated financial statements, our results of operations and our financial ratios required by our debt covenants.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December 31, 2014, we owned or had a majority ownership interest in community and neighborhood shopping centers and mixed-used properties which are operated as 89 predominantly retail real estate projects comprising approximately 20.2 million square feet. These properties are located primarily in densely populated and affluent communities in strategic metropolitan markets in the Northeast and Mid-Atlantic regions of the United States, as well as California. No single property accounted for over 10% of our 2014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2014, we had approximately 2,700 leases, with tenants ranging from sole proprietors to major national and international retailers. No one tenant or affiliated group of tenants accounted for more than 3.1% of our annualized base rent as of December 31, 2014. As a result of our tenant diversification, we believe our exposure to any one bankruptcy filing in the retail sector has not been and will not be significant, however, multiple filings by a number of retailers could have a significant impact.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4"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Our 89 real estate projects are located in 13 states and the District of Columbia. The following table shows the number of projects, the gross leasable area (“GLA”) of commercial space and the percentage of total portfolio gross leasable area of commercial space in each state as of December 31, 2014.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4"/>
              </w:rPr>
              <w:t>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Gross Leasable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Gross</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Leasable</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120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Projects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Area</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250"/>
        </w:trPr>
        <w:tc>
          <w:tcPr>
            <w:tcW w:w="6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 square feet)</w:t>
            </w: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3,851,000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Virginia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3,595,000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3,411,000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Pennsylvania(1)</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2,295,000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1,708,000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New Jersey</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1,688,000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751,000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Connecticut(1)</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398,000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Michigan</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172,000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District of Columbia</w:t>
            </w: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168,000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North Carolina</w:t>
            </w:r>
          </w:p>
        </w:tc>
        <w:tc>
          <w:tcPr>
            <w:tcW w:w="12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153,000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20,242,000</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Additionally, we own two participating mortgages totaling approximately $29.5 million secured by multiple buildings in Manayunk, Pennsylvania, and an $11.7 million mortgage secured by a shopping center in Norwalk, Connecticut.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94" w:lineRule="exact"/>
        <w:rPr>
          <w:sz w:val="20"/>
          <w:szCs w:val="20"/>
          <w:color w:val="auto"/>
        </w:rPr>
      </w:pPr>
    </w:p>
    <w:p>
      <w:pPr>
        <w:ind w:right="100"/>
        <w:spacing w:after="0" w:line="340"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Commercial property leases generally range from three to ten years; however, certain leases, primarily with anchor tenants, may be longer. Many of our leases contain tenant options that enable the tenant to extend the term of the lease at expiration at pre-established rental rates that often include fixed rent increases, consumer price index adjustments or other market rate adjustments from the prior base rent. Leases on residential units are generally for a period of one year or less and, in 2014, represented approximately 5.6% of total rental income.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2014 for each of the 10 years beginning with 2015 and after 2024 in the aggregate assuming that none of the tenants exercise future renewal options. Annualized base rents reflect in-place contractual rents as of December 31,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Leased</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Annualized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Leased Square</w:t>
            </w:r>
          </w:p>
        </w:tc>
        <w:tc>
          <w:tcPr>
            <w:tcW w:w="22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Base Rent</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Annualized Base Rent</w:t>
            </w:r>
          </w:p>
        </w:tc>
        <w:tc>
          <w:tcPr>
            <w:tcW w:w="0" w:type="dxa"/>
            <w:vAlign w:val="bottom"/>
          </w:tcPr>
          <w:p>
            <w:pPr>
              <w:spacing w:after="0"/>
              <w:rPr>
                <w:sz w:val="1"/>
                <w:szCs w:val="1"/>
                <w:color w:val="auto"/>
              </w:rPr>
            </w:pPr>
          </w:p>
        </w:tc>
      </w:tr>
      <w:tr>
        <w:trPr>
          <w:trHeight w:val="148"/>
        </w:trPr>
        <w:tc>
          <w:tcPr>
            <w:tcW w:w="4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 of Lease Expiration</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Footage</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Footage</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Represented by</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Represented by Expiring</w:t>
            </w:r>
          </w:p>
        </w:tc>
        <w:tc>
          <w:tcPr>
            <w:tcW w:w="0" w:type="dxa"/>
            <w:vAlign w:val="bottom"/>
          </w:tcPr>
          <w:p>
            <w:pPr>
              <w:spacing w:after="0"/>
              <w:rPr>
                <w:sz w:val="1"/>
                <w:szCs w:val="1"/>
                <w:color w:val="auto"/>
              </w:rPr>
            </w:pPr>
          </w:p>
        </w:tc>
      </w:tr>
      <w:tr>
        <w:trPr>
          <w:trHeight w:val="192"/>
        </w:trPr>
        <w:tc>
          <w:tcPr>
            <w:tcW w:w="4600" w:type="dxa"/>
            <w:vAlign w:val="bottom"/>
            <w:gridSpan w:val="2"/>
            <w:vMerge w:val="continue"/>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Expiring</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Expiring</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Expiring Leases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249"/>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1,203,000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30,857,000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1,907,000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51,812,000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2,602,000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66,746,000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2,425,000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59,936,000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2,619,000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63,209,000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1,471,000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37,669,000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34,128,000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1,257,000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31,054,000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27,175,000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1,002,000</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28,994,000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2,547,000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59,022,000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6"/>
        </w:trPr>
        <w:tc>
          <w:tcPr>
            <w:tcW w:w="460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19,172,000</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490,602,000</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2014, we signed leases for a total of 1,765,000 square feet of retail space including 1,545,000 square feet of comparable space leases (leases for which there was a prior tenant) at an average rental increase of 16% on a cash basis and 29% on a straight-line basis. New leases for comparable spaces were signed for 704,000 square feet at an average rental increase of 25% on a cash basis and 38% on a straight-line basis. Renewals for comparable spaces were signed for 840,000 square feet at an average rental increase of 11% on a cash basis and 23% on a straight-line basis. Tenant improvements and incentives for comparable spaces were $44.46 per square foot for new leases and $1.27 per square foot for renewals in 2014.</w:t>
      </w:r>
    </w:p>
    <w:p>
      <w:pPr>
        <w:spacing w:after="0" w:line="4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For 2013, we signed leases for a total of 1,629,000 square feet of retail space including 1,370,000 square feet of comparable space leases (leases for which there was a prior tenant) at an average rental increase of 20% on a cash basis and 33% on a straight-line basis. New leases for comparable spaces were signed for 586,000 square feet at an average rental increase of 35% on a cash basis and 51% on a straight-line basis. Renewals for comparable spaces were signed for 784,000 square feet at an average rental increase of 10% on a cash basis and 21% on a straight-line basis. Tenant improvements and incentives for comparable spaces were $45.83 per square foot for new leases and $1.70 for renewal leases in 2013.</w:t>
      </w:r>
    </w:p>
    <w:p>
      <w:pPr>
        <w:spacing w:after="0" w:line="12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leases signed in 2014 generally become effective over the following two years though some may not become effective until 2017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2015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otherwise controlled and are consolidated as of December 31, 2014.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31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California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150 Post Street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1908, 1965</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104,000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$44.73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San Francisco, CA 94108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Colorado Blvd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1905-1988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1996/1998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69,000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$39.48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Pasadena, CA 91103(4)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Crow Canyon Commons</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1980, 1998,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2005/2007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241,000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$22.12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Sprouts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San Ramon, CA 94583</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2006</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Rite Aid Sports Authority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1994-2001,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438,000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$15.71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Home Depot Michaels Pak-N-Save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Emeryville &amp; Oakland, CA 94608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2011, 2012</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Escondido Promenade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1996/2010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298,000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$23.58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Escondido, CA 92029(5)</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Hermosa Avenue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1922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24,000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$36.92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Hermosa Beach, CA 90254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Hollywood Blvd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1929, 1991</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1999</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187,000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$30.53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Marshalls La La Land DSW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Hollywood, CA 90028(6)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Fresh &amp; Easy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Kings Court</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80,000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$31.11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Los Gatos, CA 95032(4)(7)</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Old Town Center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1962, 1998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$37.26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Gap</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Los Gatos, CA 95030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Banana Republic Anthropologie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Plaza El Segundo</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2011</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380,000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$37.88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H&amp;M</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El Segundo, CA 90245(5)(10)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Dick's Sporting Goods Container</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Santana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2002, 2009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649,000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$49.44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H&amp;M Crate &amp; Barrel</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San Jose, CA 95128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Residential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w w:val="94"/>
              </w:rPr>
              <w:t>1997, 2012</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662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San Jose, CA 95128</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2011, 2014</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1888-2000</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1996-2000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209,000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$69.57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Santa Monica, CA 90401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Westgate Center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1960-1966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637,000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$16.11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Nike Factory Target Walmart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San Jose, CA 95129</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Neighborhood Market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Michaels Nordstrom Rack J. Crew</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Gap Factory Store</w:t>
            </w:r>
          </w:p>
        </w:tc>
        <w:tc>
          <w:tcPr>
            <w:tcW w:w="0" w:type="dxa"/>
            <w:vAlign w:val="bottom"/>
          </w:tcPr>
          <w:p>
            <w:pPr>
              <w:spacing w:after="0"/>
              <w:rPr>
                <w:sz w:val="1"/>
                <w:szCs w:val="1"/>
                <w:color w:val="auto"/>
              </w:rPr>
            </w:pPr>
          </w:p>
        </w:tc>
      </w:tr>
      <w:tr>
        <w:trPr>
          <w:trHeight w:val="162"/>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Connecticut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Bristol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$12.89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91%</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Bristol, CT 06010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Darien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1920-2009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$28.04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Stop &amp; Shop Equinox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Darien, CT 06820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Foot(2)</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20" w:type="dxa"/>
            <w:vAlign w:val="bottom"/>
            <w:tcBorders>
              <w:bottom w:val="single" w:sz="8" w:color="CCEEFF"/>
            </w:tcBorders>
          </w:tcPr>
          <w:p>
            <w:pPr>
              <w:spacing w:after="0"/>
              <w:rPr>
                <w:sz w:val="17"/>
                <w:szCs w:val="17"/>
                <w:color w:val="auto"/>
              </w:rPr>
            </w:pPr>
          </w:p>
        </w:tc>
        <w:tc>
          <w:tcPr>
            <w:tcW w:w="21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020" w:type="dxa"/>
            <w:vAlign w:val="bottom"/>
            <w:gridSpan w:val="7"/>
            <w:shd w:val="clear" w:color="auto" w:fill="CCEEFF"/>
          </w:tcPr>
          <w:p>
            <w:pPr>
              <w:ind w:left="40"/>
              <w:spacing w:after="0" w:line="156" w:lineRule="exact"/>
              <w:rPr>
                <w:sz w:val="20"/>
                <w:szCs w:val="20"/>
                <w:color w:val="auto"/>
              </w:rPr>
            </w:pPr>
            <w:r>
              <w:rPr>
                <w:rFonts w:ascii="Arial" w:cs="Arial" w:eastAsia="Arial" w:hAnsi="Arial"/>
                <w:sz w:val="14"/>
                <w:szCs w:val="14"/>
                <w:color w:val="auto"/>
              </w:rPr>
              <w:t>Greenwich Avenue</w:t>
            </w:r>
          </w:p>
        </w:tc>
        <w:tc>
          <w:tcPr>
            <w:tcW w:w="11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36,000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3"/>
              </w:rPr>
              <w:t>$61.00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Greenwich Avenue, CT 06830</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2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District of Columbia</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Friendship Center</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119,000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$28.12</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Marshalls DSW Maggiano’s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6"/>
          </w:tcPr>
          <w:p>
            <w:pPr>
              <w:ind w:left="140"/>
              <w:spacing w:after="0"/>
              <w:rPr>
                <w:sz w:val="20"/>
                <w:szCs w:val="20"/>
                <w:color w:val="auto"/>
              </w:rPr>
            </w:pPr>
            <w:r>
              <w:rPr>
                <w:rFonts w:ascii="Arial" w:cs="Arial" w:eastAsia="Arial" w:hAnsi="Arial"/>
                <w:sz w:val="14"/>
                <w:szCs w:val="14"/>
                <w:color w:val="auto"/>
              </w:rPr>
              <w:t>Washington, DC 20015</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Nordstrom Rack</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Sam’s Park &amp; Shop</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1930</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$40.60</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79%</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Washington, DC 20008</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20" w:type="dxa"/>
            <w:vAlign w:val="bottom"/>
            <w:gridSpan w:val="7"/>
          </w:tcPr>
          <w:p>
            <w:pPr>
              <w:ind w:left="40"/>
              <w:spacing w:after="0"/>
              <w:rPr>
                <w:sz w:val="20"/>
                <w:szCs w:val="20"/>
                <w:color w:val="auto"/>
              </w:rPr>
            </w:pPr>
            <w:r>
              <w:rPr>
                <w:rFonts w:ascii="Arial" w:cs="Arial" w:eastAsia="Arial" w:hAnsi="Arial"/>
                <w:sz w:val="14"/>
                <w:szCs w:val="14"/>
                <w:b w:val="1"/>
                <w:bCs w:val="1"/>
                <w:color w:val="auto"/>
              </w:rPr>
              <w:t>Florida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Courtyard Shops</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1990, 1998</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130,000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$20.62</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Publix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Wellington, FL 33414</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Del Mar Village</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94"/>
              </w:rPr>
              <w:t>1982, 1994 &amp; 2007</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3"/>
              </w:rPr>
              <w:t>2008/2014</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194,000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$15.53</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75%</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6"/>
          </w:tcPr>
          <w:p>
            <w:pPr>
              <w:ind w:left="140"/>
              <w:spacing w:after="0"/>
              <w:rPr>
                <w:sz w:val="20"/>
                <w:szCs w:val="20"/>
                <w:color w:val="auto"/>
              </w:rPr>
            </w:pPr>
            <w:r>
              <w:rPr>
                <w:rFonts w:ascii="Arial" w:cs="Arial" w:eastAsia="Arial" w:hAnsi="Arial"/>
                <w:sz w:val="14"/>
                <w:szCs w:val="14"/>
                <w:color w:val="auto"/>
              </w:rPr>
              <w:t>Boca Raton, FL 33433</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Tower Shops</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2011/2014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374,000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$18.83</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99%</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Ulta Best Buy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Davie, FL 33324</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2"/>
        </w:trPr>
        <w:tc>
          <w:tcPr>
            <w:tcW w:w="3020" w:type="dxa"/>
            <w:vAlign w:val="bottom"/>
            <w:gridSpan w:val="7"/>
          </w:tcPr>
          <w:p>
            <w:pPr>
              <w:ind w:left="40"/>
              <w:spacing w:after="0"/>
              <w:rPr>
                <w:sz w:val="20"/>
                <w:szCs w:val="20"/>
                <w:color w:val="auto"/>
              </w:rPr>
            </w:pPr>
            <w:r>
              <w:rPr>
                <w:rFonts w:ascii="Arial" w:cs="Arial" w:eastAsia="Arial" w:hAnsi="Arial"/>
                <w:sz w:val="14"/>
                <w:szCs w:val="14"/>
                <w:b w:val="1"/>
                <w:bCs w:val="1"/>
                <w:color w:val="auto"/>
              </w:rPr>
              <w:t>Illinois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Crossroads</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$21.39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Highland Park, IL 60035</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Finley Square</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314,000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$11.58</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Downers Grove, IL 60515</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Garden Market</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140,000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$12.68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95%</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6"/>
              </w:rPr>
              <w:t>Mariano's Fresh Market Walgreens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Western Springs, IL 60558</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North Lake Commons</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129,000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$12.18</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Jewel Osco</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6"/>
          </w:tcPr>
          <w:p>
            <w:pPr>
              <w:ind w:left="140"/>
              <w:spacing w:after="0"/>
              <w:rPr>
                <w:sz w:val="20"/>
                <w:szCs w:val="20"/>
                <w:color w:val="auto"/>
              </w:rPr>
            </w:pPr>
            <w:r>
              <w:rPr>
                <w:rFonts w:ascii="Arial" w:cs="Arial" w:eastAsia="Arial" w:hAnsi="Arial"/>
                <w:sz w:val="14"/>
                <w:szCs w:val="14"/>
                <w:color w:val="auto"/>
              </w:rPr>
              <w:t>Lake Zurich, IL 60047</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020" w:type="dxa"/>
            <w:vAlign w:val="bottom"/>
            <w:gridSpan w:val="7"/>
            <w:shd w:val="clear" w:color="auto" w:fill="CCEEFF"/>
          </w:tcPr>
          <w:p>
            <w:pPr>
              <w:ind w:left="40"/>
              <w:spacing w:after="0"/>
              <w:rPr>
                <w:sz w:val="20"/>
                <w:szCs w:val="20"/>
                <w:color w:val="auto"/>
              </w:rPr>
            </w:pPr>
            <w:r>
              <w:rPr>
                <w:rFonts w:ascii="Arial" w:cs="Arial" w:eastAsia="Arial" w:hAnsi="Arial"/>
                <w:sz w:val="14"/>
                <w:szCs w:val="14"/>
                <w:b w:val="1"/>
                <w:bCs w:val="1"/>
                <w:color w:val="auto"/>
              </w:rPr>
              <w:t>Maryland</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6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Bethesda Row</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92"/>
              </w:rPr>
              <w:t>1945-1991 2001,</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2"/>
              </w:rPr>
              <w:t>1993-2006</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533,000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$48.08</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Apple Computer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Bethesda, MD 20814(4)</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2008</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3"/>
              </w:rPr>
              <w:t>2008/2010</w:t>
            </w: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Equinox Giant Food</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Bethesda Row Residential</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180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96%</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Bethesda, MD 20814</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328,000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$35.73</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Rockville, MD 20852(5)</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w w:val="96"/>
              </w:rPr>
              <w:t>Last Call Studio by Neiman Marcus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w w:val="98"/>
              </w:rPr>
              <w:t>Container Store The Fresh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 Residential</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2003</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1965</w:t>
            </w: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146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4"/>
                <w:szCs w:val="14"/>
                <w:color w:val="auto"/>
              </w:rPr>
              <w:t>Rockville, MD 20852(5)</w:t>
            </w: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Courthouse Center</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$23.53</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67%</w:t>
            </w: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6"/>
          </w:tcPr>
          <w:p>
            <w:pPr>
              <w:ind w:left="140"/>
              <w:spacing w:after="0"/>
              <w:rPr>
                <w:sz w:val="20"/>
                <w:szCs w:val="20"/>
                <w:color w:val="auto"/>
              </w:rPr>
            </w:pPr>
            <w:r>
              <w:rPr>
                <w:rFonts w:ascii="Arial" w:cs="Arial" w:eastAsia="Arial" w:hAnsi="Arial"/>
                <w:sz w:val="14"/>
                <w:szCs w:val="14"/>
                <w:color w:val="auto"/>
              </w:rPr>
              <w:t>Rockville, MD 20852</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Federal Plaza</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248,000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$33.78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Rockville, MD 20852</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Free State Shopping Center</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279,000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$16.54</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87%</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980" w:type="dxa"/>
            <w:vAlign w:val="bottom"/>
            <w:gridSpan w:val="6"/>
          </w:tcPr>
          <w:p>
            <w:pPr>
              <w:ind w:left="140"/>
              <w:spacing w:after="0" w:line="149" w:lineRule="exact"/>
              <w:rPr>
                <w:sz w:val="20"/>
                <w:szCs w:val="20"/>
                <w:color w:val="auto"/>
              </w:rPr>
            </w:pPr>
            <w:r>
              <w:rPr>
                <w:rFonts w:ascii="Arial" w:cs="Arial" w:eastAsia="Arial" w:hAnsi="Arial"/>
                <w:sz w:val="14"/>
                <w:szCs w:val="14"/>
                <w:color w:val="auto"/>
              </w:rPr>
              <w:t>Bowie, MD 20715(9)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020" w:type="dxa"/>
            <w:vAlign w:val="bottom"/>
            <w:gridSpan w:val="7"/>
            <w:shd w:val="clear" w:color="auto" w:fill="CCEEFF"/>
          </w:tcPr>
          <w:p>
            <w:pPr>
              <w:ind w:left="40"/>
              <w:spacing w:after="0" w:line="157" w:lineRule="exact"/>
              <w:rPr>
                <w:sz w:val="20"/>
                <w:szCs w:val="20"/>
                <w:color w:val="auto"/>
              </w:rPr>
            </w:pPr>
            <w:r>
              <w:rPr>
                <w:rFonts w:ascii="Arial" w:cs="Arial" w:eastAsia="Arial" w:hAnsi="Arial"/>
                <w:sz w:val="14"/>
                <w:szCs w:val="14"/>
                <w:color w:val="auto"/>
              </w:rPr>
              <w:t>Gaithersburg Square</w:t>
            </w:r>
          </w:p>
        </w:tc>
        <w:tc>
          <w:tcPr>
            <w:tcW w:w="11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$26.55</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91%</w:t>
            </w:r>
          </w:p>
        </w:tc>
        <w:tc>
          <w:tcPr>
            <w:tcW w:w="120" w:type="dxa"/>
            <w:vAlign w:val="bottom"/>
            <w:shd w:val="clear" w:color="auto" w:fill="CCEEFF"/>
          </w:tcPr>
          <w:p>
            <w:pPr>
              <w:spacing w:after="0"/>
              <w:rPr>
                <w:sz w:val="13"/>
                <w:szCs w:val="13"/>
                <w:color w:val="auto"/>
              </w:rPr>
            </w:pPr>
          </w:p>
        </w:tc>
        <w:tc>
          <w:tcPr>
            <w:tcW w:w="2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2980" w:type="dxa"/>
            <w:vAlign w:val="bottom"/>
            <w:gridSpan w:val="6"/>
            <w:shd w:val="clear" w:color="auto" w:fill="CCEEFF"/>
          </w:tcPr>
          <w:p>
            <w:pPr>
              <w:ind w:left="140"/>
              <w:spacing w:after="0" w:line="149" w:lineRule="exact"/>
              <w:rPr>
                <w:sz w:val="20"/>
                <w:szCs w:val="20"/>
                <w:color w:val="auto"/>
              </w:rPr>
            </w:pPr>
            <w:r>
              <w:rPr>
                <w:rFonts w:ascii="Arial" w:cs="Arial" w:eastAsia="Arial" w:hAnsi="Arial"/>
                <w:sz w:val="14"/>
                <w:szCs w:val="14"/>
                <w:color w:val="auto"/>
              </w:rPr>
              <w:t>Gaithersburg, MD 20878</w:t>
            </w: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Ross Dress For Less Ashley</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HomeStore</w:t>
            </w:r>
          </w:p>
        </w:tc>
        <w:tc>
          <w:tcPr>
            <w:tcW w:w="0" w:type="dxa"/>
            <w:vAlign w:val="bottom"/>
          </w:tcPr>
          <w:p>
            <w:pPr>
              <w:spacing w:after="0"/>
              <w:rPr>
                <w:sz w:val="1"/>
                <w:szCs w:val="1"/>
                <w:color w:val="auto"/>
              </w:rPr>
            </w:pPr>
          </w:p>
        </w:tc>
      </w:tr>
      <w:tr>
        <w:trPr>
          <w:trHeight w:val="157"/>
        </w:trPr>
        <w:tc>
          <w:tcPr>
            <w:tcW w:w="3020" w:type="dxa"/>
            <w:vAlign w:val="bottom"/>
            <w:gridSpan w:val="7"/>
          </w:tcPr>
          <w:p>
            <w:pPr>
              <w:ind w:left="40"/>
              <w:spacing w:after="0" w:line="157" w:lineRule="exact"/>
              <w:rPr>
                <w:sz w:val="20"/>
                <w:szCs w:val="20"/>
                <w:color w:val="auto"/>
              </w:rPr>
            </w:pPr>
            <w:r>
              <w:rPr>
                <w:rFonts w:ascii="Arial" w:cs="Arial" w:eastAsia="Arial" w:hAnsi="Arial"/>
                <w:sz w:val="14"/>
                <w:szCs w:val="14"/>
                <w:color w:val="auto"/>
              </w:rPr>
              <w:t>Governor Plaza</w:t>
            </w:r>
          </w:p>
        </w:tc>
        <w:tc>
          <w:tcPr>
            <w:tcW w:w="1160" w:type="dxa"/>
            <w:vAlign w:val="bottom"/>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$18.39</w:t>
            </w:r>
          </w:p>
        </w:tc>
        <w:tc>
          <w:tcPr>
            <w:tcW w:w="100" w:type="dxa"/>
            <w:vAlign w:val="bottom"/>
          </w:tcPr>
          <w:p>
            <w:pPr>
              <w:spacing w:after="0"/>
              <w:rPr>
                <w:sz w:val="13"/>
                <w:szCs w:val="13"/>
                <w:color w:val="auto"/>
              </w:rPr>
            </w:pP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2"/>
              </w:rPr>
              <w:t>97%</w:t>
            </w:r>
          </w:p>
        </w:tc>
        <w:tc>
          <w:tcPr>
            <w:tcW w:w="120" w:type="dxa"/>
            <w:vAlign w:val="bottom"/>
          </w:tcPr>
          <w:p>
            <w:pPr>
              <w:spacing w:after="0"/>
              <w:rPr>
                <w:sz w:val="13"/>
                <w:szCs w:val="13"/>
                <w:color w:val="auto"/>
              </w:rPr>
            </w:pPr>
          </w:p>
        </w:tc>
        <w:tc>
          <w:tcPr>
            <w:tcW w:w="2140" w:type="dxa"/>
            <w:vAlign w:val="bottom"/>
          </w:tcPr>
          <w:p>
            <w:pPr>
              <w:ind w:left="20"/>
              <w:spacing w:after="0" w:line="157" w:lineRule="exact"/>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980" w:type="dxa"/>
            <w:vAlign w:val="bottom"/>
            <w:gridSpan w:val="6"/>
          </w:tcPr>
          <w:p>
            <w:pPr>
              <w:ind w:left="140"/>
              <w:spacing w:after="0"/>
              <w:rPr>
                <w:sz w:val="20"/>
                <w:szCs w:val="20"/>
                <w:color w:val="auto"/>
              </w:rPr>
            </w:pPr>
            <w:r>
              <w:rPr>
                <w:rFonts w:ascii="Arial" w:cs="Arial" w:eastAsia="Arial" w:hAnsi="Arial"/>
                <w:sz w:val="14"/>
                <w:szCs w:val="14"/>
                <w:color w:val="auto"/>
              </w:rPr>
              <w:t>Glen Burnie, MD 21961</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ind w:left="20"/>
              <w:spacing w:after="0"/>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4"/>
                <w:szCs w:val="14"/>
                <w:color w:val="auto"/>
              </w:rPr>
              <w:t>Laurel</w:t>
            </w: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1956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1986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0"/>
              </w:rPr>
              <w:t>389,000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8"/>
              </w:rPr>
              <w:t>$22.11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9"/>
              </w:rPr>
              <w:t>80%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L.A. Fitness 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Laurel, MD 20707</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Montrose Crossing</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1960-1979,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0"/>
              </w:rPr>
              <w:t>2011/2013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363,000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$24.55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A.C. Moore Giant Food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Rockville, MD 20852 (5)(10)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1996, 2011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63"/>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Perring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395,000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$14.23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Micro Center Burlington Coat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Baltimore, MD 21134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Pike &amp; Rose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1963, 2014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1982/2007/2012</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$44.96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iPic Theater Gap/Gap Kids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North Bethesda, MD 20852 (12)</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Residential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1982/2007</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174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85%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North Bethesda, MD 20852 (12)</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96,000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$35.56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62%</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Silver Spring, MD 20906(9)</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$21.86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HomeGoods L.A. Fitness Staples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Gaithersburg, MD 20877(4)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Rockville Town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187,000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$29.82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Rockville, MD 20852 (8)</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Rollingwood Apartments</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w w:val="94"/>
              </w:rPr>
              <w:t>282 units</w:t>
            </w:r>
          </w:p>
        </w:tc>
        <w:tc>
          <w:tcPr>
            <w:tcW w:w="1360" w:type="dxa"/>
            <w:vAlign w:val="bottom"/>
            <w:gridSpan w:val="2"/>
            <w:shd w:val="clear" w:color="auto" w:fill="CCEEFF"/>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Silver Spring, MD 20910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9 three-story buildings(10)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THE AVENUE at White Marsh</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298,000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$24.07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Baltimore, MD 21236(7)(10)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The Shoppes at Nottingham Square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2005-2006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32,000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$46.75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White Marsh Other</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73,000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$29.62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White Marsh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80,000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$21.70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Baltimore, MD 21236</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Wildwood</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84,000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$90.51</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Bethesda, MD 20814(10)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Massachusetts</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20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Assembly Row/</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2005, 2014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2005-2011, 2013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657,000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$22.49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AMC Theatres LEGOLAND</w:t>
            </w:r>
          </w:p>
        </w:tc>
        <w:tc>
          <w:tcPr>
            <w:tcW w:w="0" w:type="dxa"/>
            <w:vAlign w:val="bottom"/>
          </w:tcPr>
          <w:p>
            <w:pPr>
              <w:spacing w:after="0"/>
              <w:rPr>
                <w:sz w:val="1"/>
                <w:szCs w:val="1"/>
                <w:color w:val="auto"/>
              </w:rPr>
            </w:pPr>
          </w:p>
        </w:tc>
      </w:tr>
      <w:tr>
        <w:trPr>
          <w:trHeight w:val="148"/>
        </w:trPr>
        <w:tc>
          <w:tcPr>
            <w:tcW w:w="3100" w:type="dxa"/>
            <w:vAlign w:val="bottom"/>
            <w:gridSpan w:val="4"/>
          </w:tcPr>
          <w:p>
            <w:pPr>
              <w:ind w:left="40"/>
              <w:spacing w:after="0" w:line="149" w:lineRule="exact"/>
              <w:rPr>
                <w:sz w:val="20"/>
                <w:szCs w:val="20"/>
                <w:color w:val="auto"/>
              </w:rPr>
            </w:pPr>
            <w:r>
              <w:rPr>
                <w:rFonts w:ascii="Arial" w:cs="Arial" w:eastAsia="Arial" w:hAnsi="Arial"/>
                <w:sz w:val="14"/>
                <w:szCs w:val="14"/>
                <w:color w:val="auto"/>
              </w:rPr>
              <w:t>Assembly Square Marketplace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Discovery Center Saks Fifth</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Somerville, MA 02145 (12)</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Avenue Off 5th Nike Factory J.</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Crew Legal on the Mystic Bed,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Bath &amp; Beyond</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63"/>
        </w:trPr>
        <w:tc>
          <w:tcPr>
            <w:tcW w:w="31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Atlantic Plaza</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123,000</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$17.10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88%</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North Reading, MA 01864(9)</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Campus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1970</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116,000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$14.70</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Roche Brothers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Bridgewater, MA 02324(9)</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Chelsea Commons</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1962-1969, 2008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2006-2008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222,000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$11.41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Chelsea, MA 02150(10)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Planet Fitness</w:t>
            </w: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Chelsea Commons Residential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2008</w:t>
            </w: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3"/>
              </w:rPr>
              <w:t>56 units</w:t>
            </w:r>
          </w:p>
        </w:tc>
        <w:tc>
          <w:tcPr>
            <w:tcW w:w="136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rPr>
              <w:t>N/A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Chelsea, MA 02150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Dedham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241,000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$15.92</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Dedham, MA 02026</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Linden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1960, 2008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223,000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$45.64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Roche Brothers Supermarket</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3"/>
          </w:tcPr>
          <w:p>
            <w:pPr>
              <w:ind w:left="140"/>
              <w:spacing w:after="0"/>
              <w:rPr>
                <w:sz w:val="20"/>
                <w:szCs w:val="20"/>
                <w:color w:val="auto"/>
              </w:rPr>
            </w:pPr>
            <w:r>
              <w:rPr>
                <w:rFonts w:ascii="Arial" w:cs="Arial" w:eastAsia="Arial" w:hAnsi="Arial"/>
                <w:sz w:val="14"/>
                <w:szCs w:val="14"/>
                <w:color w:val="auto"/>
              </w:rPr>
              <w:t>Wellesley, MA 02481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4"/>
            <w:shd w:val="clear" w:color="auto" w:fill="CCEEFF"/>
          </w:tcPr>
          <w:p>
            <w:pPr>
              <w:ind w:left="40"/>
              <w:spacing w:after="0" w:line="157" w:lineRule="exact"/>
              <w:rPr>
                <w:sz w:val="20"/>
                <w:szCs w:val="20"/>
                <w:color w:val="auto"/>
              </w:rPr>
            </w:pPr>
            <w:r>
              <w:rPr>
                <w:rFonts w:ascii="Arial" w:cs="Arial" w:eastAsia="Arial" w:hAnsi="Arial"/>
                <w:sz w:val="14"/>
                <w:szCs w:val="14"/>
                <w:color w:val="auto"/>
              </w:rPr>
              <w:t>North Dartmouth</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48,000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$15.71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North Dartmouth, MA 02747</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Queen Anne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149,000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$16.44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Norwell, MA 02061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8"/>
            <w:shd w:val="clear" w:color="auto" w:fill="CCEEFF"/>
          </w:tcPr>
          <w:p>
            <w:pPr>
              <w:ind w:left="40"/>
              <w:spacing w:after="0" w:line="156" w:lineRule="exact"/>
              <w:rPr>
                <w:sz w:val="20"/>
                <w:szCs w:val="20"/>
                <w:color w:val="auto"/>
              </w:rPr>
            </w:pPr>
            <w:r>
              <w:rPr>
                <w:rFonts w:ascii="Arial" w:cs="Arial" w:eastAsia="Arial" w:hAnsi="Arial"/>
                <w:sz w:val="14"/>
                <w:szCs w:val="14"/>
                <w:color w:val="auto"/>
              </w:rPr>
              <w:t>Saugus Plaza</w:t>
            </w: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1976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0"/>
              </w:rPr>
              <w:t>168,000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8"/>
              </w:rPr>
              <w:t>$11.66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Saugus, MA 01906</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Michigan</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Gratiot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217,000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$11.59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Roseville, MI 48066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North Carolina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Eastgate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153,000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$24.15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Chapel Hill, NC 27514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391"/>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New Jersey</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Brick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1989</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422,000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$17.12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A&amp;P Supermarket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Brick Township, NJ 08723(4)(10)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Brook 35</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1986, 2004</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98,000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$33.31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Ann Taylor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Sea Girt, NJ 08750(5)(7)(10)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Coach</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Ellisburg</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1992</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268,000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$15.35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Whole Foods Buy Buy Baby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7"/>
          </w:tcPr>
          <w:p>
            <w:pPr>
              <w:ind w:left="140"/>
              <w:spacing w:after="0"/>
              <w:rPr>
                <w:sz w:val="20"/>
                <w:szCs w:val="20"/>
                <w:color w:val="auto"/>
              </w:rPr>
            </w:pPr>
            <w:r>
              <w:rPr>
                <w:rFonts w:ascii="Arial" w:cs="Arial" w:eastAsia="Arial" w:hAnsi="Arial"/>
                <w:sz w:val="14"/>
                <w:szCs w:val="14"/>
                <w:color w:val="auto"/>
              </w:rPr>
              <w:t>Cherry Hill, NJ 08034</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Mercer Mall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501,000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$24.25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Lawrenceville, NJ 08648(4)(8)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The Grove at Shrewsbury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1988, 1993 &amp;</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192,000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$41.94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Lululemon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Shrewsbury, NJ 07702(5)(7)(10)</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9"/>
              </w:rPr>
              <w:t>2007</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Williams-Sonoma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Troy</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207,000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$21.17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Pathmark</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Parsippany-Troy, NJ 07054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62"/>
        </w:trPr>
        <w:tc>
          <w:tcPr>
            <w:tcW w:w="3100" w:type="dxa"/>
            <w:vAlign w:val="bottom"/>
            <w:gridSpan w:val="8"/>
          </w:tcPr>
          <w:p>
            <w:pPr>
              <w:ind w:left="40"/>
              <w:spacing w:after="0"/>
              <w:rPr>
                <w:sz w:val="20"/>
                <w:szCs w:val="20"/>
                <w:color w:val="auto"/>
              </w:rPr>
            </w:pPr>
            <w:r>
              <w:rPr>
                <w:rFonts w:ascii="Arial" w:cs="Arial" w:eastAsia="Arial" w:hAnsi="Arial"/>
                <w:sz w:val="14"/>
                <w:szCs w:val="14"/>
                <w:b w:val="1"/>
                <w:bCs w:val="1"/>
                <w:color w:val="auto"/>
              </w:rPr>
              <w:t>New York</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Fresh Meadows</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1949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404,000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$29.56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Island of Gold Modell's AMC</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Queens, NY 11365</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Loews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Kohl’s Michaels</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Greenlawn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1975, 2004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106,000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$17.38</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7"/>
          </w:tcPr>
          <w:p>
            <w:pPr>
              <w:ind w:left="140"/>
              <w:spacing w:after="0"/>
              <w:rPr>
                <w:sz w:val="20"/>
                <w:szCs w:val="20"/>
                <w:color w:val="auto"/>
              </w:rPr>
            </w:pPr>
            <w:r>
              <w:rPr>
                <w:rFonts w:ascii="Arial" w:cs="Arial" w:eastAsia="Arial" w:hAnsi="Arial"/>
                <w:sz w:val="14"/>
                <w:szCs w:val="14"/>
                <w:color w:val="auto"/>
              </w:rPr>
              <w:t>Greenlawn, NY 11743(9)(10)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Tuesday Morning</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Hauppauge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1963</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134,000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$27.77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Hauppauge, NY 11788(10)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Huntington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1962</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1988/2007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279,000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$25.66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Nordstrom Rack Bed, Bath &amp;</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Huntington, NY 11746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1980, 2007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74,000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$26.67</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East Northport, NY 11731(4)</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Melville Mall</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246,000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$22.49</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63%</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Dick's Sporting Goods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Huntington, NY 11747(4)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100" w:type="dxa"/>
            <w:vAlign w:val="bottom"/>
            <w:gridSpan w:val="8"/>
            <w:shd w:val="clear" w:color="auto" w:fill="CCEEFF"/>
          </w:tcPr>
          <w:p>
            <w:pPr>
              <w:ind w:left="40"/>
              <w:spacing w:after="0"/>
              <w:rPr>
                <w:sz w:val="20"/>
                <w:szCs w:val="20"/>
                <w:color w:val="auto"/>
              </w:rPr>
            </w:pPr>
            <w:r>
              <w:rPr>
                <w:rFonts w:ascii="Arial" w:cs="Arial" w:eastAsia="Arial" w:hAnsi="Arial"/>
                <w:sz w:val="14"/>
                <w:szCs w:val="14"/>
                <w:b w:val="1"/>
                <w:bCs w:val="1"/>
                <w:color w:val="auto"/>
              </w:rPr>
              <w:t>Pennsylvania</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8"/>
          </w:tcPr>
          <w:p>
            <w:pPr>
              <w:ind w:left="40"/>
              <w:spacing w:after="0" w:line="157" w:lineRule="exact"/>
              <w:rPr>
                <w:sz w:val="20"/>
                <w:szCs w:val="20"/>
                <w:color w:val="auto"/>
              </w:rPr>
            </w:pPr>
            <w:r>
              <w:rPr>
                <w:rFonts w:ascii="Arial" w:cs="Arial" w:eastAsia="Arial" w:hAnsi="Arial"/>
                <w:sz w:val="14"/>
                <w:szCs w:val="14"/>
                <w:color w:val="auto"/>
              </w:rPr>
              <w:t>Andorra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265,000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$15.64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Philadelphia, PA 19128</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8"/>
            <w:shd w:val="clear" w:color="auto" w:fill="CCEEFF"/>
          </w:tcPr>
          <w:p>
            <w:pPr>
              <w:ind w:left="40"/>
              <w:spacing w:after="0" w:line="157" w:lineRule="exact"/>
              <w:rPr>
                <w:sz w:val="20"/>
                <w:szCs w:val="20"/>
                <w:color w:val="auto"/>
              </w:rPr>
            </w:pPr>
            <w:r>
              <w:rPr>
                <w:rFonts w:ascii="Arial" w:cs="Arial" w:eastAsia="Arial" w:hAnsi="Arial"/>
                <w:sz w:val="14"/>
                <w:szCs w:val="14"/>
                <w:color w:val="auto"/>
              </w:rPr>
              <w:t>Bala Cynwyd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295,000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$23.18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Bala Cynwyd, PA 19004</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Feet(1)</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/Apartment</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5"/>
          </w:tcPr>
          <w:p>
            <w:pPr>
              <w:ind w:left="40"/>
              <w:spacing w:after="0" w:line="156" w:lineRule="exact"/>
              <w:rPr>
                <w:sz w:val="20"/>
                <w:szCs w:val="20"/>
                <w:color w:val="auto"/>
              </w:rPr>
            </w:pPr>
            <w:r>
              <w:rPr>
                <w:rFonts w:ascii="Arial" w:cs="Arial" w:eastAsia="Arial" w:hAnsi="Arial"/>
                <w:sz w:val="14"/>
                <w:szCs w:val="14"/>
                <w:color w:val="auto"/>
              </w:rPr>
              <w:t>Flourtown</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1980</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0"/>
              </w:rPr>
              <w:t>160,000</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3"/>
              </w:rPr>
              <w:t>$20.67</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6"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Flourtown, PA 19031</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Lancaster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$17.03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Lancaster, PA 17601(8)</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Langhorne Square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1966</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$15.93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Levittown, PA 19056</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Lawrence Park</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355,000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$18.65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Broomall, PA 19008(10)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HomeGoods Kaplan Career Institute</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Northeast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288,000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$12.56</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89%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Burlington Coat Factory</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Philadelphia, PA 19114</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Gallery</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Town Center of New Britain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123,000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$9.60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85%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New Britain, PA 18901</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Willow Grove</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1953</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212,000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$19.42</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Willow Grove, PA 19090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Marshalls Barnes &amp; Noble</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Wynnewood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1948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251,000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$26.88</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DSW 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Wynnewood, PA 19096(10)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62"/>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Texas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Houston Street</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1890-1935</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172,000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$24.49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San Antonio, TX 78205</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62"/>
        </w:trPr>
        <w:tc>
          <w:tcPr>
            <w:tcW w:w="3100" w:type="dxa"/>
            <w:vAlign w:val="bottom"/>
            <w:gridSpan w:val="5"/>
          </w:tcPr>
          <w:p>
            <w:pPr>
              <w:ind w:left="40"/>
              <w:spacing w:after="0"/>
              <w:rPr>
                <w:sz w:val="20"/>
                <w:szCs w:val="20"/>
                <w:color w:val="auto"/>
              </w:rPr>
            </w:pPr>
            <w:r>
              <w:rPr>
                <w:rFonts w:ascii="Arial" w:cs="Arial" w:eastAsia="Arial" w:hAnsi="Arial"/>
                <w:sz w:val="14"/>
                <w:szCs w:val="14"/>
                <w:b w:val="1"/>
                <w:bCs w:val="1"/>
                <w:color w:val="auto"/>
              </w:rPr>
              <w:t>Virginia</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29</w:t>
            </w:r>
            <w:r>
              <w:rPr>
                <w:rFonts w:ascii="Arial" w:cs="Arial" w:eastAsia="Arial" w:hAnsi="Arial"/>
                <w:sz w:val="8"/>
                <w:szCs w:val="8"/>
                <w:color w:val="auto"/>
              </w:rPr>
              <w:t>th</w:t>
            </w:r>
            <w:r>
              <w:rPr>
                <w:rFonts w:ascii="Arial" w:cs="Arial" w:eastAsia="Arial" w:hAnsi="Arial"/>
                <w:sz w:val="14"/>
                <w:szCs w:val="14"/>
                <w:color w:val="auto"/>
              </w:rPr>
              <w:t xml:space="preserve"> Place   Charlottesville, VA 22091(10)</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1975-2001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2007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169,000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$17.31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98%</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HomeGoods DSW Stein Mart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Barcroft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5"/>
              </w:rPr>
              <w:t>1963, 1972 &amp;</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2006-2007</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100,000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$24.14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79%</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Falls Church, VA 22041(9)(10)</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Bank of America</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Barracks Road</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1958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497,000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$24.01</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Anthropologie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Charlottesville, VA 22905(10)</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Ulta</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Falls Plaza/Falls Plaza—East</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2"/>
              </w:rPr>
              <w:t>1960-1962</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1967/1972</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144,000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$33.13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Falls Church, VA 22046</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Graham Park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1971</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261,000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$27.39</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Fairfax, VA 22042</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Giant Food L.A. Fitness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Idylwood Plaza</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1991</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1994</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73,000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$45.04</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060" w:type="dxa"/>
            <w:vAlign w:val="bottom"/>
            <w:gridSpan w:val="4"/>
          </w:tcPr>
          <w:p>
            <w:pPr>
              <w:ind w:left="140"/>
              <w:spacing w:after="0"/>
              <w:rPr>
                <w:sz w:val="20"/>
                <w:szCs w:val="20"/>
                <w:color w:val="auto"/>
              </w:rPr>
            </w:pPr>
            <w:r>
              <w:rPr>
                <w:rFonts w:ascii="Arial" w:cs="Arial" w:eastAsia="Arial" w:hAnsi="Arial"/>
                <w:sz w:val="14"/>
                <w:szCs w:val="14"/>
                <w:color w:val="auto"/>
              </w:rPr>
              <w:t>Falls Church, VA 22030</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Leesburg Plaza</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1967</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236,000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$22.86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93%</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Leesburg, VA 20176</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Mount Vernon/South Valley/</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1"/>
              </w:rPr>
              <w:t>1966, 1972,1987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3"/>
              </w:rPr>
              <w:t>2003/2006</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569,000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$17.23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7770 Richmond Hwy</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9"/>
              </w:rPr>
              <w:t>&amp; 2001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Alexandria, VA 22306(4)(7)</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Gold’s Gym Staples</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Old Keene Mill</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1976</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92,000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$36.35</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84%</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shd w:val="clear" w:color="auto" w:fill="CCEEFF"/>
          </w:tcPr>
          <w:p>
            <w:pPr>
              <w:spacing w:after="0"/>
              <w:rPr>
                <w:sz w:val="16"/>
                <w:szCs w:val="16"/>
                <w:color w:val="auto"/>
              </w:rPr>
            </w:pPr>
          </w:p>
        </w:tc>
        <w:tc>
          <w:tcPr>
            <w:tcW w:w="30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Springfield, VA 22152</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57"/>
        </w:trPr>
        <w:tc>
          <w:tcPr>
            <w:tcW w:w="3100" w:type="dxa"/>
            <w:vAlign w:val="bottom"/>
            <w:gridSpan w:val="5"/>
          </w:tcPr>
          <w:p>
            <w:pPr>
              <w:ind w:left="40"/>
              <w:spacing w:after="0" w:line="157" w:lineRule="exact"/>
              <w:rPr>
                <w:sz w:val="20"/>
                <w:szCs w:val="20"/>
                <w:color w:val="auto"/>
              </w:rPr>
            </w:pPr>
            <w:r>
              <w:rPr>
                <w:rFonts w:ascii="Arial" w:cs="Arial" w:eastAsia="Arial" w:hAnsi="Arial"/>
                <w:sz w:val="14"/>
                <w:szCs w:val="14"/>
                <w:color w:val="auto"/>
              </w:rPr>
              <w:t>Pan Am</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1979</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1993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227,000</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3"/>
              </w:rPr>
              <w:t>$21.95</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06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Fairfax, VA 22031</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rPr>
              <w:t>Pentagon Row</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2001-2002</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1998/2010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299,000</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$36.93</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06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Arlington, VA 22202</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25"/>
        </w:trPr>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Feet(1)</w:t>
            </w:r>
          </w:p>
        </w:tc>
        <w:tc>
          <w:tcPr>
            <w:tcW w:w="10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 Rent</w:t>
            </w: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Percentage</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/Apartment</w:t>
            </w: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 Square</w:t>
            </w:r>
          </w:p>
        </w:tc>
        <w:tc>
          <w:tcPr>
            <w:tcW w:w="114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 City, State, Zip Code</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Foot(2)</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Leased(3)</w:t>
            </w:r>
          </w:p>
        </w:tc>
        <w:tc>
          <w:tcPr>
            <w:tcW w:w="100" w:type="dxa"/>
            <w:vAlign w:val="bottom"/>
          </w:tcPr>
          <w:p>
            <w:pPr>
              <w:spacing w:after="0"/>
              <w:rPr>
                <w:sz w:val="17"/>
                <w:szCs w:val="17"/>
                <w:color w:val="auto"/>
              </w:rPr>
            </w:pPr>
          </w:p>
        </w:tc>
        <w:tc>
          <w:tcPr>
            <w:tcW w:w="21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56"/>
        </w:trPr>
        <w:tc>
          <w:tcPr>
            <w:tcW w:w="3100" w:type="dxa"/>
            <w:vAlign w:val="bottom"/>
            <w:gridSpan w:val="2"/>
          </w:tcPr>
          <w:p>
            <w:pPr>
              <w:ind w:left="40"/>
              <w:spacing w:after="0" w:line="156" w:lineRule="exact"/>
              <w:rPr>
                <w:sz w:val="20"/>
                <w:szCs w:val="20"/>
                <w:color w:val="auto"/>
              </w:rPr>
            </w:pPr>
            <w:r>
              <w:rPr>
                <w:rFonts w:ascii="Arial" w:cs="Arial" w:eastAsia="Arial" w:hAnsi="Arial"/>
                <w:sz w:val="14"/>
                <w:szCs w:val="14"/>
                <w:color w:val="auto"/>
              </w:rPr>
              <w:t>Pike 7 Plaza</w:t>
            </w: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1968</w:t>
            </w: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1997</w:t>
            </w:r>
          </w:p>
        </w:tc>
        <w:tc>
          <w:tcPr>
            <w:tcW w:w="10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4"/>
                <w:szCs w:val="14"/>
                <w:color w:val="auto"/>
                <w:w w:val="90"/>
              </w:rPr>
              <w:t>164,000</w:t>
            </w:r>
          </w:p>
        </w:tc>
        <w:tc>
          <w:tcPr>
            <w:tcW w:w="1360" w:type="dxa"/>
            <w:vAlign w:val="bottom"/>
            <w:gridSpan w:val="2"/>
          </w:tcPr>
          <w:p>
            <w:pPr>
              <w:jc w:val="center"/>
              <w:ind w:left="48"/>
              <w:spacing w:after="0" w:line="156" w:lineRule="exact"/>
              <w:rPr>
                <w:sz w:val="20"/>
                <w:szCs w:val="20"/>
                <w:color w:val="auto"/>
              </w:rPr>
            </w:pPr>
            <w:r>
              <w:rPr>
                <w:rFonts w:ascii="Arial" w:cs="Arial" w:eastAsia="Arial" w:hAnsi="Arial"/>
                <w:sz w:val="14"/>
                <w:szCs w:val="14"/>
                <w:color w:val="auto"/>
                <w:w w:val="93"/>
              </w:rPr>
              <w:t>$42.52</w:t>
            </w:r>
          </w:p>
        </w:tc>
        <w:tc>
          <w:tcPr>
            <w:tcW w:w="10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100" w:type="dxa"/>
            <w:vAlign w:val="bottom"/>
          </w:tcPr>
          <w:p>
            <w:pPr>
              <w:spacing w:after="0"/>
              <w:rPr>
                <w:sz w:val="13"/>
                <w:szCs w:val="13"/>
                <w:color w:val="auto"/>
              </w:rPr>
            </w:pPr>
          </w:p>
        </w:tc>
        <w:tc>
          <w:tcPr>
            <w:tcW w:w="2160" w:type="dxa"/>
            <w:vAlign w:val="bottom"/>
          </w:tcPr>
          <w:p>
            <w:pPr>
              <w:ind w:left="20"/>
              <w:spacing w:after="0" w:line="156"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Vienna, VA 22180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Tower Shopping Center</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1960</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1998</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109,000</w:t>
            </w:r>
          </w:p>
        </w:tc>
        <w:tc>
          <w:tcPr>
            <w:tcW w:w="13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$25.04</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Talbots L.A. Mart</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Springfield, VA 22150</w:t>
            </w: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Tyson’s Station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1954</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1978</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8"/>
              </w:rPr>
              <w:t>49,000</w:t>
            </w:r>
          </w:p>
        </w:tc>
        <w:tc>
          <w:tcPr>
            <w:tcW w:w="13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$42.27</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82"/>
        </w:trPr>
        <w:tc>
          <w:tcPr>
            <w:tcW w:w="3100" w:type="dxa"/>
            <w:vAlign w:val="bottom"/>
            <w:gridSpan w:val="2"/>
          </w:tcPr>
          <w:p>
            <w:pPr>
              <w:ind w:left="180"/>
              <w:spacing w:after="0"/>
              <w:rPr>
                <w:sz w:val="20"/>
                <w:szCs w:val="20"/>
                <w:color w:val="auto"/>
              </w:rPr>
            </w:pPr>
            <w:r>
              <w:rPr>
                <w:rFonts w:ascii="Arial" w:cs="Arial" w:eastAsia="Arial" w:hAnsi="Arial"/>
                <w:sz w:val="14"/>
                <w:szCs w:val="14"/>
                <w:color w:val="auto"/>
              </w:rPr>
              <w:t>Falls Church, VA 22043</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1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Village at Shirlington</w:t>
            </w: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2"/>
              </w:rPr>
              <w:t>1940, 2006-2009</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1995</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0"/>
              </w:rPr>
              <w:t>261,000</w:t>
            </w:r>
          </w:p>
        </w:tc>
        <w:tc>
          <w:tcPr>
            <w:tcW w:w="1360" w:type="dxa"/>
            <w:vAlign w:val="bottom"/>
            <w:gridSpan w:val="2"/>
            <w:shd w:val="clear" w:color="auto" w:fill="CCEEFF"/>
          </w:tcPr>
          <w:p>
            <w:pPr>
              <w:jc w:val="center"/>
              <w:ind w:left="48"/>
              <w:spacing w:after="0" w:line="157" w:lineRule="exact"/>
              <w:rPr>
                <w:sz w:val="20"/>
                <w:szCs w:val="20"/>
                <w:color w:val="auto"/>
              </w:rPr>
            </w:pPr>
            <w:r>
              <w:rPr>
                <w:rFonts w:ascii="Arial" w:cs="Arial" w:eastAsia="Arial" w:hAnsi="Arial"/>
                <w:sz w:val="14"/>
                <w:szCs w:val="14"/>
                <w:color w:val="auto"/>
                <w:w w:val="93"/>
              </w:rPr>
              <w:t>$34.66</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9"/>
              </w:rPr>
              <w:t>95%</w:t>
            </w: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8"/>
        </w:trPr>
        <w:tc>
          <w:tcPr>
            <w:tcW w:w="31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Arlington, VA 22206(8)</w:t>
            </w: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Carlyle Grand Café</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Harris Teeter</w:t>
            </w:r>
          </w:p>
        </w:tc>
        <w:tc>
          <w:tcPr>
            <w:tcW w:w="0" w:type="dxa"/>
            <w:vAlign w:val="bottom"/>
          </w:tcPr>
          <w:p>
            <w:pPr>
              <w:spacing w:after="0"/>
              <w:rPr>
                <w:sz w:val="1"/>
                <w:szCs w:val="1"/>
                <w:color w:val="auto"/>
              </w:rPr>
            </w:pPr>
          </w:p>
        </w:tc>
      </w:tr>
      <w:tr>
        <w:trPr>
          <w:trHeight w:val="157"/>
        </w:trPr>
        <w:tc>
          <w:tcPr>
            <w:tcW w:w="31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Lawn</w:t>
            </w: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1957</w:t>
            </w:r>
          </w:p>
        </w:tc>
        <w:tc>
          <w:tcPr>
            <w:tcW w:w="12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89"/>
              </w:rPr>
              <w:t>1983</w:t>
            </w:r>
          </w:p>
        </w:tc>
        <w:tc>
          <w:tcPr>
            <w:tcW w:w="1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90"/>
              </w:rPr>
              <w:t>445,000</w:t>
            </w:r>
          </w:p>
        </w:tc>
        <w:tc>
          <w:tcPr>
            <w:tcW w:w="136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3"/>
              </w:rPr>
              <w:t>$17.53</w:t>
            </w:r>
          </w:p>
        </w:tc>
        <w:tc>
          <w:tcPr>
            <w:tcW w:w="100" w:type="dxa"/>
            <w:vAlign w:val="bottom"/>
          </w:tcPr>
          <w:p>
            <w:pPr>
              <w:spacing w:after="0"/>
              <w:rPr>
                <w:sz w:val="13"/>
                <w:szCs w:val="13"/>
                <w:color w:val="auto"/>
              </w:rPr>
            </w:pPr>
          </w:p>
        </w:tc>
        <w:tc>
          <w:tcPr>
            <w:tcW w:w="1040" w:type="dxa"/>
            <w:vAlign w:val="bottom"/>
          </w:tcPr>
          <w:p>
            <w:pPr>
              <w:jc w:val="center"/>
              <w:spacing w:after="0" w:line="157" w:lineRule="exact"/>
              <w:rPr>
                <w:sz w:val="20"/>
                <w:szCs w:val="20"/>
                <w:color w:val="auto"/>
              </w:rPr>
            </w:pPr>
            <w:r>
              <w:rPr>
                <w:rFonts w:ascii="Arial" w:cs="Arial" w:eastAsia="Arial" w:hAnsi="Arial"/>
                <w:sz w:val="14"/>
                <w:szCs w:val="14"/>
                <w:color w:val="auto"/>
                <w:w w:val="99"/>
              </w:rPr>
              <w:t>92%</w:t>
            </w:r>
          </w:p>
        </w:tc>
        <w:tc>
          <w:tcPr>
            <w:tcW w:w="100" w:type="dxa"/>
            <w:vAlign w:val="bottom"/>
          </w:tcPr>
          <w:p>
            <w:pPr>
              <w:spacing w:after="0"/>
              <w:rPr>
                <w:sz w:val="13"/>
                <w:szCs w:val="13"/>
                <w:color w:val="auto"/>
              </w:rPr>
            </w:pP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8"/>
        </w:trPr>
        <w:tc>
          <w:tcPr>
            <w:tcW w:w="31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Richmond, VA 23230</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All Regions—Retail(11)</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20,242,000</w:t>
            </w:r>
          </w:p>
        </w:tc>
        <w:tc>
          <w:tcPr>
            <w:tcW w:w="136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b w:val="1"/>
                <w:bCs w:val="1"/>
                <w:color w:val="auto"/>
                <w:w w:val="93"/>
              </w:rPr>
              <w:t>$25.59</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96%</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3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1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All Regions—Residential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1,500 units</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94%</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w:t>
      </w:r>
    </w:p>
    <w:p>
      <w:pPr>
        <w:spacing w:after="0" w:line="8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GLA of the commercial portion of the property. Some of our properties include office space which is included in this square footage but is not material in total.</w:t>
      </w:r>
    </w:p>
    <w:p>
      <w:pPr>
        <w:spacing w:after="0" w:line="12" w:lineRule="exact"/>
        <w:rPr>
          <w:rFonts w:ascii="Arial" w:cs="Arial" w:eastAsia="Arial" w:hAnsi="Arial"/>
          <w:sz w:val="14"/>
          <w:szCs w:val="14"/>
          <w:color w:val="auto"/>
        </w:rPr>
      </w:pPr>
    </w:p>
    <w:p>
      <w:pPr>
        <w:ind w:left="660" w:right="40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base rent is calculated as the aggregate, annualized in-place contractual (defined as cash basis including adjustments for concessions) minimum rent for all occupied spaces divided by the aggregate GLA of all occupied spaces.</w:t>
      </w:r>
    </w:p>
    <w:p>
      <w:pPr>
        <w:ind w:left="660" w:right="8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Retail percentage leased is expressed as a percentage of rentable commercial square feet occupied or subject to a lease. Residential percentage leased is expressed as a percentage of units occupied or subject to a lease.</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a 90% general and limited partnership interest in these buildings.</w:t>
      </w:r>
    </w:p>
    <w:p>
      <w:pPr>
        <w:ind w:left="660" w:right="44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own all or a portion of this property in a “downREIT” partnership, of which a wholly owned subsidiary of the Trust is the sole general partner, with third party partners holding operating partnership units.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or a portion of this property is subject to a capital lease obligation.</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Properties acquired through a joint venture arrangement with affiliates of a discretionary fund created and advised by ING Clarion Partners.</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All or a portion of this property is encumbered by a mortgage loan.</w:t>
      </w:r>
    </w:p>
    <w:p>
      <w:pPr>
        <w:ind w:left="660" w:right="80" w:hanging="328"/>
        <w:spacing w:after="0" w:line="241"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Aggregate information is calculated on a GLA weighted-average basis, excluding properties owned through a joint venture arrangement with affiliates of a discretionary fund created and advised by ING Clarion Partners.</w:t>
      </w: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Item 7. Management's Discussion and Analysis of Financial Condition and Results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color w:val="auto"/>
        </w:rPr>
        <w:t>ITEM 5. MARKET FOR OUR COMMON EQUITY AND RELATED SHAREHOLDER MATTERS AND ISSUER PURCHASES OF EQUITY SECURITIES</w:t>
      </w:r>
    </w:p>
    <w:p>
      <w:pPr>
        <w:spacing w:after="0" w:line="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Price Per Share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Dividends</w:t>
            </w: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4"/>
              </w:rPr>
              <w:t>Declared</w:t>
            </w:r>
          </w:p>
        </w:tc>
        <w:tc>
          <w:tcPr>
            <w:tcW w:w="0" w:type="dxa"/>
            <w:vAlign w:val="bottom"/>
          </w:tcPr>
          <w:p>
            <w:pPr>
              <w:spacing w:after="0"/>
              <w:rPr>
                <w:sz w:val="1"/>
                <w:szCs w:val="1"/>
                <w:color w:val="auto"/>
              </w:rPr>
            </w:pPr>
          </w:p>
        </w:tc>
      </w:tr>
      <w:tr>
        <w:trPr>
          <w:trHeight w:val="65"/>
        </w:trPr>
        <w:tc>
          <w:tcPr>
            <w:tcW w:w="7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8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9"/>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137.18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118.28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0.870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123.11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112.07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100.30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96.99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0.780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96.21</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104.50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0.730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February 6, 2015, there were 2,971 holders of record of our common shares.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taxable income. Under the Code, REITs are subject to numerous organizational and operational requirements, including the requirement to generally distribute at least 90% of taxable income.</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47 consecutive years.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total annual dividends paid per common share for 2014 and 2013 were $3.21 per share and $2.97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2015 or subsequent years will constitute a return of capital for federal income tax purposes. During a year in which a REIT earns a net long-term capital gain, the REIT can elect under Section 857(b)(3) of the Code to designate a portion of dividends paid to shareholders as capital gain dividends. If this election is made, then the capital gain dividends are generally taxable to the shareholder as long-term capital gains.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351"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Year Ended</w:t>
      </w:r>
    </w:p>
    <w:p>
      <w:pPr>
        <w:spacing w:after="0" w:line="3"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5444490</wp:posOffset>
            </wp:positionH>
            <wp:positionV relativeFrom="paragraph">
              <wp:posOffset>13335</wp:posOffset>
            </wp:positionV>
            <wp:extent cx="180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7210" cy="8255"/>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dividend</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3.178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gain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0.032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0.059</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8"/>
        </w:trPr>
        <w:tc>
          <w:tcPr>
            <w:tcW w:w="8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3.210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our ability to pay dividends in the normal course of business to our common shareholders or to distribute amounts necessary to maintain our qualification as a REIT.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 Return Performance</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performance graph compares the cumulative total shareholder return on Federal Realty's common shares with the S&amp;P 500 Index and the index of equity real estate investment trusts prepared by the National Association of Real Estate Investment Trusts ("NAREIT") for the five fiscal years commencing December 31, 2009, and ending December 31, 2014, assuming an investment of $100 and the reinvestment of all dividends into additional common shares during the holding period. Equity real estate investment trusts are defined as those that derive more than 75% of their income from equity investments in real estate assets. The FTSE NAREIT Equity REIT Total Return Index includes all tax qualified real estate investment trusts listed on the NYSE, NYSE Amex (formerly known as the American Stock Exchange), or the NASDAQ National Market. Stock performance for the past five years is not necessarily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46355</wp:posOffset>
            </wp:positionV>
            <wp:extent cx="5842000" cy="3426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00" cy="342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2014, there were no redemptions of operating partnership units. All other equity securities sold by us during 2014 that were not registered have been previously reported in a Quarterly Report on Form 10-Q.</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2014, no equity securities were purchased by us.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6" w:right="2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December 31, 2010 through 2013 have been reclassified to conform to the 2014 presentation.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(In thousands, except per share data and ratios)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Rental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666,322</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620,089</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580,114</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536,749</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520,677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474,167</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446,959</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426,721</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381,335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371,198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167,888</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137,811</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142,972</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130,319</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124,778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28,855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11,860</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15,075</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172,289</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167,608</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156,232</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149,612</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128,237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164,535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162,681</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151,925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143,917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122,790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163,994</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162,140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151,384</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143,376</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122,249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346,130</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314,498</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296,633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244,711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256,735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(396,150)</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(345,198)</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(273,558)</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(196,369)</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(187,088)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9,044</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82,639</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(53,893)</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(189,239)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Dividends declared on common shares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224,190</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198,965</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182,813</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171,335</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163,382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67,322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65,331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63,881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62,438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61,182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67,492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65,483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64,056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62,603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61,324</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0.19</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12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0.19</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3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rPr>
              <w:t>Funds from operations available to common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shareholders(2)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327,597</w:t>
            </w:r>
          </w:p>
        </w:tc>
        <w:tc>
          <w:tcPr>
            <w:tcW w:w="220" w:type="dxa"/>
            <w:vAlign w:val="bottom"/>
          </w:tcPr>
          <w:p>
            <w:pPr>
              <w:spacing w:after="0"/>
              <w:rPr>
                <w:sz w:val="20"/>
                <w:szCs w:val="20"/>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289,938</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277,237</w:t>
            </w:r>
          </w:p>
        </w:tc>
        <w:tc>
          <w:tcPr>
            <w:tcW w:w="3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251,576</w:t>
            </w:r>
          </w:p>
        </w:tc>
        <w:tc>
          <w:tcPr>
            <w:tcW w:w="3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239,210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447,495</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446,555</w:t>
            </w:r>
          </w:p>
        </w:tc>
        <w:tc>
          <w:tcPr>
            <w:tcW w:w="5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410,918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374,131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352,481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Adjusted EBITDA(3)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443,094</w:t>
            </w:r>
          </w:p>
        </w:tc>
        <w:tc>
          <w:tcPr>
            <w:tcW w:w="220" w:type="dxa"/>
            <w:vAlign w:val="bottom"/>
          </w:tcPr>
          <w:p>
            <w:pPr>
              <w:spacing w:after="0"/>
              <w:rPr>
                <w:sz w:val="21"/>
                <w:szCs w:val="21"/>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417,700</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399,058</w:t>
            </w:r>
          </w:p>
        </w:tc>
        <w:tc>
          <w:tcPr>
            <w:tcW w:w="3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357,030</w:t>
            </w:r>
          </w:p>
        </w:tc>
        <w:tc>
          <w:tcPr>
            <w:tcW w:w="3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351,071</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Ratio of EBITDA to combined fixed charges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 dividends(3)(4)</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5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x</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w w:val="96"/>
              </w:rPr>
              <w:t>Ratio of Adjusted EBITDA to combined fixed charges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and preferred share dividends(3)(4)</w:t>
            </w:r>
          </w:p>
        </w:tc>
        <w:tc>
          <w:tcPr>
            <w:tcW w:w="2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220" w:type="dxa"/>
            <w:vAlign w:val="bottom"/>
          </w:tcPr>
          <w:p>
            <w:pPr>
              <w:ind w:left="20"/>
              <w:spacing w:after="0"/>
              <w:rPr>
                <w:sz w:val="20"/>
                <w:szCs w:val="20"/>
                <w:color w:val="auto"/>
              </w:rPr>
            </w:pPr>
            <w:r>
              <w:rPr>
                <w:rFonts w:ascii="Arial" w:cs="Arial" w:eastAsia="Arial" w:hAnsi="Arial"/>
                <w:sz w:val="18"/>
                <w:szCs w:val="18"/>
                <w:color w:val="auto"/>
              </w:rPr>
              <w:t>x</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580" w:type="dxa"/>
            <w:vAlign w:val="bottom"/>
            <w:gridSpan w:val="2"/>
          </w:tcPr>
          <w:p>
            <w:pPr>
              <w:jc w:val="right"/>
              <w:ind w:right="370"/>
              <w:spacing w:after="0"/>
              <w:rPr>
                <w:sz w:val="20"/>
                <w:szCs w:val="20"/>
                <w:color w:val="auto"/>
              </w:rPr>
            </w:pPr>
            <w:r>
              <w:rPr>
                <w:rFonts w:ascii="Arial" w:cs="Arial" w:eastAsia="Arial" w:hAnsi="Arial"/>
                <w:sz w:val="18"/>
                <w:szCs w:val="18"/>
                <w:color w:val="auto"/>
              </w:rPr>
              <w:t>x</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320" w:type="dxa"/>
            <w:vAlign w:val="bottom"/>
          </w:tcPr>
          <w:p>
            <w:pPr>
              <w:ind w:left="2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340" w:type="dxa"/>
            <w:vAlign w:val="bottom"/>
          </w:tcPr>
          <w:p>
            <w:pPr>
              <w:ind w:left="40"/>
              <w:spacing w:after="0"/>
              <w:rPr>
                <w:sz w:val="20"/>
                <w:szCs w:val="20"/>
                <w:color w:val="auto"/>
              </w:rPr>
            </w:pPr>
            <w:r>
              <w:rPr>
                <w:rFonts w:ascii="Arial" w:cs="Arial" w:eastAsia="Arial" w:hAnsi="Arial"/>
                <w:sz w:val="18"/>
                <w:szCs w:val="18"/>
                <w:color w:val="auto"/>
              </w:rPr>
              <w:t>x</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22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at cost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5,608,998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5,149,463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4,779,674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4,426,444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3,895,942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4,546,870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4,219,294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3,898,565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3,666,210</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3,159,553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Mortgages payable and capital lease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635,345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660,127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832,482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810,616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589,441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290,519</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300,822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299,575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295,159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97,881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1,483,813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1,360,913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1,076,545</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1,004,635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1,079,827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9,997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9,997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1,692,556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1,471,297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1,310,593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1,240,604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1,115,768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common shares outstanding</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68,606</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66,701</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64,815</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63,544</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61,526</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1" w:lineRule="exact"/>
        <w:rPr>
          <w:sz w:val="20"/>
          <w:szCs w:val="20"/>
          <w:color w:val="auto"/>
        </w:rPr>
      </w:pPr>
    </w:p>
    <w:p>
      <w:pPr>
        <w:ind w:left="340" w:right="20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operating income to property operating income is as follows:</w:t>
      </w:r>
    </w:p>
    <w:p>
      <w:pPr>
        <w:spacing w:after="0" w:line="230"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2010</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271,037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254,161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253,862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226,462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228,145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32,316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31,970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24,189</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provision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160,828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141,701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125,888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118,534</w:t>
            </w:r>
          </w:p>
        </w:tc>
      </w:tr>
      <w:tr>
        <w:trPr>
          <w:trHeight w:val="27"/>
        </w:trPr>
        <w:tc>
          <w:tcPr>
            <w:tcW w:w="4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474,167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446,959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426,721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381,335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371,198</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40" w:right="20" w:hanging="332"/>
        <w:spacing w:after="0" w:line="301"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U.S. GAAP, plus real estate related depreciation and amortization and excluding extraordinary items and gains on the sale of real estate. We compute FFO in accordance with the NAREIT definition, and we have historically reported our FFO available for common shareholders in addition to our net income.</w:t>
      </w:r>
    </w:p>
    <w:p>
      <w:pPr>
        <w:spacing w:after="0" w:line="21" w:lineRule="exact"/>
        <w:rPr>
          <w:rFonts w:ascii="Arial" w:cs="Arial" w:eastAsia="Arial" w:hAnsi="Arial"/>
          <w:sz w:val="16"/>
          <w:szCs w:val="16"/>
          <w:color w:val="auto"/>
        </w:rPr>
      </w:pPr>
    </w:p>
    <w:p>
      <w:pPr>
        <w:ind w:left="340" w:right="100"/>
        <w:spacing w:after="0" w:line="273" w:lineRule="auto"/>
        <w:rPr>
          <w:rFonts w:ascii="Arial" w:cs="Arial" w:eastAsia="Arial" w:hAnsi="Arial"/>
          <w:sz w:val="16"/>
          <w:szCs w:val="16"/>
          <w:color w:val="auto"/>
        </w:rPr>
      </w:pPr>
      <w:r>
        <w:rPr>
          <w:rFonts w:ascii="Arial" w:cs="Arial" w:eastAsia="Arial" w:hAnsi="Arial"/>
          <w:sz w:val="17"/>
          <w:szCs w:val="17"/>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2010</w:t>
            </w:r>
          </w:p>
        </w:tc>
      </w:tr>
      <w:tr>
        <w:trPr>
          <w:trHeight w:val="250"/>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(5,447)</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152,505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107,187</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9,552</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326,585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278,124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239,618</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4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36"/>
        </w:trPr>
        <w:tc>
          <w:tcPr>
            <w:tcW w:w="4840" w:type="dxa"/>
            <w:vAlign w:val="bottom"/>
          </w:tcPr>
          <w:p>
            <w:pPr>
              <w:ind w:left="20"/>
              <w:spacing w:after="0"/>
              <w:rPr>
                <w:sz w:val="20"/>
                <w:szCs w:val="20"/>
                <w:color w:val="auto"/>
              </w:rPr>
            </w:pPr>
            <w:r>
              <w:rPr>
                <w:rFonts w:ascii="Arial" w:cs="Arial" w:eastAsia="Arial" w:hAnsi="Arial"/>
                <w:sz w:val="18"/>
                <w:szCs w:val="18"/>
                <w:color w:val="auto"/>
              </w:rPr>
              <w:t>Funds from operations available for common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327,597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277,237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251,576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239,210</w:t>
            </w:r>
          </w:p>
        </w:tc>
      </w:tr>
      <w:tr>
        <w:trPr>
          <w:trHeight w:val="27"/>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40" w:right="100" w:hanging="332"/>
        <w:spacing w:after="0" w:line="256" w:lineRule="auto"/>
        <w:tabs>
          <w:tab w:leader="none" w:pos="2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to EBITDA and adjusted EBITDA for the periods presented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2010</w:t>
            </w:r>
          </w:p>
        </w:tc>
      </w:tr>
      <w:tr>
        <w:trPr>
          <w:trHeight w:val="250"/>
        </w:trPr>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149,612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128,237</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119,817</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101,882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Early extinguishment of debt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6"/>
        </w:trPr>
        <w:tc>
          <w:tcPr>
            <w:tcW w:w="438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447,495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446,555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410,918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374,131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352,481</w:t>
            </w:r>
          </w:p>
        </w:tc>
      </w:tr>
      <w:tr>
        <w:trPr>
          <w:trHeight w:val="27"/>
        </w:trPr>
        <w:tc>
          <w:tcPr>
            <w:tcW w:w="4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Gain on deconsolidation of VIE</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443,094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351,071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79" w:lineRule="auto"/>
        <w:tabs>
          <w:tab w:leader="none" w:pos="271"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Fixed charges consist of interest on borrowed funds (including capitalized interest), amortization of debt discount/ premiums and debt costs, costs related to the early extinguishment of debt, and the portion of rent expense representing an interest factor. Excluding the $10.5 million and $13.3 million of early extinguishment of debt charge from fixed charges in 2014 and 2013, respectively, the ratio of EBITDA and adjusted EBITDA to combined fixed charges and preferred share dividends is 3.9x and 3.8x, respectively, for 2014 and 3.7x and 3.4x, respectively, for 2013.</w:t>
      </w:r>
    </w:p>
    <w:p>
      <w:pPr>
        <w:spacing w:after="0" w:line="193" w:lineRule="exact"/>
        <w:rPr>
          <w:sz w:val="20"/>
          <w:szCs w:val="20"/>
          <w:color w:val="auto"/>
        </w:rPr>
      </w:pPr>
    </w:p>
    <w:p>
      <w:pPr>
        <w:ind w:right="1220"/>
        <w:spacing w:after="0" w:line="346"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Forward-Looking Statements</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section or elsewhere in this report may be deemed “forward-looking statements”. See “Item 1A. Risk Factors” in this report for important information regarding these forward-looking statements and certain risk and uncertainties that may affect us. The following discussion should be read in conjunction with the consolidated financial statements and notes thereto appearing in “Item 8. Financial Statements and Supplementary Data” of this report.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6" w:right="29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2014, we owned or had a majority interest in community and neighborhood shopping centers and mixed-use properties which are operated as 89 predominantly retail real estate projects comprising approximately 20.2 million square feet. In total, the real estate projects were 95.6% leased and 94.7% occupied at December 31, 2014. A joint venture in which we own a 30% interest owned six retail real estate projects totaling approximately 0.8 million square feet as of December 31, 2014. In total, the joint venture properties in which we own a 30% interest were 86.1% leased and 82.8% occupied at December 31, 2014. We have paid quarterly dividends to our shareholders continuously since our founding in 1962 and have increased our dividends per common share for 47 consecutive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significant accounting policies are more fully described in Note 2 to the consolidated financial statements; however, the most critical accounting policies, which involve the use of estimates and assumptions as to future uncertainties and, therefore, may result in actual amounts that differ from estimates, are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Current accounts receivable from tenants primarily relate to contractual minimum rent and percentage rent as well as real estate tax and other cost reimbursements. Accounts receivable from straight-line rent is typically longer term in nature and relates to the cumulative amount by which straight-line rental income recorded to date exceeds cash rents billed to date under the contractual lease agreement.</w:t>
      </w:r>
    </w:p>
    <w:p>
      <w:pPr>
        <w:spacing w:after="0" w:line="1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make estimates of the collectability of our current accounts receivable and straight-line rents receivable which requires significant judgment by management. The collectability of receivables is affected by numerous factors including current economic conditions, bankruptcies, and the ability of the tenant to perform under the terms of their lease agreement. While we make estimates of potentially uncollectible amounts and provide an allowance for them through bad debt expense, actual collectability could differ from those estimates which could affect our net income. With respect to the allowance for current uncollectible tenant receivables, we assess the collectability of outstanding receivables by evaluating such factors as nature and age of the receivable, past history and current financial condition of the specific tenant including our assessment of the tenant’s ability to meet its contractual lease obligations, and the status of any pending disputes or lease negotiations with the tenant. At December 31, 2014 and 2013, our allowance for doubtful accounts was $12.4 million and $12.7 million, respectively. Historically, we have recognized bad debt expense between 0.4% and 1.3% of rental income and it was 0.3% in 2014 reflecting positive economic changes and their impact to our tenants. A change in the estimate of collectability of a receivable would result in a change to our allowance for doubtful accounts and correspondingly bad debt expense and net income. For example,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6" w:right="2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the event our estimates were not accurate and we were required to increase our allowance by 1% of rental income, our bad debt expense would have increased and our net income would have decreased by $6.7 million.</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Due to the nature of the accounts receivable from straight-line rents, the collection period of these amounts typically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2014 and 2013, accounts receivable includes approximately $66.1 million and $60.6 million, respectively, related to straight-line rents. Correspondingly, these estimates of collectability have a direct impact on our net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 investments and depreciate them on a straight-line basis in accordance with GAAP and consistent with industry standards based on our best estimates of the assets’ physical and economic useful lives. We periodically review the estimated lives of our assets and implement changes, as necessary, to these estimates and, therefore, to our depreciation rates. These reviews may take into account such factors as the historical retirement and replacement of our assets, expected redevelopments, and general economic and real estate factors. Certain events, such as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expense will be for that asset in a fiscal period, which in turn will increase our net income. Similarly, having a shorter economic useful life would increase the depreciation for a fiscal period and decrease our net income.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2 to 20 years.</w:t>
      </w:r>
    </w:p>
    <w:p>
      <w:pPr>
        <w:spacing w:after="0" w:line="13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Capitalized costs associated with leases are depreciated or amortized over the base term of the lease. Unamortized leasing costs are charged to expense if the applicable tenant vacates before the expiration of its lease. Undepreciated tenant work is written-off if the applicable tenant vacates and the tenant work is replaced or has no future value. Additionally, we make estimates as to the probability of certain development and redevelopment projects being completed. If we determine the redevelopment is no longer probable of completion, we immediately expense all capitalized costs which are not recoverable.</w:t>
      </w:r>
    </w:p>
    <w:p>
      <w:pPr>
        <w:spacing w:after="0" w:line="1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$277 million and $7 million, respectively, for 2014 and $275 million and $6 million, respectively, for 2013. We capitalized external and internal costs related to other property improvements of $45 million and $2 million, respectively, for 2014 and $48 million and $1 million, respectively, for 2013. We capitalized external and internal costs related to leasing activities of $29 million and $7 million, respectively, for 2014 and $9 million and $6 million, respectively, for 2013. The amount of capitalized internal costs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6" w:right="2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salaries and related benefits for development and redevelopment activities, other property improvements, and leasing activities were $7 million, $1 million, and $6 million, respectively, for 2014 and $6 million, $1 million, and $5 million, respectively, for 2013. Total capitalized costs were $367 million and $345 million for 2014 and 2013, respectively.</w:t>
      </w:r>
    </w:p>
    <w:p>
      <w:pPr>
        <w:spacing w:after="0" w:line="1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acquisition of operating real estate properties, we estimate the fair value of assets and liabilities acquired including land, building, improvements, leasing costs, intangibles such as in-place leases, assumed debt, and current assets and liabilities, if any.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 and Impairment</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redeveloped and our investment in certain joint ventures. Management’s evaluation of impairment includes review for possible indicators of impairment as well as, in certain circumstances, undiscounted and discounted cash flow analysis. Since most of our investments in real estate are wholly-owned or controlled assets which are held for use, a property with impairment indicators is first tested for impairment by comparing the undiscounted cash flows, including residual value, to the current net book value of the property. If the undiscounted cash flows are less than the net book value, the property is written down to expected fair value.</w:t>
      </w:r>
    </w:p>
    <w:p>
      <w:pPr>
        <w:spacing w:after="0" w:line="1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calculation of both discounted and undiscounted cash flows requires management to make estimates of future cash flows including revenues, operating expenses, required maintenance and development expenditures, market conditions, demand for space by tenants and rental rates over long periods. Because our properties typically have a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Any difference between our estimate of a potential loss and the actual outcome would result in an increase or decrease to net income.</w:t>
      </w:r>
    </w:p>
    <w:p>
      <w:pPr>
        <w:spacing w:after="0" w:line="13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changes to our estimated warranty losses would result in an increase or decrease in net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 and is based on claims filed and an estimate of claims projected to be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Acquisitions and Disposition</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$1.0 million were incurred in 2014, and are included in "general and administrative expenses" in 2014 and 2013 on the accompanying consolidated statements of comprehensive income.</w:t>
      </w:r>
    </w:p>
    <w:p>
      <w:pPr>
        <w:spacing w:after="0" w:line="3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December 31, 2014 consolidated balance sheet. An additional noncontrolling interest holder has the right to require us to acquire its interests in The Grove at Shrewsbury and Brook 35 at the then current fair market value beginning on January 1, 2017.</w:t>
      </w:r>
    </w:p>
    <w:p>
      <w:pPr>
        <w:spacing w:after="0" w:line="35"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On July 24, 2014, the joint venture arrangement with affiliates of a discretionary fund created and advised by ING Clarion Partners sold the fee interest in Pleasant Shops in Weymouth, Massachusetts for a sales price of $34.3 million, resulting in a gain on sale of $14.5 million. Our share of the gain was $4.4 million. The joint venture partners received distributions totaling $32.8 million as a result of the sale, of which our distribution was $10.4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 - 2015 Property Acquisition</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which has a stated interest rate of 5.27% and matures on January 1, 2016, approximately 58,000 downREIT operating partnership units and approximately $27 million of cash. We incurred $0.7 million of acquisition costs in 2014 which are included in "general and administrative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Debt and Equity Transactions</w:t>
      </w:r>
    </w:p>
    <w:p>
      <w:pPr>
        <w:spacing w:after="0" w:line="94" w:lineRule="exact"/>
        <w:rPr>
          <w:sz w:val="20"/>
          <w:szCs w:val="20"/>
          <w:color w:val="auto"/>
        </w:rPr>
      </w:pPr>
    </w:p>
    <w:p>
      <w:pPr>
        <w:ind w:right="260"/>
        <w:spacing w:after="0" w:line="307" w:lineRule="auto"/>
        <w:rPr>
          <w:sz w:val="20"/>
          <w:szCs w:val="20"/>
          <w:color w:val="auto"/>
        </w:rPr>
      </w:pPr>
      <w:r>
        <w:rPr>
          <w:rFonts w:ascii="Arial" w:cs="Arial" w:eastAsia="Arial" w:hAnsi="Arial"/>
          <w:sz w:val="17"/>
          <w:szCs w:val="17"/>
          <w:color w:val="auto"/>
        </w:rPr>
        <w:t>In connection with the acquisition of The Grove at Shrewsbury and Brook 35 on January 1, 2014, we assumed mortgage loans with a face amount of $68.3 million and a fair value of $73.8 million. The mortgage loans are secured by the individual properties with the following contractual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Stated Interest Rate</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Maturity Date</w:t>
            </w:r>
          </w:p>
        </w:tc>
      </w:tr>
      <w:tr>
        <w:trPr>
          <w:trHeight w:val="263"/>
        </w:trPr>
        <w:tc>
          <w:tcPr>
            <w:tcW w:w="40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 Plaza</w:t>
            </w:r>
          </w:p>
        </w:tc>
        <w:tc>
          <w:tcPr>
            <w:tcW w:w="2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r>
      <w:tr>
        <w:trPr>
          <w:trHeight w:val="27"/>
        </w:trPr>
        <w:tc>
          <w:tcPr>
            <w:tcW w:w="40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2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1, 2018</w:t>
            </w:r>
          </w:p>
        </w:tc>
      </w:tr>
      <w:tr>
        <w:trPr>
          <w:trHeight w:val="459"/>
        </w:trPr>
        <w:tc>
          <w:tcPr>
            <w:tcW w:w="4020" w:type="dxa"/>
            <w:vAlign w:val="bottom"/>
          </w:tcPr>
          <w:p>
            <w:pPr>
              <w:spacing w:after="0"/>
              <w:rPr>
                <w:sz w:val="24"/>
                <w:szCs w:val="24"/>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2014, we refinanced or issued the following loans or debt securities: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4"/>
                <w:szCs w:val="14"/>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Stated</w:t>
            </w:r>
          </w:p>
        </w:tc>
        <w:tc>
          <w:tcPr>
            <w:tcW w:w="19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Refinance/Issuance Date</w:t>
            </w:r>
          </w:p>
        </w:tc>
        <w:tc>
          <w:tcPr>
            <w:tcW w:w="120" w:type="dxa"/>
            <w:vAlign w:val="bottom"/>
            <w:vMerge w:val="restart"/>
          </w:tcPr>
          <w:p>
            <w:pPr>
              <w:spacing w:after="0"/>
              <w:rPr>
                <w:sz w:val="14"/>
                <w:szCs w:val="14"/>
                <w:color w:val="auto"/>
              </w:rPr>
            </w:pPr>
          </w:p>
        </w:tc>
        <w:tc>
          <w:tcPr>
            <w:tcW w:w="19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Interest Rate</w:t>
            </w:r>
          </w:p>
        </w:tc>
        <w:tc>
          <w:tcPr>
            <w:tcW w:w="120" w:type="dxa"/>
            <w:vAlign w:val="bottom"/>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 Plaza Mortgage Loan</w:t>
            </w:r>
          </w:p>
        </w:tc>
        <w:tc>
          <w:tcPr>
            <w:tcW w:w="1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Refinance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2, 2014</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2029</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4.50% Senior Notes (1)</w:t>
            </w:r>
          </w:p>
        </w:tc>
        <w:tc>
          <w:tcPr>
            <w:tcW w:w="1440" w:type="dxa"/>
            <w:vAlign w:val="bottom"/>
          </w:tcPr>
          <w:p>
            <w:pPr>
              <w:ind w:left="340"/>
              <w:spacing w:after="0"/>
              <w:rPr>
                <w:sz w:val="20"/>
                <w:szCs w:val="20"/>
                <w:color w:val="auto"/>
              </w:rPr>
            </w:pPr>
            <w:r>
              <w:rPr>
                <w:rFonts w:ascii="Arial" w:cs="Arial" w:eastAsia="Arial" w:hAnsi="Arial"/>
                <w:sz w:val="18"/>
                <w:szCs w:val="18"/>
                <w:color w:val="auto"/>
              </w:rPr>
              <w:t>Issuance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14, 2014</w:t>
            </w:r>
          </w:p>
        </w:tc>
        <w:tc>
          <w:tcPr>
            <w:tcW w:w="1920" w:type="dxa"/>
            <w:vAlign w:val="bottom"/>
          </w:tcPr>
          <w:p>
            <w:pPr>
              <w:jc w:val="right"/>
              <w:spacing w:after="0"/>
              <w:rPr>
                <w:sz w:val="20"/>
                <w:szCs w:val="20"/>
                <w:color w:val="auto"/>
              </w:rPr>
            </w:pPr>
            <w:r>
              <w:rPr>
                <w:rFonts w:ascii="Arial" w:cs="Arial" w:eastAsia="Arial" w:hAnsi="Arial"/>
                <w:sz w:val="18"/>
                <w:szCs w:val="18"/>
                <w:color w:val="auto"/>
              </w:rPr>
              <w:t>December 1, 2044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AVENUE at White Marsh Mortgage Loan</w:t>
            </w:r>
          </w:p>
        </w:tc>
        <w:tc>
          <w:tcPr>
            <w:tcW w:w="1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Refinance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15, 2014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604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4135" cy="8255"/>
                    </a:xfrm>
                    <a:prstGeom prst="rect">
                      <a:avLst/>
                    </a:prstGeom>
                    <a:noFill/>
                  </pic:spPr>
                </pic:pic>
              </a:graphicData>
            </a:graphic>
          </wp:anchor>
        </w:drawing>
      </w:r>
    </w:p>
    <w:p>
      <w:pPr>
        <w:spacing w:after="0" w:line="155" w:lineRule="exact"/>
        <w:rPr>
          <w:sz w:val="20"/>
          <w:szCs w:val="20"/>
          <w:color w:val="auto"/>
        </w:rPr>
      </w:pPr>
    </w:p>
    <w:p>
      <w:pPr>
        <w:ind w:right="1160" w:firstLine="251"/>
        <w:spacing w:after="0" w:line="464" w:lineRule="auto"/>
        <w:tabs>
          <w:tab w:leader="none" w:pos="49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proceeds from this note offering after issuance discounts, underwriting fees and other costs were approximately $244.6 million. During 2014, we fully repaid or redeemed the following loans or debt securities: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Payoff Amount</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Repayment Date</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Maturity Date</w:t>
            </w:r>
          </w:p>
        </w:tc>
      </w:tr>
      <w:tr>
        <w:trPr>
          <w:trHeight w:val="263"/>
        </w:trPr>
        <w:tc>
          <w:tcPr>
            <w:tcW w:w="5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Melville Mall Mortgage Loan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3, 2014</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1, 2014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East Bay Bridge Mortgage Loan (1)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10, 2014</w:t>
            </w:r>
          </w:p>
        </w:tc>
        <w:tc>
          <w:tcPr>
            <w:tcW w:w="1920" w:type="dxa"/>
            <w:vAlign w:val="bottom"/>
          </w:tcPr>
          <w:p>
            <w:pPr>
              <w:jc w:val="right"/>
              <w:spacing w:after="0"/>
              <w:rPr>
                <w:sz w:val="20"/>
                <w:szCs w:val="20"/>
                <w:color w:val="auto"/>
              </w:rPr>
            </w:pPr>
            <w:r>
              <w:rPr>
                <w:rFonts w:ascii="Arial" w:cs="Arial" w:eastAsia="Arial" w:hAnsi="Arial"/>
                <w:sz w:val="18"/>
                <w:szCs w:val="18"/>
                <w:color w:val="auto"/>
              </w:rPr>
              <w:t>March 1, 2016</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5.65% Senior Notes (2)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12, 2014</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7"/>
        </w:trPr>
        <w:tc>
          <w:tcPr>
            <w:tcW w:w="5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68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9860" cy="8255"/>
                    </a:xfrm>
                    <a:prstGeom prst="rect">
                      <a:avLst/>
                    </a:prstGeom>
                    <a:noFill/>
                  </pic:spPr>
                </pic:pic>
              </a:graphicData>
            </a:graphic>
          </wp:anchor>
        </w:drawing>
      </w:r>
    </w:p>
    <w:p>
      <w:pPr>
        <w:spacing w:after="0" w:line="155" w:lineRule="exact"/>
        <w:rPr>
          <w:sz w:val="20"/>
          <w:szCs w:val="20"/>
          <w:color w:val="auto"/>
        </w:rPr>
      </w:pPr>
    </w:p>
    <w:p>
      <w:pPr>
        <w:ind w:left="260" w:right="220" w:hanging="9"/>
        <w:spacing w:after="0" w:line="258" w:lineRule="auto"/>
        <w:tabs>
          <w:tab w:leader="none" w:pos="5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amount due at payoff of $64.0 million included a prepayment premium of $3.0 million and accrued but unpaid interest of $0.1 million. The prepayment premium is included in "early extinguishment of debt" in 2014</w:t>
      </w:r>
    </w:p>
    <w:p>
      <w:pPr>
        <w:spacing w:after="0" w:line="1" w:lineRule="exact"/>
        <w:rPr>
          <w:rFonts w:ascii="Arial" w:cs="Arial" w:eastAsia="Arial" w:hAnsi="Arial"/>
          <w:sz w:val="18"/>
          <w:szCs w:val="18"/>
          <w:color w:val="auto"/>
        </w:rPr>
      </w:pPr>
    </w:p>
    <w:p>
      <w:pPr>
        <w:ind w:left="260" w:right="600" w:hanging="9"/>
        <w:spacing w:after="0" w:line="276" w:lineRule="auto"/>
        <w:tabs>
          <w:tab w:leader="none" w:pos="5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price of $134.5 million included a make-whole premium of approximately $9.2 million and accrued but unpaid interest of $0.2 million. The make-whole premium is included in "early extinguishment of debt" in 2014.</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28, 2014, we amended our term loan agreement and lowered the spread over LIBOR by 40 basis points from 130 basis points to 90 basis points based on our current credit rating. The amendment also provides us the option to extend the maturity date by one year.</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December 31, 2014, we issued 469,200 common shares at the weighted average price per share of $132.54 for net cash proceeds of $61.5 million and paid $0.6 million in commissions and less than $0.1 million in additional offering expenses related to the sales of these common shares. For the year ended December 31, 2014, we issued 1,768,583 common shares at a weighted average price per share of $122.09 for net cash proceeds of $213.6 million and paid $2.2 million in commissions and $0.2 million in additional offering expenses related to the sales of these common shares. As of December 31, 2014, we had the capacity to issue up to $84.1 million in common shares under our ATM equity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remain optimistic given the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December 31, 2014, no single tenant accounted for more than 3.1% of annualized base rent.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2015, we expect to have redevelopment projects stabilizing with projected costs of approximately $67 million.</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our ongoing redevelopment efforts at Santana Row. Our most recent 212 unit residential building was completed during second quarter. The building was 98.6% leased as of December 31, 2014, and had a total cost of $76 million. We are also proceeding with our next phase of redevelopment which is a six story building including approximately 225,500 square feet of office space, 1,500 square feet of retail space, and 670 parking spaces. After current phases, we have approximately 9 acres remaining for further redevelopment and entitlements in place for an additional 348 residential units and 69,000 square feet of commercial space. We are currently in the process of seeking additional entitlements and have under control an additional 12 acres of land adjacent to Santana Row.</w:t>
      </w:r>
    </w:p>
    <w:p>
      <w:pPr>
        <w:spacing w:after="0" w:line="1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continue to invest in the development at Assembly Row which is a long-term development project we expect to be involved in over the coming years. The carrying value of the development portion of this project at December 31, 2014 is approximately $359 million. The project currently has zoning entitlements to build 3.4 million square feet of commercial-use buildings, 1,843 residential units, and a 170 room hotel. The first phase consists of approximately 326,000 square feet of retail space and 98,000 square feet of office space (both owned by the Trust) and 450 residential units owned by AvalonBay Communities. The Massachusetts Bay Transit Authority (MBTA) constructed the new orange line T-Stop at the property, which opened in September 2014. Minimal amounts of construction remain to be completed on the first phase. The retail space in Phase I opened during 2014 and currently is 97.3% leased; the office space will open in 2015. Phase I is expected to stabilize in 2015/2016. Total expected costs for Phase I of Assembly Row range from $190 million to $200 million (net of reimbursements) of which $189 million has been incurred to date. In total, we invested $74 million in Assembly Row in 2014, net of public funding, and expect to invest between $20 million and $30 million in Assembly Row in 2015.</w:t>
      </w:r>
    </w:p>
    <w:p>
      <w:pPr>
        <w:spacing w:after="0" w:line="1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Additionally, we entered into a ground lease agreement with Partners HealthCare to bring more than 700,000 square feet of office space and an additional 100,000 square feet of retail space to Assembly Row. The ground lease agreement includes a purchase option. Partners HealthCare commenced construction on this new building in September 2014 and plans to relocate over 4,500 employees to Assembly Row starting in 2016.</w:t>
      </w:r>
    </w:p>
    <w:p>
      <w:pPr>
        <w:spacing w:after="0" w:line="111" w:lineRule="exact"/>
        <w:rPr>
          <w:sz w:val="20"/>
          <w:szCs w:val="20"/>
          <w:color w:val="auto"/>
        </w:rPr>
      </w:pPr>
    </w:p>
    <w:p>
      <w:pPr>
        <w:jc w:val="both"/>
        <w:ind w:right="220"/>
        <w:spacing w:after="0" w:line="287" w:lineRule="auto"/>
        <w:rPr>
          <w:sz w:val="20"/>
          <w:szCs w:val="20"/>
          <w:color w:val="auto"/>
        </w:rPr>
      </w:pPr>
      <w:r>
        <w:rPr>
          <w:rFonts w:ascii="Arial" w:cs="Arial" w:eastAsia="Arial" w:hAnsi="Arial"/>
          <w:sz w:val="16"/>
          <w:szCs w:val="16"/>
          <w:color w:val="auto"/>
        </w:rPr>
        <w:t>Our Pike &amp; Rose project in North Bethesda, MD, a long-term multi-phased mixed-use project, currently has zoning entitlements to build 1.6 million square feet of commercial-use buildings and 1,605 residential units. Phase I of Pike &amp; Rose involved demolition of roughly 25% of the gross leasable area at Mid-Pike Plaza (which was completed during the second quarter of 2012). The remainder of Mid-Pike Plaza was fully demolished in the third quarter of 2014.</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Phase I of Pike &amp; Rose includes 493 residential units, 151,000 square feet of retail space and 79,000 square feet of office space. In late June 2014, our 174 unit residential building opened and is 85.1% leased as of December 31, 2014. Approximately 79,000 square feet of the retail space in Phase I opened in 2014 and we expect the remaining retail, office and 319 unit residential building to open in 2015. We expect Phase I to stabilize in 2015/2016. Total expected costs for Phase I of Pike &amp; Rose range from $255 million to $265 million of which $217 million has been incurred to date.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Additionally, we are proceeding with development of Phase II of Pike &amp; Rose and expect building construction to commence in the first half of 2015. Phase II is expected to include approximately 185,000 square feet of retail space, a 177-room select-service hotel and 264 residential units. Total expected costs range from $195 million to $200 million and stabilization is expected in 2018/2019. The hotel will be owned and operated by a joint venture in which we will be a partner. Phase II is also expected to include 104 for-sale condominium units with an expected cost of $50 million to $53 million. We invested $128 million in Pike &amp; Rose in 2014 and expect to invest between $80 million and $110 million in Pike &amp; Rose in 2015.</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acquisitions through the issuance of common shares, preferred shares, or downREIT units as well as through new or assumed mortgages.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2014, the leasable square feet in our properties was 94.7% occupied and 95.6%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year ended December 31, 2014 and the comparison of 2014 and 2013, all or a portion of 78 properties were considered same-center and thirteen properties were considered redevelopment or expansion. For the year ended December 31, 2014, two properties were moved from same-center to redevelopment, one property was moved from redevelopment to same-center, and one property was moved from redevelopment as it was vacant and was demolished in 2014, compared to the designations as of December 31, 2013. For the year ended December 31, 2013 and the comparison of 2013 and 2012, all or a portion of 79 properties were considered same-center and eleven properties were considered redevelopment or expansion. For the year ended December 31, 2013, three properties were moved from acquisition to same-center and one property was moved from redevelopment to same-center compared to the designations as of December 31, 2012.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6" w:right="2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666,322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620,089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46,233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2,589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686,090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637,413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48,677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4,747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190,454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21,469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474,167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446,959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27,208</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2,759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(170,814)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167,888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137,811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30,077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(23,861)</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172,289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167,608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4,681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164,535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162,681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1,854</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Total property revenue increased $48.7 million, or 7.6%, to $686.1 million in 2014 compared to $637.4 million in 2013. The percentage occupied at our shopping centers decreased to 94.7% at December 31, 2014 compared to 95.1% at December 31, 2013.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$46.2 million, or 7.5%, to $666.3 million in 2014 compared to $620.1 million in 2013 due primarily to the following:</w:t>
      </w:r>
    </w:p>
    <w:p>
      <w:pPr>
        <w:spacing w:after="0" w:line="8" w:lineRule="exact"/>
        <w:rPr>
          <w:sz w:val="20"/>
          <w:szCs w:val="20"/>
          <w:color w:val="auto"/>
        </w:rPr>
      </w:pPr>
    </w:p>
    <w:p>
      <w:pPr>
        <w:ind w:left="1700" w:right="320" w:hanging="802"/>
        <w:spacing w:after="0" w:line="298" w:lineRule="auto"/>
        <w:tabs>
          <w:tab w:leader="none" w:pos="1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increase of $17.7 million at same-center properties due primarily to higher rental rates of approximately $9.4 million and a $7.4 million increase in recovery income (largely the result of reimbursements for higher snow removal costs),</w:t>
      </w:r>
    </w:p>
    <w:p>
      <w:pPr>
        <w:ind w:left="1700" w:hanging="802"/>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$16.6 million attributable to properties acquired in 2014 and 2013,</w:t>
      </w:r>
    </w:p>
    <w:p>
      <w:pPr>
        <w:spacing w:after="0" w:line="62" w:lineRule="exact"/>
        <w:rPr>
          <w:rFonts w:ascii="Arial" w:cs="Arial" w:eastAsia="Arial" w:hAnsi="Arial"/>
          <w:sz w:val="18"/>
          <w:szCs w:val="18"/>
          <w:color w:val="auto"/>
        </w:rPr>
      </w:pPr>
    </w:p>
    <w:p>
      <w:pPr>
        <w:ind w:left="1700" w:right="560" w:hanging="802"/>
        <w:spacing w:after="0" w:line="277" w:lineRule="auto"/>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$8.0 million at redevelopment properties due primarily to the lease-up of our new 212 unit residential building at Santana Row and the net impact of other redevelopment properties, and</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of $6.4 million from Assembly Row and Pike &amp;Rose as portions of both projects opened in 2014,</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5620" w:right="240" w:hanging="4722"/>
        <w:spacing w:after="0" w:line="558" w:lineRule="auto"/>
        <w:tabs>
          <w:tab w:leader="none" w:pos="17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$1.9 million from Mid-Pike Plaza as the property was demolished in 2014 for the future development of Pike &amp; Rose. 37</w:t>
      </w:r>
    </w:p>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Other property income increased $2.6 million, or 21.3%, to $14.8 million in 2014 compared to $12.2 million in 2013. Included in other property income are items which, although recurring, inherently tend to fluctuate more than rental income from period to period, such as lease termination fees. This increase is primarily due to an increase in lease termination fees at same-center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property expenses increased $21.5 million, or 11.3%, to $211.9 million in 2014 compared to $190.5 million in 2013.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Rental expenses increased $16.7 million, or 14.1%, to $135.4 million in 2014 compared to $118.7 million in 2013. This increase is primarily due to the following:</w:t>
      </w:r>
    </w:p>
    <w:p>
      <w:pPr>
        <w:spacing w:after="0" w:line="8" w:lineRule="exact"/>
        <w:rPr>
          <w:sz w:val="20"/>
          <w:szCs w:val="20"/>
          <w:color w:val="auto"/>
        </w:rPr>
      </w:pPr>
    </w:p>
    <w:p>
      <w:pPr>
        <w:ind w:left="1700" w:right="120" w:hanging="802"/>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$5.6 million in repairs and maintenance expenses at same-center and redevelopment properties primarily due to higher snow removal costs,</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$5.4 million related to Assembly Row and Pike &amp; Rose, as portions of these projects opened in 2014,</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$3.2 million related to properties acquired in 2014 and 2013,</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$1.6 million in bad debt expense at same-center properties, and</w:t>
      </w:r>
    </w:p>
    <w:p>
      <w:pPr>
        <w:spacing w:after="0" w:line="62" w:lineRule="exact"/>
        <w:rPr>
          <w:rFonts w:ascii="Arial" w:cs="Arial" w:eastAsia="Arial" w:hAnsi="Arial"/>
          <w:sz w:val="18"/>
          <w:szCs w:val="18"/>
          <w:color w:val="auto"/>
        </w:rPr>
      </w:pPr>
    </w:p>
    <w:p>
      <w:pPr>
        <w:ind w:left="1700" w:hanging="802"/>
        <w:spacing w:after="0" w:line="277" w:lineRule="auto"/>
        <w:tabs>
          <w:tab w:leader="none" w:pos="1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$0.8 million in utilities at our same-center and redevelopment properties primarily due to higher electric costs and usage as a result of the harsh winter.</w:t>
      </w:r>
    </w:p>
    <w:p>
      <w:pPr>
        <w:spacing w:after="0" w:line="116" w:lineRule="exact"/>
        <w:rPr>
          <w:sz w:val="20"/>
          <w:szCs w:val="20"/>
          <w:color w:val="auto"/>
        </w:rPr>
      </w:pPr>
    </w:p>
    <w:p>
      <w:pPr>
        <w:ind w:right="500"/>
        <w:spacing w:after="0" w:line="307"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19.9% for the year ended December 31, 2014 from 18.8% for the year ended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color w:val="auto"/>
        </w:rPr>
        <w:t>Real estate tax expense increased $4.7 million, or 6.6% to $76.5 million in 2014 compared to $71.8 million in 2013 due primarily to higher assessments and lower refunds at our same-center and redevelopment properties and real estate taxes on properties acquired in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Property operating income increased $27.2 million, or 6.1%, to $474.2 million in 2014 compared to $447.0 million in 2013. This increase is primarily due to growth in earnings at same-center properties, properties acquired in 2014 and 2013, and earnings from our redevelopment properties, partially offset by a decline in earnings at Mid-Pike Plaza, which was demolished in 2014.</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Interest expense decreased $11.0 million, or 10.5%, to $93.9 million in 2014 compared to $105.0 million in 2013. This decrease is due primarily to the following:</w:t>
      </w:r>
    </w:p>
    <w:p>
      <w:pPr>
        <w:spacing w:after="0" w:line="8" w:lineRule="exact"/>
        <w:rPr>
          <w:sz w:val="20"/>
          <w:szCs w:val="20"/>
          <w:color w:val="auto"/>
        </w:rPr>
      </w:pPr>
    </w:p>
    <w:p>
      <w:pPr>
        <w:ind w:left="1700" w:hanging="802"/>
        <w:spacing w:after="0"/>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$12.0 million due to a lower overall weighted average borrowing rate, and</w:t>
      </w:r>
    </w:p>
    <w:p>
      <w:pPr>
        <w:spacing w:after="0" w:line="62" w:lineRule="exact"/>
        <w:rPr>
          <w:rFonts w:ascii="Arial" w:cs="Arial" w:eastAsia="Arial" w:hAnsi="Arial"/>
          <w:sz w:val="18"/>
          <w:szCs w:val="18"/>
          <w:color w:val="auto"/>
        </w:rPr>
      </w:pPr>
    </w:p>
    <w:p>
      <w:pPr>
        <w:ind w:left="1700" w:right="300" w:hanging="802"/>
        <w:spacing w:after="0" w:line="277" w:lineRule="auto"/>
        <w:tabs>
          <w:tab w:leader="none" w:pos="1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increase of $4.8 million in capitalized interest due primarily to our ongoing development projects at Assembly Row and Pike &amp; Rose,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$5.6 million due to higher borrowings.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interest costs were $114.9 million and $121.2 million in 2014 and 2013, respectively. Capitalized interest was $21.0 million and $16.2 million in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6" w:right="2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spacing w:after="0" w:line="334" w:lineRule="auto"/>
        <w:rPr>
          <w:sz w:val="20"/>
          <w:szCs w:val="20"/>
          <w:color w:val="auto"/>
        </w:rPr>
      </w:pPr>
      <w:r>
        <w:rPr>
          <w:rFonts w:ascii="Arial" w:cs="Arial" w:eastAsia="Arial" w:hAnsi="Arial"/>
          <w:sz w:val="16"/>
          <w:szCs w:val="16"/>
          <w:color w:val="auto"/>
        </w:rPr>
        <w:t>The $10.5 million early extinguishment of debt in 2014 relates to the make-whole premium paid as part of the early redemption of our 5.65% senior notes, the prepayment premium on our East Bay Bridge mortgage loan, and the related write-off of unamortized debt fees and mortgage premium balance.</w:t>
      </w:r>
    </w:p>
    <w:p>
      <w:pPr>
        <w:spacing w:after="0" w:line="1"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The $13.3 million early extinguishment of debt in 2013 relates to the make-whole premiums paid as part of the early redemption of our 5.40% senior notes and 5.95% senior notes, the prepayment premium on our 7.5% mortgage loans, and the related write-off of unamortized debt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Depreciation and amortization expense increased $10.0 million, or 6.2%, to $170.8 million in 2014 from $160.8 million in 2013. This increase is due primarily to 2014 acquisitions and redevelopment projects placed in service in 2014, partially offset by accelerated depreciation in 2013 due to the change in use of a redevelopment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$0.9 million for 2013 primarily represents the operating income for the period during which we owned properties sold in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$23.9 million gain on sale of real estate from discontinued operations for 2013 is due to the sale of the fee interest in our final building at Fifth Avenue on July 22, 2013 and the sale of the fee interest in our building in Forest Hills on September 10,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$4.4 million gain on sale of real estate for 2014 is due to our portion of the gain resulting from the Partnership's sale of the fee interest in Pleasant Shops in Weymouth, Massachusetts.</w:t>
      </w:r>
    </w:p>
    <w:p>
      <w:pPr>
        <w:spacing w:after="0" w:line="3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$5.0 million gain on sale of real estate for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6" w:right="2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3"/>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620,089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580,114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39,975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(8,042)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637,413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605,791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31,622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112,616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71,759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66,454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5,305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11,384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446,959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426,721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20,238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(13,304)</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(19,127)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(309,148)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(25,399)</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6"/>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142,972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Discontinued operations - gain on sale of real estate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23,861</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36"/>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167,608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156,232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11,376</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162,681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151,925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10,756</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Total property revenue increased $31.6 million, or 5.2%, to $637.4 million in 2013 compared to $605.8 million in 2012. The percentage occupied at our shopping centers increased to 95.1% at December 31, 2013 compared to 94.9% at December 31, 2012. Changes in the components of property revenue are discussed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$40.0 million, or 6.9%, to $620.1 million in 2013 compared to $580.1 million in 2012 due primarily to the following:</w:t>
      </w:r>
    </w:p>
    <w:p>
      <w:pPr>
        <w:spacing w:after="0" w:line="8" w:lineRule="exact"/>
        <w:rPr>
          <w:sz w:val="20"/>
          <w:szCs w:val="20"/>
          <w:color w:val="auto"/>
        </w:rPr>
      </w:pPr>
    </w:p>
    <w:p>
      <w:pPr>
        <w:ind w:left="1700" w:right="460" w:hanging="802"/>
        <w:spacing w:after="0" w:line="298" w:lineRule="auto"/>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 increase of $23.3 million at same-center properties due primarily to higher rental rates of approximately $11.6 million, higher occupancy of approximately $3.9 million, and an increase in recovery income due to higher recoverable expenses,</w:t>
      </w:r>
    </w:p>
    <w:p>
      <w:pPr>
        <w:ind w:left="1700" w:hanging="802"/>
        <w:spacing w:after="0"/>
        <w:tabs>
          <w:tab w:leader="none" w:pos="1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of $14.0 million attributable to properties acquired in 2013 and 2012, and</w:t>
      </w:r>
    </w:p>
    <w:p>
      <w:pPr>
        <w:spacing w:after="0" w:line="62" w:lineRule="exact"/>
        <w:rPr>
          <w:rFonts w:ascii="Arial" w:cs="Arial" w:eastAsia="Arial" w:hAnsi="Arial"/>
          <w:sz w:val="18"/>
          <w:szCs w:val="18"/>
          <w:color w:val="auto"/>
        </w:rPr>
      </w:pPr>
    </w:p>
    <w:p>
      <w:pPr>
        <w:ind w:left="1700" w:right="80" w:hanging="802"/>
        <w:spacing w:after="0" w:line="341" w:lineRule="auto"/>
        <w:tabs>
          <w:tab w:leader="none" w:pos="1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 increase of $2.0 million at redevelopment properties due primarily to the lease-up and stabilization of certain of our redevelopment properties partially offset by lower income from Mid-Pike Plaza as the property was prepared for the development of Pike &amp; Rose.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Other property income decreased $8.0 million, or 39.8%, to $12.2 million in 2013 compared to $20.2 million in 2012. Included in other property income are items which, although recurring, inherently tend to fluctuate more than rental income from period to period, such as lease termination fees. This decrease is primarily due to lower lease termination fees at same-center properties, largely from a $6.0 million lease termination fee received in 2012 from an anchor tenant at Ellisburg Shopping Center.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property expenses increased $11.4 million, or 6.4%, to $190.5 million in 2013 compared to $179.1 million in 2012. Changes in the components of property expenses are discussed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Rental expenses increased $6.1 million, or 5.4%, to $118.7 million in 2013 compared to $112.6 million in 2012. This increase is primarily due to the following:</w:t>
      </w:r>
    </w:p>
    <w:p>
      <w:pPr>
        <w:spacing w:after="0" w:line="8" w:lineRule="exact"/>
        <w:rPr>
          <w:sz w:val="20"/>
          <w:szCs w:val="20"/>
          <w:color w:val="auto"/>
        </w:rPr>
      </w:pPr>
    </w:p>
    <w:p>
      <w:pPr>
        <w:ind w:left="1700" w:right="180" w:hanging="802"/>
        <w:spacing w:after="0" w:line="277" w:lineRule="auto"/>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$4.0 million in repairs and maintenance expenses at same-center and redevelopment properties primarily due to snow removal costs,</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$2.1 million related to properties acquired in 2013 and 2012,</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$1.3 million in marketing expenses primarily at our Assembly Row and Pike &amp; Rose projects,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$1.7 million in bad debt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Rental expenses as a percentage of rental income plus other property income was 18.8% for the years ended December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 estate tax expense increased $5.3 million, or 8.0% to $71.8 million in 2013 compared to $66.5 million in 2012 due primarily to net higher assessments at same-center properties and properties acquired in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Property operating income increased $20.2 million, or 4.7%, to $447.0 million in 2013 compared to $426.7 million in 2012. This increase is primarily due to growth in earnings at same-center properties, properties acquired in 2013 and 2012, and redevelopment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Interest expense decreased $8.4 million, or 7.4%, to $105.0 million in 2013 compared to $113.3 million in 2012. This decrease is due primarily to the following:</w:t>
      </w:r>
    </w:p>
    <w:p>
      <w:pPr>
        <w:spacing w:after="0" w:line="8" w:lineRule="exact"/>
        <w:rPr>
          <w:sz w:val="20"/>
          <w:szCs w:val="20"/>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$11.6 million due to a lower overall weighted average borrowing rate,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$6.1 million in capitalized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$9.3 million due to higher borrowings.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interest costs were $121.2 million and $123.4 million in 2013 and 2012, respectively. Capitalized interest was $16.2 million and $10.1 million in 2013 and 2012,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The $13.3 million early extinguishment of debt in 2013 relates to the make-whole premiums paid as part of the early redemption of our 5.40% senior notes and 5.95% senior notes, the prepayment premium on our 7.5% mortgage loans, and the related write-off of unamortized debt fees.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 increased $0.8 million, or 2.6%, to $32.0 million in 2013 from $31.2 million in 2012. This increase is due primarily to an increase in employee related costs and transaction costs partially offset by costs incurred in 2012 related to the CFO transition.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6" w:right="27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80"/>
        <w:spacing w:after="0" w:line="307" w:lineRule="auto"/>
        <w:rPr>
          <w:sz w:val="20"/>
          <w:szCs w:val="20"/>
          <w:color w:val="auto"/>
        </w:rPr>
      </w:pPr>
      <w:r>
        <w:rPr>
          <w:rFonts w:ascii="Arial" w:cs="Arial" w:eastAsia="Arial" w:hAnsi="Arial"/>
          <w:sz w:val="17"/>
          <w:szCs w:val="17"/>
          <w:color w:val="auto"/>
        </w:rPr>
        <w:t>Depreciation and amortization expense increased $19.1 million, or 13.5%, to $160.8 million in 2013 from $141.7 million in 2012. This increase is due primarily to 2013 and 2012 acquisitions and accelerated depreciation due to the change in use of a redevelopment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Income</w:t>
      </w:r>
    </w:p>
    <w:p>
      <w:pPr>
        <w:spacing w:after="0" w:line="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Income from discontinued operations represents the operating income of properties that were disposed prior to January 1, 2014, which were required to be reported separately from results of ongoing operations. The reported operating income of $0.9 million and $1.4 million for 2013 and 2012, respectively, primarily represents the operating income for the period during which we owned properties sold in 2013.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$23.9 million gain on sale of real estate from discontinued operations for 2013 is due to the sale of the fee interest in our final building at Fifth Avenue on July 22, 2013 and the sale of the fee interest in our building in Forest Hills on September 10,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$5.0 million gain on sale of real estate for 2013 is primarily due to the sale of the fee interest in the land under an office building at our Village of Shirlington property in Arlington, Virginia, that was subject to a long term ground lease. The ground lease included an option for the tenant to purchase the fee interest.</w:t>
      </w:r>
    </w:p>
    <w:p>
      <w:pPr>
        <w:spacing w:after="0" w:line="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$11.9 million gain on sale of real estate in 2012 is due to the sale of our Newbury Street Partnership's entire portfolio of three buildings on October 31, 2011. Due to the timing of receiving information from the general partner, our share of earnings was recorded one quarter in arrears. Therefore, we recognized the gain on sale of $11.9 million in 2012.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At December 31, 2014, we had $48.0 million of cash and cash equivalents and no borrowings outstanding on our $600.0 million revolving credit facility that matures on April 21, 2017, subject to a one-year extension at our option. In addition, we have an option (subject to bank approval) to increase the credit facility through an accordion feature to $1.0 billion. Our $275.0 million unsecured term loan that matures on November 21, 2018, subject to a one-year extension at our option, also has an option (subject to bank approval) to increase the term loan through an accordion feature to $350.0 million. As of December 31, 2014, we had the capacity to issue up to $84.1 million in common shares under our ATM equity program.</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2014, the maximum amount of borrowings outstanding under our revolving credit facility was $79.5 million, the weighted average amount of borrowings outstanding was $12.5 million and the weighted average interest rate, before amortization of debt fees, was 1.07%. In November 2014, we accessed the public debt markets issuing $250 million of 30-year unsecured senior notes which bear interest at 4.5%. The opportunistic issuance resulted in net proceeds of $244.6 million which were used to address $186 million of our 2016 debt maturities.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6" w:right="2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We currently believe that cash flows from operations, cash on hand, our ATM equity program, our revolving credit facility and our general ability to access the capital markets will be sufficient to finance our operations and fund our debt service requirements and capital expenditures.</w:t>
      </w:r>
    </w:p>
    <w:p>
      <w:pPr>
        <w:spacing w:after="0" w:line="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overall capital requirements during 2015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2015 which is the result of the continued development at both Assembly Row and Pike &amp; Rose with openings of portions of both projects in 2015, the commencement of construction on Phase II of Pike &amp; Rose, and the current phase of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60" w:hanging="802"/>
        <w:spacing w:after="0" w:line="250" w:lineRule="auto"/>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2"/>
        <w:spacing w:after="0"/>
        <w:tabs>
          <w:tab w:leader="none" w:pos="1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346,130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314,498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(396,150)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(345,198)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82,639</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51,939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36,988</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47,951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88,927</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Net cash provided by operating activities increased $31.6 million to $346.1 million during 2014 from $314.5 million during 2013. The increase was primarily attributable to higher net income before certain non-cash items.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Net cash used in investing activities increased $51.0 million to $396.2 million during 2014 from $345.2 million during 2013. The increase was primarily attributable to:</w:t>
      </w:r>
    </w:p>
    <w:p>
      <w:pPr>
        <w:spacing w:after="0" w:line="278" w:lineRule="exact"/>
        <w:rPr>
          <w:sz w:val="20"/>
          <w:szCs w:val="20"/>
          <w:color w:val="auto"/>
        </w:rPr>
      </w:pPr>
    </w:p>
    <w:p>
      <w:pPr>
        <w:ind w:left="1700" w:right="20" w:hanging="802"/>
        <w:spacing w:after="0" w:line="277" w:lineRule="auto"/>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$93.7 million increase in capital investments and leasing costs in 2014 primarily related to our development projects at Assembly Row and Pike &amp; Rose,</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$42.9 million in proceeds from the sale of real estate in 2013,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$6.7 million contribution to our real estate partnership to repay the mortgage loans of two of its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$78.1 million decrease in acquisitions of real estate,</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$10.4 million in distributions from our real estate partnership from the sale of Pleasant Shops in July 2014,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$3.6 million received from the payoff of a mortgage loan receivable in July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cash provided by financing activities decreased $73.6 million to $9.0 million during 2014 from $82.6 million in 2013. The decrease was primarily attributable to:</w:t>
      </w:r>
    </w:p>
    <w:p>
      <w:pPr>
        <w:spacing w:after="0" w:line="8" w:lineRule="exact"/>
        <w:rPr>
          <w:sz w:val="20"/>
          <w:szCs w:val="20"/>
          <w:color w:val="auto"/>
        </w:rPr>
      </w:pPr>
    </w:p>
    <w:p>
      <w:pPr>
        <w:ind w:left="1700" w:right="140" w:hanging="802"/>
        <w:spacing w:after="0" w:line="263"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$319.8 million decrease from net proceeds on senior note issuances due to $244.6 million from our 4.50% senior notes issued in November 2014 as compared to $564.4 million from the issuance of our 2.75% senior notes in May 2013 and our 3.95% senior notes in December 2013, and</w:t>
      </w:r>
    </w:p>
    <w:p>
      <w:pPr>
        <w:spacing w:after="0" w:line="20" w:lineRule="exact"/>
        <w:rPr>
          <w:rFonts w:ascii="Arial" w:cs="Arial" w:eastAsia="Arial" w:hAnsi="Arial"/>
          <w:sz w:val="18"/>
          <w:szCs w:val="18"/>
          <w:color w:val="auto"/>
        </w:rPr>
      </w:pPr>
    </w:p>
    <w:p>
      <w:pPr>
        <w:ind w:left="1700" w:right="600" w:hanging="802"/>
        <w:spacing w:after="0" w:line="277" w:lineRule="auto"/>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$22.2 million increase in dividends paid to shareholders due to an increase in the dividend rate and increased number of shares outstanding,</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340" w:hanging="802"/>
        <w:spacing w:after="0" w:line="277" w:lineRule="auto"/>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$159.1 million decrease due to the redemption of $125.0 million of senior notes in 2014, as compared to the redemption of $285.0 million of senior notes in 2013,</w:t>
      </w:r>
    </w:p>
    <w:p>
      <w:pPr>
        <w:spacing w:after="0" w:line="7" w:lineRule="exact"/>
        <w:rPr>
          <w:rFonts w:ascii="Arial" w:cs="Arial" w:eastAsia="Arial" w:hAnsi="Arial"/>
          <w:sz w:val="18"/>
          <w:szCs w:val="18"/>
          <w:color w:val="auto"/>
        </w:rPr>
      </w:pPr>
    </w:p>
    <w:p>
      <w:pPr>
        <w:ind w:left="1700" w:right="120" w:hanging="802"/>
        <w:spacing w:after="0" w:line="277" w:lineRule="auto"/>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$79.3 million decrease in repayment of mortgages, capital leases and notes payable due to the payoff of two mortgages totaling $84.3 million in 2014 compared to the repayment of six mortgages totaling $161.7 million in 2013, and</w:t>
      </w:r>
    </w:p>
    <w:p>
      <w:pPr>
        <w:spacing w:after="0" w:line="7" w:lineRule="exact"/>
        <w:rPr>
          <w:rFonts w:ascii="Arial" w:cs="Arial" w:eastAsia="Arial" w:hAnsi="Arial"/>
          <w:sz w:val="18"/>
          <w:szCs w:val="18"/>
          <w:color w:val="auto"/>
        </w:rPr>
      </w:pPr>
    </w:p>
    <w:p>
      <w:pPr>
        <w:ind w:left="1700" w:right="160" w:hanging="802"/>
        <w:spacing w:after="0" w:line="263" w:lineRule="auto"/>
        <w:tabs>
          <w:tab w:leader="none" w:pos="1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$29.6 million increase in net proceeds from the issuance of common shares due primarily to the sale of 1.8 million shares under our ATM equity program at a weighted average price of $122.09 during 2014 compared to 1.7 million shares at a weighted average price of $108.01 during 2013.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2014:</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4"/>
                <w:szCs w:val="14"/>
                <w:b w:val="1"/>
                <w:bCs w:val="1"/>
                <w:color w:val="auto"/>
                <w:w w:val="92"/>
              </w:rPr>
              <w:t>Commitments Due by Period</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1240" w:type="dxa"/>
            <w:vAlign w:val="bottom"/>
            <w:gridSpan w:val="2"/>
          </w:tcPr>
          <w:p>
            <w:pPr>
              <w:jc w:val="center"/>
              <w:ind w:right="340"/>
              <w:spacing w:after="0" w:line="152"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6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3"/>
                <w:szCs w:val="13"/>
                <w:color w:val="auto"/>
              </w:rPr>
            </w:pPr>
          </w:p>
        </w:tc>
        <w:tc>
          <w:tcPr>
            <w:tcW w:w="1080" w:type="dxa"/>
            <w:vAlign w:val="bottom"/>
          </w:tcPr>
          <w:p>
            <w:pPr>
              <w:jc w:val="right"/>
              <w:ind w:right="373"/>
              <w:spacing w:after="0" w:line="152"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1 Year</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rate debt (principal and interest)(1)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3,181,151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259,064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602,388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437,453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1,882,246</w:t>
            </w:r>
          </w:p>
        </w:tc>
        <w:tc>
          <w:tcPr>
            <w:tcW w:w="0" w:type="dxa"/>
            <w:vAlign w:val="bottom"/>
          </w:tcPr>
          <w:p>
            <w:pPr>
              <w:spacing w:after="0"/>
              <w:rPr>
                <w:sz w:val="1"/>
                <w:szCs w:val="1"/>
                <w:color w:val="auto"/>
              </w:rPr>
            </w:pPr>
          </w:p>
        </w:tc>
      </w:tr>
      <w:tr>
        <w:trPr>
          <w:trHeight w:val="228"/>
        </w:trPr>
        <w:tc>
          <w:tcPr>
            <w:tcW w:w="4120" w:type="dxa"/>
            <w:vAlign w:val="bottom"/>
          </w:tcPr>
          <w:p>
            <w:pPr>
              <w:ind w:left="40"/>
              <w:spacing w:after="0"/>
              <w:rPr>
                <w:sz w:val="20"/>
                <w:szCs w:val="20"/>
                <w:color w:val="auto"/>
              </w:rPr>
            </w:pPr>
            <w:r>
              <w:rPr>
                <w:rFonts w:ascii="Arial" w:cs="Arial" w:eastAsia="Arial" w:hAnsi="Arial"/>
                <w:sz w:val="18"/>
                <w:szCs w:val="18"/>
                <w:color w:val="auto"/>
                <w:w w:val="92"/>
              </w:rPr>
              <w:t>Fixed rate debt - unconsolidated real estate partnership</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(principal and interest)(2)</w:t>
            </w:r>
          </w:p>
        </w:tc>
        <w:tc>
          <w:tcPr>
            <w:tcW w:w="34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(principal and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160,210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Variable rate debt (principal only)(3)</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9,400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165,763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154,211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Real estate commitments(4)(5)</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76,332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Development, redevelopment, and capital improvement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232,276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181,065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Contractual operating obligations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14,916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3,889,683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471,756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698,280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2,264,227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Fixed rate debt includes our $275.0 million term loan as the rate is effectively fixed by two interest rate swap agreements.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reflect our share of principal and interest payments on our unconsolidated joint venture's fixed rate debt.</w:t>
      </w:r>
    </w:p>
    <w:p>
      <w:pPr>
        <w:spacing w:after="0" w:line="62" w:lineRule="exact"/>
        <w:rPr>
          <w:rFonts w:ascii="Arial" w:cs="Arial" w:eastAsia="Arial" w:hAnsi="Arial"/>
          <w:sz w:val="18"/>
          <w:szCs w:val="18"/>
          <w:color w:val="auto"/>
        </w:rPr>
      </w:pPr>
    </w:p>
    <w:p>
      <w:pPr>
        <w:ind w:left="660" w:right="50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Variable rate debt includes a $9.4 million bond that had an interest rate of 0.06% at December 31, 2014 and our revolving credit facility, which currently has no outstanding balance and bears interest at LIBOR plus 0.90%.</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master lease on Melville Mall includes a fixed price put option requiring us to purchase the property for $5.0 million. This obligation is included in real estate commitments.</w:t>
      </w:r>
    </w:p>
    <w:p>
      <w:pPr>
        <w:ind w:left="660" w:hanging="328"/>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Includes a $9 million liability to one of the noncontrolling interest holders in The Grove at Shrewsbury which is expected to be settled in 2015.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amounts set forth in the table above and other liquidity requirements previously discussed, the following potential commitments exist:</w:t>
      </w:r>
    </w:p>
    <w:p>
      <w:pPr>
        <w:spacing w:after="0" w:line="101" w:lineRule="exact"/>
        <w:rPr>
          <w:sz w:val="20"/>
          <w:szCs w:val="20"/>
          <w:color w:val="auto"/>
        </w:rPr>
      </w:pPr>
    </w:p>
    <w:p>
      <w:pPr>
        <w:ind w:right="80" w:firstLine="413"/>
        <w:spacing w:after="0" w:line="263" w:lineRule="auto"/>
        <w:tabs>
          <w:tab w:leader="none" w:pos="6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Based on management’s current estimate of fair market value as of December 31, 2014, our estimated liability upon exercise of the put option would range from approximately $72 million to $76 million.</w:t>
      </w:r>
    </w:p>
    <w:p>
      <w:pPr>
        <w:spacing w:after="0" w:line="35" w:lineRule="exact"/>
        <w:rPr>
          <w:sz w:val="20"/>
          <w:szCs w:val="20"/>
          <w:color w:val="auto"/>
        </w:rPr>
      </w:pPr>
    </w:p>
    <w:p>
      <w:pPr>
        <w:ind w:right="160" w:firstLine="440"/>
        <w:spacing w:after="0" w:line="279" w:lineRule="auto"/>
        <w:tabs>
          <w:tab w:leader="none" w:pos="686"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35" w:lineRule="exact"/>
        <w:rPr>
          <w:rFonts w:ascii="Arial" w:cs="Arial" w:eastAsia="Arial" w:hAnsi="Arial"/>
          <w:sz w:val="17"/>
          <w:szCs w:val="17"/>
          <w:color w:val="auto"/>
        </w:rPr>
      </w:pPr>
    </w:p>
    <w:p>
      <w:pPr>
        <w:ind w:right="360" w:firstLine="440"/>
        <w:spacing w:after="0" w:line="334" w:lineRule="auto"/>
        <w:tabs>
          <w:tab w:leader="none" w:pos="6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the partners have the right to exchange their operating partnership units for cash or the same number of our common shares, at our option. As of December 31, 2014, a total of 917,255 operating partnership units are outstanding.</w:t>
      </w:r>
    </w:p>
    <w:p>
      <w:pPr>
        <w:jc w:val="both"/>
        <w:ind w:right="160" w:firstLine="440"/>
        <w:spacing w:after="0" w:line="259" w:lineRule="auto"/>
        <w:tabs>
          <w:tab w:leader="none" w:pos="6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2014, our estimated maximum liability upon exercise of the put option would range from approximately $9 million to $10 million.</w:t>
      </w:r>
    </w:p>
    <w:p>
      <w:pPr>
        <w:spacing w:after="0" w:line="50" w:lineRule="exact"/>
        <w:rPr>
          <w:rFonts w:ascii="Arial" w:cs="Arial" w:eastAsia="Arial" w:hAnsi="Arial"/>
          <w:sz w:val="18"/>
          <w:szCs w:val="18"/>
          <w:color w:val="auto"/>
        </w:rPr>
      </w:pPr>
    </w:p>
    <w:p>
      <w:pPr>
        <w:ind w:right="60" w:firstLine="440"/>
        <w:spacing w:after="0" w:line="273" w:lineRule="auto"/>
        <w:tabs>
          <w:tab w:leader="none" w:pos="67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2014, our estimated maximum liability upon exercise of the put option would range from approximately $18 million to $21 million. Also, between January 1, 2017 and February 1, 2017, we have an option to purchase the preferred interest of another member in Plaza El Segundo. The purchase price will be the lesser of fair value or the $4.9 million stated value of the preferred interest plus any accrued and unpaid preferred returns.</w:t>
      </w:r>
    </w:p>
    <w:p>
      <w:pPr>
        <w:spacing w:after="0" w:line="41" w:lineRule="exact"/>
        <w:rPr>
          <w:rFonts w:ascii="Arial" w:cs="Arial" w:eastAsia="Arial" w:hAnsi="Arial"/>
          <w:sz w:val="17"/>
          <w:szCs w:val="17"/>
          <w:color w:val="auto"/>
        </w:rPr>
      </w:pPr>
    </w:p>
    <w:p>
      <w:pPr>
        <w:ind w:right="640" w:firstLine="440"/>
        <w:spacing w:after="0" w:line="334" w:lineRule="auto"/>
        <w:tabs>
          <w:tab w:leader="none" w:pos="656" w:val="left"/>
        </w:tabs>
        <w:numPr>
          <w:ilvl w:val="0"/>
          <w:numId w:val="51"/>
        </w:numPr>
        <w:rPr>
          <w:rFonts w:ascii="Arial" w:cs="Arial" w:eastAsia="Arial" w:hAnsi="Arial"/>
          <w:sz w:val="16"/>
          <w:szCs w:val="16"/>
          <w:color w:val="auto"/>
        </w:rPr>
      </w:pPr>
      <w:r>
        <w:rPr>
          <w:rFonts w:ascii="Arial" w:cs="Arial" w:eastAsia="Arial" w:hAnsi="Arial"/>
          <w:sz w:val="16"/>
          <w:szCs w:val="16"/>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w:t>
      </w:r>
    </w:p>
    <w:p>
      <w:pPr>
        <w:ind w:right="140" w:firstLine="440"/>
        <w:spacing w:after="0" w:line="277" w:lineRule="auto"/>
        <w:tabs>
          <w:tab w:leader="none" w:pos="6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December 31, 2014, we had letters of credit outstanding of approximately $13.0 million which are collateral for existing indebtedness and other obligations of the Trust.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2014, the Partnership owned six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December 31, 2014, our investment in the Partnership was $32.4 million and the Partnership had approximately $34.4 million of mortgages payable outstanding.</w:t>
      </w:r>
    </w:p>
    <w:p>
      <w:pPr>
        <w:spacing w:after="0" w:line="1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than the joint venture described above and items disclosed in the Contractual Commitments Table, we have no off-balance sheet arrangements as of December 31, 2014 that are reasonably likely to have a current or future material effect on our financial condition, revenues or expenses, results of operations, liquidity, capital expenditures or capital resources.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6" w:right="2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2014:</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94"/>
              </w:rPr>
              <w:t>Original</w:t>
            </w:r>
          </w:p>
        </w:tc>
        <w:tc>
          <w:tcPr>
            <w:tcW w:w="120" w:type="dxa"/>
            <w:vAlign w:val="bottom"/>
          </w:tcPr>
          <w:p>
            <w:pPr>
              <w:spacing w:after="0"/>
              <w:rPr>
                <w:sz w:val="14"/>
                <w:szCs w:val="14"/>
                <w:color w:val="auto"/>
              </w:rPr>
            </w:pPr>
          </w:p>
        </w:tc>
        <w:tc>
          <w:tcPr>
            <w:tcW w:w="15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2"/>
              </w:rPr>
              <w:t>Principal Balance as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80" w:type="dxa"/>
            <w:vAlign w:val="bottom"/>
          </w:tcPr>
          <w:p>
            <w:pPr>
              <w:jc w:val="right"/>
              <w:ind w:right="18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80" w:type="dxa"/>
            <w:vAlign w:val="bottom"/>
            <w:tcBorders>
              <w:top w:val="single" w:sz="8" w:color="auto"/>
            </w:tcBorders>
            <w:gridSpan w:val="3"/>
          </w:tcPr>
          <w:p>
            <w:pPr>
              <w:jc w:val="right"/>
              <w:ind w:right="8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Barracks Road</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44,300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35,985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Hauppauge</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13,566</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 Park</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25,507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Wildwood</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22,420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Wynnewood</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25,994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Brick Plaza</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26,415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44,519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22,130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52,705</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52,705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75,867</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11,500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7,074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554,865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Total mortgages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563,698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Term Loan (2)</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+ 0.90%</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7,239</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6,119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Escondido (municipal bonds) (3)</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(4)</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+ 0.90%</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217"/>
        </w:trPr>
        <w:tc>
          <w:tcPr>
            <w:tcW w:w="4120" w:type="dxa"/>
            <w:vAlign w:val="bottom"/>
          </w:tcPr>
          <w:p>
            <w:pPr>
              <w:ind w:left="700"/>
              <w:spacing w:after="0"/>
              <w:rPr>
                <w:sz w:val="20"/>
                <w:szCs w:val="20"/>
                <w:color w:val="auto"/>
              </w:rPr>
            </w:pPr>
            <w:r>
              <w:rPr>
                <w:rFonts w:ascii="Arial" w:cs="Arial" w:eastAsia="Arial" w:hAnsi="Arial"/>
                <w:sz w:val="16"/>
                <w:szCs w:val="16"/>
                <w:color w:val="auto"/>
              </w:rPr>
              <w:t>Total notes payable</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290,519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16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1,494,200</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1,483,813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71,647</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2,409,677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26"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63" w:lineRule="exact"/>
        <w:rPr>
          <w:sz w:val="20"/>
          <w:szCs w:val="20"/>
          <w:color w:val="auto"/>
        </w:rPr>
      </w:pPr>
    </w:p>
    <w:p>
      <w:pPr>
        <w:ind w:left="660" w:right="24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Mortgages payable do not include our 30% share ($10.3 million) of the $34.4 million debt of the partnership with a discretionary fund created and advised by ING Clarion Partners.</w:t>
      </w:r>
    </w:p>
    <w:p>
      <w:pPr>
        <w:spacing w:after="0" w:line="7"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was reduced from 130 basis points to 90 basis points on August 28, 2014 resulting in a fixed rate of 2.62%.</w:t>
      </w:r>
    </w:p>
    <w:p>
      <w:pPr>
        <w:spacing w:after="0" w:line="7" w:lineRule="exact"/>
        <w:rPr>
          <w:rFonts w:ascii="Arial" w:cs="Arial" w:eastAsia="Arial" w:hAnsi="Arial"/>
          <w:sz w:val="18"/>
          <w:szCs w:val="18"/>
          <w:color w:val="auto"/>
        </w:rPr>
      </w:pPr>
    </w:p>
    <w:p>
      <w:pPr>
        <w:ind w:left="660" w:right="460" w:hanging="652"/>
        <w:spacing w:after="0" w:line="316"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 w:lineRule="exact"/>
        <w:rPr>
          <w:rFonts w:ascii="Arial" w:cs="Arial" w:eastAsia="Arial" w:hAnsi="Arial"/>
          <w:sz w:val="16"/>
          <w:szCs w:val="16"/>
          <w:color w:val="auto"/>
        </w:rPr>
      </w:pPr>
    </w:p>
    <w:p>
      <w:pPr>
        <w:ind w:left="660" w:right="240" w:hanging="652"/>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2014 was $79.5 million and the weighted average effective interest rate on borrowings under our revolving credit facility, before amortization of debt fees, was 1.07%.</w:t>
      </w:r>
    </w:p>
    <w:p>
      <w:pPr>
        <w:spacing w:after="0" w:line="116"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December 31, 2014,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December 31, 2014:</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153,795</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9,806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13,610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200,451</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420,923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275,500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288,863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1,298,040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141,201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71,473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1,510,714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1,784,719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554,865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2,411,231</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4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December 31, 2014, there was no balance outstanding under this credit facility.</w:t>
      </w:r>
    </w:p>
    <w:p>
      <w:pPr>
        <w:spacing w:after="0" w:line="7"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and senior notes as of December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(loss) income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As of December 31, 2014, we are party to two interest rate swap agreements that effectively fixed the rate on the term loan at 2.62%. Both swaps were designated and qualified as cash flow hedges and were recorded at fair value. Hedge ineffectiveness has not impacted earnings in 2014, 2013 and 2012, and we do not anticipate it will have a significant effect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real estate related depreciation and amortization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9" w:lineRule="exact"/>
        <w:rPr>
          <w:sz w:val="20"/>
          <w:szCs w:val="20"/>
          <w:color w:val="auto"/>
        </w:rPr>
      </w:pPr>
    </w:p>
    <w:p>
      <w:pPr>
        <w:ind w:left="1700" w:right="460" w:hanging="802"/>
        <w:spacing w:after="0" w:line="277" w:lineRule="auto"/>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7" w:lineRule="exact"/>
        <w:rPr>
          <w:rFonts w:ascii="Arial" w:cs="Arial" w:eastAsia="Arial" w:hAnsi="Arial"/>
          <w:sz w:val="18"/>
          <w:szCs w:val="18"/>
          <w:color w:val="auto"/>
        </w:rPr>
      </w:pPr>
    </w:p>
    <w:p>
      <w:pPr>
        <w:ind w:left="1700" w:hanging="802"/>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2" w:lineRule="exact"/>
        <w:rPr>
          <w:rFonts w:ascii="Arial" w:cs="Arial" w:eastAsia="Arial" w:hAnsi="Arial"/>
          <w:sz w:val="18"/>
          <w:szCs w:val="18"/>
          <w:color w:val="auto"/>
        </w:rPr>
      </w:pPr>
    </w:p>
    <w:p>
      <w:pPr>
        <w:ind w:left="1700" w:hanging="802"/>
        <w:spacing w:after="0"/>
        <w:tabs>
          <w:tab w:leader="none" w:pos="17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FFO, we have also included FFO excluding the "early extinguishment of debt" charges in 2014 and 2013 which relate to the early redemption of our 5.65% senior notes and East Bay Bridge mortgage loan in 2014, and our 5.40% senior notes, 5.95% senior notes, and 7.50% mortgages loans in 2013. We believe the unusual nature of these charges, being make-whole payments on the remaining principal and interest on the redeemed notes/mortgages, is worthy of separate evaluation and consequently have provided both relevant metrics.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to FFO available for common shareholders excluding early extinguishment of debt is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gridSpan w:val="8"/>
          </w:tcPr>
          <w:p>
            <w:pPr>
              <w:jc w:val="center"/>
              <w:ind w:left="532"/>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144,873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125,611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290,897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278,124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327,597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289,938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277,237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13,244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Funds from operations available for common shareholders excluding early extinguishment</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338,095</w:t>
            </w:r>
          </w:p>
        </w:tc>
        <w:tc>
          <w:tcPr>
            <w:tcW w:w="46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303,182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277,237</w:t>
            </w:r>
          </w:p>
        </w:tc>
        <w:tc>
          <w:tcPr>
            <w:tcW w:w="0" w:type="dxa"/>
            <w:vAlign w:val="bottom"/>
          </w:tcPr>
          <w:p>
            <w:pPr>
              <w:spacing w:after="0"/>
              <w:rPr>
                <w:sz w:val="1"/>
                <w:szCs w:val="1"/>
                <w:color w:val="auto"/>
              </w:rPr>
            </w:pPr>
          </w:p>
        </w:tc>
      </w:tr>
      <w:tr>
        <w:trPr>
          <w:trHeight w:val="237"/>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of debt</w:t>
            </w:r>
          </w:p>
        </w:tc>
        <w:tc>
          <w:tcPr>
            <w:tcW w:w="34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65,778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64,389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4.79</w:t>
            </w:r>
          </w:p>
        </w:tc>
        <w:tc>
          <w:tcPr>
            <w:tcW w:w="4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080" w:type="dxa"/>
            <w:vAlign w:val="bottom"/>
          </w:tcPr>
          <w:p>
            <w:pPr>
              <w:ind w:left="40"/>
              <w:spacing w:after="0"/>
              <w:rPr>
                <w:sz w:val="20"/>
                <w:szCs w:val="20"/>
                <w:color w:val="auto"/>
              </w:rPr>
            </w:pPr>
            <w:r>
              <w:rPr>
                <w:rFonts w:ascii="Arial" w:cs="Arial" w:eastAsia="Arial" w:hAnsi="Arial"/>
                <w:sz w:val="18"/>
                <w:szCs w:val="18"/>
                <w:color w:val="auto"/>
                <w:w w:val="95"/>
              </w:rPr>
              <w:t>Funds from operations available for common shareholders excluding early extinguishment of</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4.94</w:t>
            </w:r>
          </w:p>
        </w:tc>
        <w:tc>
          <w:tcPr>
            <w:tcW w:w="4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1"/>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debt, per diluted share</w:t>
            </w: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60" w:type="dxa"/>
            <w:vAlign w:val="bottom"/>
            <w:gridSpan w:val="3"/>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8255</wp:posOffset>
            </wp:positionV>
            <wp:extent cx="2749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-130175</wp:posOffset>
            </wp:positionV>
            <wp:extent cx="2749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43" w:lineRule="exact"/>
        <w:rPr>
          <w:sz w:val="20"/>
          <w:szCs w:val="20"/>
          <w:color w:val="auto"/>
        </w:rPr>
      </w:pPr>
    </w:p>
    <w:p>
      <w:pPr>
        <w:jc w:val="both"/>
        <w:ind w:left="660" w:right="8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94"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December 31, 2014, we were party to two interest rate swap agreements that effectively fix the rate on the $275.0 million term loan at 2.62%.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2044 or, with respect to capital lease obligations through 2106) have fixed interest rates which limit the risk of fluctuating interest rates. However, interest rate fluctuations may affect the fair value of our fixed rate debt instruments. At December 31, 2014, we had $2.3 billion of fixed-rate debt outstanding, including our $275.0 million term loan as the rate is effectively fixed by two interest rate swap agreements; we also had capital lease obligations of $71.6 million. If market interest rates used to calculate the fair value on our fixed-rate debt instruments at December 31, 2014 had been 1.0% higher, the fair value of those debt instruments on that date would have decreased by approximately $133.6 million. If market interest rates used to calculate the fair value on our fixed-rate debt instruments at December 31, 2014 had been 1.0% lower, the fair value of those debt instruments on that date would have increased by approximately $149.8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December 31, 2014, we had $9.4 million of variable rate debt outstanding which consisted of municipal bonds. Our revolving credit facility had no outstanding balance as of December 31, 2014.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193" w:lineRule="exact"/>
        <w:rPr>
          <w:sz w:val="20"/>
          <w:szCs w:val="20"/>
          <w:color w:val="auto"/>
        </w:rPr>
      </w:pPr>
    </w:p>
    <w:p>
      <w:pPr>
        <w:ind w:right="1040"/>
        <w:spacing w:after="0" w:line="37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Assessment</w:t>
      </w:r>
    </w:p>
    <w:p>
      <w:pPr>
        <w:spacing w:after="0" w:line="94"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carried out an assessment as of December 31, 2014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Securities and Exchange Commission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 and Principal Financial Officer Certifications</w:t>
      </w:r>
    </w:p>
    <w:p>
      <w:pPr>
        <w:spacing w:after="0" w:line="94"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 Form 10-K that you are currently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6" w:right="27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Executive Vice President-Chief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Executive Vice President-Chief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may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Evaluations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and others in our organization, as appropriate. In conducting this evaluation, our management used the criteria set forth by the Committee of Sponsoring Organizations of the Treadway Commission (COSO)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and provides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Internal Control over Financial Reporting</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and provides reasonable assurance regarding the reliability of financial reporting and the preparation of financial statements for external purposes in accordance with generally accepted accounting principles in the United States of America.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Management</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management has issued a report on its assessment of the Trust’s internal control over financial reporting, which appears on page F-2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Independent Registered Public Accounting Firm</w:t>
      </w:r>
    </w:p>
    <w:p>
      <w:pPr>
        <w:spacing w:after="0" w:line="94"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2014 that materially affected, or is reasonably likely to materially affect, our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6" w:right="2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2015 Annual Meeting of Shareholders (as amended or supplemented, the “Proxy Statement”).</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TRUSTEES, EXECUTIVE OFFICERS AND CORPORATE GOVERNANCE</w:t>
      </w:r>
    </w:p>
    <w:p>
      <w:pPr>
        <w:spacing w:after="0" w:line="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tables and narrative in the Proxy Statement identifying our Trustees and Board committees under the caption “Election of Trustees” and “Corporate Governance”, the sections of the Proxy Statement entitled “Executive Officers” and “Section 16(a) Beneficial Ownership Reporting Compliance” and other information included in the Proxy Statement required by this Item 10 are incorporated herein by reference.</w:t>
      </w:r>
    </w:p>
    <w:p>
      <w:pPr>
        <w:spacing w:after="0" w:line="1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We have adopted a Code of Ethics, which is applicable to our Chief Executive Officer and senior financial officers. The Code of Ethics is available in the Corporate Governance section of the Investors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9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sections of the Proxy Statement entitled “Summary Compensation Table,” “Compensation Committee Interlocks and Insider Participation,” “Compensation Committee Report,” “Trustee Compensation” and “Compensation Discussion and Analysis” and other information included in the Proxy Statement required by this Item 11 are incorporated herein by reference.</w:t>
      </w:r>
    </w:p>
    <w:p>
      <w:pPr>
        <w:spacing w:after="0" w:line="206" w:lineRule="exact"/>
        <w:rPr>
          <w:sz w:val="20"/>
          <w:szCs w:val="20"/>
          <w:color w:val="auto"/>
        </w:rPr>
      </w:pPr>
    </w:p>
    <w:p>
      <w:pPr>
        <w:ind w:right="560"/>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sections of the Proxy Statement entitled “Share Ownership” and “Equity Compensation Plan Information” and other information included in the Proxy Statement required by this Item 12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TRUSTEE INDEPENDENCE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and other information included in the Proxy Statement required by this Item 13 are incorporated herein by reference.</w:t>
      </w:r>
    </w:p>
    <w:p>
      <w:pPr>
        <w:spacing w:after="0" w:line="1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94"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 sections of the Proxy Statement entitled “Ratification of Independent Registered Public Accounting Firm” and “Relationship with Independent Registered Public Accounting Firm” and other information included in the Proxy Statement required by this Item 14 are incorporated herein by reference.</w:t>
      </w:r>
    </w:p>
    <w:p>
      <w:pPr>
        <w:spacing w:after="0" w:line="20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94" w:lineRule="exact"/>
        <w:rPr>
          <w:sz w:val="20"/>
          <w:szCs w:val="20"/>
          <w:color w:val="auto"/>
        </w:rPr>
      </w:pPr>
    </w:p>
    <w:p>
      <w:pPr>
        <w:ind w:right="320"/>
        <w:spacing w:after="0" w:line="34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and notes thereto, together with Management’s Report on Internal Control over Financial Reporting and Reports of Independent Registered Public Accounting Firm are included as a separate section of this Annual Report on Form 10-K commencing on page </w:t>
      </w:r>
      <w:hyperlink w:anchor="page54">
        <w:r>
          <w:rPr>
            <w:rFonts w:ascii="Arial" w:cs="Arial" w:eastAsia="Arial" w:hAnsi="Arial"/>
            <w:sz w:val="16"/>
            <w:szCs w:val="16"/>
            <w:u w:val="single" w:color="auto"/>
            <w:color w:val="0000EE"/>
          </w:rPr>
          <w:t>F-1</w:t>
        </w:r>
      </w:hyperlink>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financial statement schedules are included in a separate section of this Annual Report on Form 10-K commencing on page </w:t>
      </w:r>
      <w:hyperlink w:anchor="page83">
        <w:r>
          <w:rPr>
            <w:rFonts w:ascii="Arial" w:cs="Arial" w:eastAsia="Arial" w:hAnsi="Arial"/>
            <w:sz w:val="18"/>
            <w:szCs w:val="18"/>
            <w:u w:val="single" w:color="auto"/>
            <w:color w:val="0000EE"/>
          </w:rPr>
          <w:t>F-30</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list of exhibits to this Annual Report on Form 10-K is set forth on the Exhibit Index immediately preceding such exhibits and is incorporated herein by reference.</w:t>
      </w:r>
    </w:p>
    <w:p>
      <w:pPr>
        <w:spacing w:after="0" w:line="116"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6" w:right="2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36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February 10, 2015.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Federal Realty Investment Trust</w:t>
      </w:r>
    </w:p>
    <w:p>
      <w:pPr>
        <w:spacing w:after="0" w:line="387" w:lineRule="exact"/>
        <w:rPr>
          <w:sz w:val="20"/>
          <w:szCs w:val="20"/>
          <w:color w:val="auto"/>
        </w:rPr>
      </w:pPr>
    </w:p>
    <w:p>
      <w:pPr>
        <w:ind w:left="5080"/>
        <w:spacing w:after="0"/>
        <w:tabs>
          <w:tab w:leader="none" w:pos="6280" w:val="left"/>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w:t>
      </w:r>
      <w:r>
        <w:rPr>
          <w:rFonts w:ascii="Arial" w:cs="Arial" w:eastAsia="Arial" w:hAnsi="Arial"/>
          <w:sz w:val="13"/>
          <w:szCs w:val="13"/>
          <w:color w:val="auto"/>
        </w:rPr>
        <w:t>ONALD</w:t>
      </w:r>
      <w:r>
        <w:rPr>
          <w:rFonts w:ascii="Arial" w:cs="Arial" w:eastAsia="Arial" w:hAnsi="Arial"/>
          <w:sz w:val="17"/>
          <w:szCs w:val="17"/>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40640</wp:posOffset>
            </wp:positionV>
            <wp:extent cx="2458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8720" cy="8255"/>
                    </a:xfrm>
                    <a:prstGeom prst="rect">
                      <a:avLst/>
                    </a:prstGeom>
                    <a:noFill/>
                  </pic:spPr>
                </pic:pic>
              </a:graphicData>
            </a:graphic>
          </wp:anchor>
        </w:drawing>
      </w:r>
    </w:p>
    <w:p>
      <w:pPr>
        <w:spacing w:after="0" w:line="61"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Donald C. Wood</w:t>
      </w:r>
    </w:p>
    <w:p>
      <w:pPr>
        <w:spacing w:after="0" w:line="3" w:lineRule="exact"/>
        <w:rPr>
          <w:sz w:val="20"/>
          <w:szCs w:val="20"/>
          <w:color w:val="auto"/>
        </w:rPr>
      </w:pPr>
    </w:p>
    <w:p>
      <w:pPr>
        <w:jc w:val="center"/>
        <w:ind w:left="3180"/>
        <w:spacing w:after="0"/>
        <w:rPr>
          <w:sz w:val="20"/>
          <w:szCs w:val="20"/>
          <w:color w:val="auto"/>
        </w:rPr>
      </w:pPr>
      <w:r>
        <w:rPr>
          <w:rFonts w:ascii="Arial" w:cs="Arial" w:eastAsia="Arial" w:hAnsi="Arial"/>
          <w:sz w:val="14"/>
          <w:szCs w:val="14"/>
          <w:b w:val="1"/>
          <w:bCs w:val="1"/>
          <w:color w:val="auto"/>
        </w:rPr>
        <w:t>President, Chief Executive Officer and Trustee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20" w:type="dxa"/>
            <w:vAlign w:val="bottom"/>
          </w:tcPr>
          <w:p>
            <w:pPr>
              <w:spacing w:after="0"/>
              <w:rPr>
                <w:sz w:val="14"/>
                <w:szCs w:val="14"/>
                <w:color w:val="auto"/>
              </w:rPr>
            </w:pPr>
          </w:p>
        </w:tc>
        <w:tc>
          <w:tcPr>
            <w:tcW w:w="4360" w:type="dxa"/>
            <w:vAlign w:val="bottom"/>
            <w:gridSpan w:val="3"/>
          </w:tcPr>
          <w:p>
            <w:pPr>
              <w:ind w:left="2320"/>
              <w:spacing w:after="0"/>
              <w:rPr>
                <w:sz w:val="20"/>
                <w:szCs w:val="20"/>
                <w:color w:val="auto"/>
              </w:rPr>
            </w:pPr>
            <w:r>
              <w:rPr>
                <w:rFonts w:ascii="Arial" w:cs="Arial" w:eastAsia="Arial" w:hAnsi="Arial"/>
                <w:sz w:val="14"/>
                <w:szCs w:val="14"/>
                <w:b w:val="1"/>
                <w:bCs w:val="1"/>
                <w:color w:val="auto"/>
              </w:rPr>
              <w:t>Title</w:t>
            </w:r>
          </w:p>
        </w:tc>
        <w:tc>
          <w:tcPr>
            <w:tcW w:w="1440" w:type="dxa"/>
            <w:vAlign w:val="bottom"/>
          </w:tcPr>
          <w:p>
            <w:pPr>
              <w:spacing w:after="0"/>
              <w:rPr>
                <w:sz w:val="14"/>
                <w:szCs w:val="14"/>
                <w:color w:val="auto"/>
              </w:rPr>
            </w:pPr>
          </w:p>
        </w:tc>
        <w:tc>
          <w:tcPr>
            <w:tcW w:w="8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President, Chief Executive Officer and</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Trustee (Principal Executive Officer)</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10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4"/>
              </w:rPr>
              <w:t>Donald C. Wood</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4460" w:type="dxa"/>
            <w:vAlign w:val="bottom"/>
            <w:gridSpan w:val="5"/>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JAMES M. TAYLOR, JR.</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Executive Vice President-Chief Financial</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360" w:type="dxa"/>
            <w:vAlign w:val="bottom"/>
            <w:gridSpan w:val="3"/>
            <w:vMerge w:val="restart"/>
          </w:tcPr>
          <w:p>
            <w:pPr>
              <w:ind w:left="720"/>
              <w:spacing w:after="0"/>
              <w:rPr>
                <w:sz w:val="20"/>
                <w:szCs w:val="20"/>
                <w:color w:val="auto"/>
              </w:rPr>
            </w:pPr>
            <w:r>
              <w:rPr>
                <w:rFonts w:ascii="Arial" w:cs="Arial" w:eastAsia="Arial" w:hAnsi="Arial"/>
                <w:sz w:val="18"/>
                <w:szCs w:val="18"/>
                <w:color w:val="auto"/>
              </w:rPr>
              <w:t>Officer and Treasurer (Principal</w:t>
            </w: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2"/>
              </w:rPr>
              <w:t>James M. Taylor, Jr.</w:t>
            </w:r>
          </w:p>
        </w:tc>
        <w:tc>
          <w:tcPr>
            <w:tcW w:w="436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360" w:type="dxa"/>
            <w:vAlign w:val="bottom"/>
            <w:gridSpan w:val="3"/>
          </w:tcPr>
          <w:p>
            <w:pPr>
              <w:ind w:left="720"/>
              <w:spacing w:after="0"/>
              <w:rPr>
                <w:sz w:val="20"/>
                <w:szCs w:val="20"/>
                <w:color w:val="auto"/>
              </w:rPr>
            </w:pPr>
            <w:r>
              <w:rPr>
                <w:rFonts w:ascii="Arial" w:cs="Arial" w:eastAsia="Arial" w:hAnsi="Arial"/>
                <w:sz w:val="18"/>
                <w:szCs w:val="18"/>
                <w:color w:val="auto"/>
              </w:rPr>
              <w:t>Financial and Accounting Officer)</w:t>
            </w:r>
          </w:p>
        </w:tc>
        <w:tc>
          <w:tcPr>
            <w:tcW w:w="1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3"/>
        </w:trPr>
        <w:tc>
          <w:tcPr>
            <w:tcW w:w="1360" w:type="dxa"/>
            <w:vAlign w:val="bottom"/>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100" w:type="dxa"/>
            <w:vAlign w:val="bottom"/>
            <w:gridSpan w:val="4"/>
          </w:tcPr>
          <w:p>
            <w:pPr>
              <w:jc w:val="center"/>
              <w:ind w:right="1000"/>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OSEPH</w:t>
            </w:r>
            <w:r>
              <w:rPr>
                <w:rFonts w:ascii="Arial" w:cs="Arial" w:eastAsia="Arial" w:hAnsi="Arial"/>
                <w:sz w:val="18"/>
                <w:szCs w:val="18"/>
                <w:color w:val="auto"/>
                <w:w w:val="96"/>
              </w:rPr>
              <w:t xml:space="preserve"> S. V</w:t>
            </w:r>
            <w:r>
              <w:rPr>
                <w:rFonts w:ascii="Arial" w:cs="Arial" w:eastAsia="Arial" w:hAnsi="Arial"/>
                <w:sz w:val="14"/>
                <w:szCs w:val="14"/>
                <w:color w:val="auto"/>
                <w:w w:val="96"/>
              </w:rPr>
              <w:t>ASSALLUZZO</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Non-Executive Chairman</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88"/>
              </w:rPr>
              <w:t>Joseph S. Vassalluzzo</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ON</w:t>
            </w:r>
            <w:r>
              <w:rPr>
                <w:rFonts w:ascii="Arial" w:cs="Arial" w:eastAsia="Arial" w:hAnsi="Arial"/>
                <w:sz w:val="18"/>
                <w:szCs w:val="18"/>
                <w:color w:val="auto"/>
                <w:w w:val="95"/>
              </w:rPr>
              <w:t xml:space="preserve"> E. B</w:t>
            </w:r>
            <w:r>
              <w:rPr>
                <w:rFonts w:ascii="Arial" w:cs="Arial" w:eastAsia="Arial" w:hAnsi="Arial"/>
                <w:sz w:val="14"/>
                <w:szCs w:val="14"/>
                <w:color w:val="auto"/>
                <w:w w:val="95"/>
              </w:rPr>
              <w:t>ORTZ</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5"/>
              </w:rPr>
              <w:t>Jon E. Bortz</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136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AVID</w:t>
            </w:r>
            <w:r>
              <w:rPr>
                <w:rFonts w:ascii="Arial" w:cs="Arial" w:eastAsia="Arial" w:hAnsi="Arial"/>
                <w:sz w:val="18"/>
                <w:szCs w:val="18"/>
                <w:color w:val="auto"/>
                <w:w w:val="97"/>
              </w:rPr>
              <w:t xml:space="preserve"> W. F</w:t>
            </w:r>
            <w:r>
              <w:rPr>
                <w:rFonts w:ascii="Arial" w:cs="Arial" w:eastAsia="Arial" w:hAnsi="Arial"/>
                <w:sz w:val="14"/>
                <w:szCs w:val="14"/>
                <w:color w:val="auto"/>
                <w:w w:val="97"/>
              </w:rPr>
              <w:t>AEDER</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40"/>
              <w:spacing w:after="0"/>
              <w:rPr>
                <w:sz w:val="20"/>
                <w:szCs w:val="20"/>
                <w:color w:val="auto"/>
              </w:rPr>
            </w:pPr>
            <w:r>
              <w:rPr>
                <w:rFonts w:ascii="Arial" w:cs="Arial" w:eastAsia="Arial" w:hAnsi="Arial"/>
                <w:sz w:val="14"/>
                <w:szCs w:val="14"/>
                <w:b w:val="1"/>
                <w:bCs w:val="1"/>
                <w:color w:val="auto"/>
                <w:w w:val="95"/>
              </w:rPr>
              <w:t>David W. Faeder</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3"/>
        </w:trPr>
        <w:tc>
          <w:tcPr>
            <w:tcW w:w="1360" w:type="dxa"/>
            <w:vAlign w:val="bottom"/>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RISTIN</w:t>
            </w:r>
            <w:r>
              <w:rPr>
                <w:rFonts w:ascii="Arial" w:cs="Arial" w:eastAsia="Arial" w:hAnsi="Arial"/>
                <w:sz w:val="18"/>
                <w:szCs w:val="18"/>
                <w:color w:val="auto"/>
              </w:rPr>
              <w:t xml:space="preserve"> G</w:t>
            </w:r>
            <w:r>
              <w:rPr>
                <w:rFonts w:ascii="Arial" w:cs="Arial" w:eastAsia="Arial" w:hAnsi="Arial"/>
                <w:sz w:val="14"/>
                <w:szCs w:val="14"/>
                <w:color w:val="auto"/>
              </w:rPr>
              <w:t>AMBLE</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6"/>
              </w:rPr>
              <w:t>Kristin Gamble</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spacing w:after="0"/>
              <w:rPr>
                <w:sz w:val="24"/>
                <w:szCs w:val="24"/>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40" w:type="dxa"/>
            <w:vAlign w:val="bottom"/>
            <w:gridSpan w:val="3"/>
          </w:tcPr>
          <w:p>
            <w:pPr>
              <w:jc w:val="center"/>
              <w:ind w:right="13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AIL</w:t>
            </w:r>
            <w:r>
              <w:rPr>
                <w:rFonts w:ascii="Arial" w:cs="Arial" w:eastAsia="Arial" w:hAnsi="Arial"/>
                <w:sz w:val="18"/>
                <w:szCs w:val="18"/>
                <w:color w:val="auto"/>
                <w:w w:val="95"/>
              </w:rPr>
              <w:t xml:space="preserve"> P. S</w:t>
            </w:r>
            <w:r>
              <w:rPr>
                <w:rFonts w:ascii="Arial" w:cs="Arial" w:eastAsia="Arial" w:hAnsi="Arial"/>
                <w:sz w:val="14"/>
                <w:szCs w:val="14"/>
                <w:color w:val="auto"/>
                <w:w w:val="95"/>
              </w:rPr>
              <w:t>TEINEL</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2"/>
              </w:rPr>
              <w:t>Gail P. Steinel</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2"/>
        </w:trPr>
        <w:tc>
          <w:tcPr>
            <w:tcW w:w="1360" w:type="dxa"/>
            <w:vAlign w:val="bottom"/>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100" w:type="dxa"/>
            <w:vAlign w:val="bottom"/>
            <w:gridSpan w:val="4"/>
          </w:tcPr>
          <w:p>
            <w:pPr>
              <w:jc w:val="center"/>
              <w:ind w:right="1000"/>
              <w:spacing w:after="0"/>
              <w:rPr>
                <w:sz w:val="20"/>
                <w:szCs w:val="20"/>
                <w:color w:val="auto"/>
              </w:rPr>
            </w:pPr>
            <w:r>
              <w:rPr>
                <w:rFonts w:ascii="Arial" w:cs="Arial" w:eastAsia="Arial" w:hAnsi="Arial"/>
                <w:sz w:val="18"/>
                <w:szCs w:val="18"/>
                <w:color w:val="auto"/>
                <w:w w:val="99"/>
              </w:rPr>
              <w:t>W</w:t>
            </w:r>
            <w:r>
              <w:rPr>
                <w:rFonts w:ascii="Arial" w:cs="Arial" w:eastAsia="Arial" w:hAnsi="Arial"/>
                <w:sz w:val="14"/>
                <w:szCs w:val="14"/>
                <w:color w:val="auto"/>
                <w:w w:val="99"/>
              </w:rPr>
              <w:t>ARREN</w:t>
            </w:r>
            <w:r>
              <w:rPr>
                <w:rFonts w:ascii="Arial" w:cs="Arial" w:eastAsia="Arial" w:hAnsi="Arial"/>
                <w:sz w:val="18"/>
                <w:szCs w:val="18"/>
                <w:color w:val="auto"/>
                <w:w w:val="99"/>
              </w:rPr>
              <w:t xml:space="preserve"> M. T</w:t>
            </w:r>
            <w:r>
              <w:rPr>
                <w:rFonts w:ascii="Arial" w:cs="Arial" w:eastAsia="Arial" w:hAnsi="Arial"/>
                <w:sz w:val="14"/>
                <w:szCs w:val="14"/>
                <w:color w:val="auto"/>
                <w:w w:val="99"/>
              </w:rPr>
              <w:t>HOMPSON</w:t>
            </w:r>
          </w:p>
        </w:tc>
        <w:tc>
          <w:tcPr>
            <w:tcW w:w="4360" w:type="dxa"/>
            <w:vAlign w:val="bottom"/>
            <w:gridSpan w:val="3"/>
          </w:tcPr>
          <w:p>
            <w:pPr>
              <w:ind w:left="480"/>
              <w:spacing w:after="0"/>
              <w:rPr>
                <w:sz w:val="20"/>
                <w:szCs w:val="20"/>
                <w:color w:val="auto"/>
              </w:rPr>
            </w:pPr>
            <w:r>
              <w:rPr>
                <w:rFonts w:ascii="Arial" w:cs="Arial" w:eastAsia="Arial" w:hAnsi="Arial"/>
                <w:sz w:val="18"/>
                <w:szCs w:val="18"/>
                <w:color w:val="auto"/>
              </w:rPr>
              <w:t>Trustee</w:t>
            </w:r>
          </w:p>
        </w:tc>
        <w:tc>
          <w:tcPr>
            <w:tcW w:w="22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February 10, 2015</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5"/>
                <w:szCs w:val="15"/>
                <w:color w:val="auto"/>
              </w:rPr>
            </w:pPr>
          </w:p>
        </w:tc>
        <w:tc>
          <w:tcPr>
            <w:tcW w:w="310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6"/>
              </w:rPr>
              <w:t>Warren M. Thompson</w:t>
            </w: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6"/>
        </w:trPr>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20" w:type="dxa"/>
            <w:vAlign w:val="bottom"/>
          </w:tcPr>
          <w:p>
            <w:pPr>
              <w:ind w:left="1160"/>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126" w:right="29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Consolidated Financial Statements</w:t>
            </w:r>
          </w:p>
        </w:tc>
        <w:tc>
          <w:tcPr>
            <w:tcW w:w="14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8"/>
                <w:szCs w:val="18"/>
                <w:color w:val="auto"/>
              </w:rPr>
              <w:t>Page No.</w:t>
            </w:r>
          </w:p>
        </w:tc>
      </w:tr>
      <w:tr>
        <w:trPr>
          <w:trHeight w:val="196"/>
        </w:trPr>
        <w:tc>
          <w:tcPr>
            <w:tcW w:w="9940" w:type="dxa"/>
            <w:vAlign w:val="bottom"/>
          </w:tcPr>
          <w:p>
            <w:pPr>
              <w:ind w:left="40"/>
              <w:spacing w:after="0" w:line="196" w:lineRule="exact"/>
              <w:rPr>
                <w:sz w:val="20"/>
                <w:szCs w:val="20"/>
                <w:color w:val="auto"/>
              </w:rPr>
            </w:pPr>
            <w:r>
              <w:rPr>
                <w:rFonts w:ascii="Arial" w:cs="Arial" w:eastAsia="Arial" w:hAnsi="Arial"/>
                <w:sz w:val="18"/>
                <w:szCs w:val="18"/>
                <w:color w:val="auto"/>
              </w:rPr>
              <w:t>Management Assessment Report on Internal Control over Financial Reporting</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F-2</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F-3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F-4</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F-5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F-6</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 of 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F-7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jc w:val="right"/>
              <w:ind w:right="20"/>
              <w:spacing w:after="0" w:line="20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F-8</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0"/>
              <w:spacing w:after="0" w:line="202"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F-9</w:t>
              </w:r>
            </w:hyperlink>
          </w:p>
        </w:tc>
      </w:tr>
      <w:tr>
        <w:trPr>
          <w:trHeight w:val="324"/>
        </w:trPr>
        <w:tc>
          <w:tcPr>
            <w:tcW w:w="99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Financial Statement Schedules</w:t>
            </w: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2"/>
        </w:trPr>
        <w:tc>
          <w:tcPr>
            <w:tcW w:w="9940" w:type="dxa"/>
            <w:vAlign w:val="bottom"/>
          </w:tcPr>
          <w:p>
            <w:pPr>
              <w:ind w:left="40"/>
              <w:spacing w:after="0" w:line="202" w:lineRule="exact"/>
              <w:rPr>
                <w:sz w:val="20"/>
                <w:szCs w:val="20"/>
                <w:color w:val="auto"/>
              </w:rPr>
            </w:pPr>
            <w:r>
              <w:rPr>
                <w:rFonts w:ascii="Arial" w:cs="Arial" w:eastAsia="Arial" w:hAnsi="Arial"/>
                <w:sz w:val="18"/>
                <w:szCs w:val="18"/>
                <w:color w:val="auto"/>
              </w:rPr>
              <w:t>Schedule III—Summary of Real Estate and Accumulated Depreciation</w:t>
            </w:r>
          </w:p>
        </w:tc>
        <w:tc>
          <w:tcPr>
            <w:tcW w:w="1120" w:type="dxa"/>
            <w:vAlign w:val="bottom"/>
          </w:tcPr>
          <w:p>
            <w:pPr>
              <w:spacing w:after="0"/>
              <w:rPr>
                <w:sz w:val="17"/>
                <w:szCs w:val="17"/>
                <w:color w:val="auto"/>
              </w:rPr>
            </w:pPr>
          </w:p>
        </w:tc>
        <w:tc>
          <w:tcPr>
            <w:tcW w:w="360" w:type="dxa"/>
            <w:vAlign w:val="bottom"/>
            <w:gridSpan w:val="3"/>
          </w:tcPr>
          <w:p>
            <w:pPr>
              <w:jc w:val="right"/>
              <w:ind w:right="20"/>
              <w:spacing w:after="0" w:line="202" w:lineRule="exact"/>
              <w:rPr>
                <w:rFonts w:ascii="Arial" w:cs="Arial" w:eastAsia="Arial" w:hAnsi="Arial"/>
                <w:sz w:val="18"/>
                <w:szCs w:val="18"/>
                <w:color w:val="0000EE"/>
                <w:w w:val="86"/>
              </w:rPr>
            </w:pPr>
            <w:hyperlink w:anchor="page83">
              <w:r>
                <w:rPr>
                  <w:rFonts w:ascii="Arial" w:cs="Arial" w:eastAsia="Arial" w:hAnsi="Arial"/>
                  <w:sz w:val="18"/>
                  <w:szCs w:val="18"/>
                  <w:color w:val="0000EE"/>
                  <w:w w:val="86"/>
                </w:rPr>
                <w:t>F-30</w:t>
              </w:r>
            </w:hyperlink>
          </w:p>
        </w:tc>
      </w:tr>
      <w:tr>
        <w:trPr>
          <w:trHeight w:val="47"/>
        </w:trPr>
        <w:tc>
          <w:tcPr>
            <w:tcW w:w="99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IV—Mortgage Loans on Real Estate</w:t>
            </w:r>
          </w:p>
        </w:tc>
        <w:tc>
          <w:tcPr>
            <w:tcW w:w="112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0"/>
              <w:spacing w:after="0" w:line="202" w:lineRule="exact"/>
              <w:rPr>
                <w:rFonts w:ascii="Arial" w:cs="Arial" w:eastAsia="Arial" w:hAnsi="Arial"/>
                <w:sz w:val="18"/>
                <w:szCs w:val="18"/>
                <w:color w:val="0000EE"/>
                <w:w w:val="86"/>
              </w:rPr>
            </w:pPr>
            <w:hyperlink w:anchor="page90">
              <w:r>
                <w:rPr>
                  <w:rFonts w:ascii="Arial" w:cs="Arial" w:eastAsia="Arial" w:hAnsi="Arial"/>
                  <w:sz w:val="18"/>
                  <w:szCs w:val="18"/>
                  <w:color w:val="0000EE"/>
                  <w:w w:val="86"/>
                </w:rPr>
                <w:t>F-37</w:t>
              </w:r>
            </w:hyperlink>
          </w:p>
        </w:tc>
      </w:tr>
      <w:tr>
        <w:trPr>
          <w:trHeight w:val="47"/>
        </w:trPr>
        <w:tc>
          <w:tcPr>
            <w:tcW w:w="99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 over Financial Reporting</w:t>
      </w:r>
    </w:p>
    <w:p>
      <w:pPr>
        <w:spacing w:after="0" w:line="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management of Federal Realty Investment Trust (the "Trust") is responsible for establishing and maintaining adequate internal control over financial reporting. Establishing and maintaining internal control over financial reporting is a process designed by, or under the supervision of, our President and Chief Executive Officer and Executive Vice President - Chief Financial Officer and Treasurer,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pertain to the maintenance of records that accurately and fairly reflect the transactions and dispositions of our assets in reasonable detail;</w:t>
      </w:r>
    </w:p>
    <w:p>
      <w:pPr>
        <w:spacing w:after="0" w:line="20" w:lineRule="exact"/>
        <w:rPr>
          <w:rFonts w:ascii="Arial" w:cs="Arial" w:eastAsia="Arial" w:hAnsi="Arial"/>
          <w:sz w:val="17"/>
          <w:szCs w:val="17"/>
          <w:color w:val="auto"/>
        </w:rPr>
      </w:pPr>
    </w:p>
    <w:p>
      <w:pPr>
        <w:ind w:left="660" w:right="220" w:hanging="328"/>
        <w:spacing w:after="0" w:line="25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ind w:left="660" w:right="700" w:hanging="328"/>
        <w:spacing w:after="0" w:line="26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2014. In making this assessment, it used the criteria set forth by the Committee of Sponsoring Organizations of the Treadway Commission (COSO)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this assessment, management concluded that our internal control over financial reporting is effective, based on those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2014.</w:t>
      </w:r>
    </w:p>
    <w:p>
      <w:pPr>
        <w:spacing w:after="0" w:line="13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Federal Realty Investment Trust (a Maryland real estate investment trust) and Subsidiaries (collectively, the "Trust") as of December 31, 2014,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The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the Trust’s internal control over financial reporting based on our audit.</w:t>
      </w:r>
    </w:p>
    <w:p>
      <w:pPr>
        <w:spacing w:after="0" w:line="137"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our opinion, Federal Realty Investment Trust and Subsidiaries maintained, in all material respects, effective internal control over financial reporting as of December 31, 2014,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11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financial statements of the Trust as of and for the year ended December 31, 2014 and our report dated February 10, 2015 expressed an unqualified opinion on those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126" w:right="29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(collectively, the "Trust") as of December 31, 2014 and 2013, and the related consolidated statements of comprehensive income, shareholders’ equity, and cash flows for each of the three years in the period ended December 31, 2014. Our audits of the basic consolidated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Federal Realty Investment Trust and Subsidiaries as of December 31, 2014 and 2013, and the results of their operations and their cash flows for each of the three years in the period ended December 31, 2014, in conformity with accounting principles generally accepted in the United States of America. Also in our opinion, the related financial statement schedules, when considered in relation to the basic consolidated financial statements taken as a whole, present fairly, in all material respects, the information set forth therein.</w:t>
      </w:r>
    </w:p>
    <w:p>
      <w:pPr>
        <w:spacing w:after="0" w:line="13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2014,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10, 2015 expressed an unqualified opinion.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10, 2015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126" w:right="27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52"/>
              <w:spacing w:after="0"/>
              <w:rPr>
                <w:sz w:val="20"/>
                <w:szCs w:val="20"/>
                <w:color w:val="auto"/>
              </w:rPr>
            </w:pPr>
            <w:r>
              <w:rPr>
                <w:rFonts w:ascii="Arial" w:cs="Arial" w:eastAsia="Arial" w:hAnsi="Arial"/>
                <w:sz w:val="14"/>
                <w:szCs w:val="14"/>
                <w:b w:val="1"/>
                <w:bCs w:val="1"/>
                <w:color w:val="auto"/>
                <w:w w:val="90"/>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20" w:type="dxa"/>
            <w:vAlign w:val="bottom"/>
            <w:gridSpan w:val="4"/>
          </w:tcPr>
          <w:p>
            <w:pPr>
              <w:jc w:val="center"/>
              <w:ind w:right="111"/>
              <w:spacing w:after="0" w:line="152" w:lineRule="exact"/>
              <w:rPr>
                <w:sz w:val="20"/>
                <w:szCs w:val="20"/>
                <w:color w:val="auto"/>
              </w:rPr>
            </w:pPr>
            <w:r>
              <w:rPr>
                <w:rFonts w:ascii="Arial" w:cs="Arial" w:eastAsia="Arial" w:hAnsi="Arial"/>
                <w:sz w:val="14"/>
                <w:szCs w:val="14"/>
                <w:b w:val="1"/>
                <w:bCs w:val="1"/>
                <w:color w:val="auto"/>
                <w:w w:val="90"/>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3"/>
          </w:tcPr>
          <w:p>
            <w:pPr>
              <w:jc w:val="center"/>
              <w:ind w:left="652"/>
              <w:spacing w:after="0"/>
              <w:rPr>
                <w:sz w:val="20"/>
                <w:szCs w:val="20"/>
                <w:color w:val="auto"/>
              </w:rPr>
            </w:pPr>
            <w:r>
              <w:rPr>
                <w:rFonts w:ascii="Arial" w:cs="Arial" w:eastAsia="Arial" w:hAnsi="Arial"/>
                <w:sz w:val="14"/>
                <w:szCs w:val="14"/>
                <w:b w:val="1"/>
                <w:bCs w:val="1"/>
                <w:color w:val="auto"/>
                <w:w w:val="93"/>
              </w:rPr>
              <w:t>share data)</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w w:val="99"/>
              </w:rPr>
              <w:t>Operating (including $282,303 and $265,138 of consolidated variable interest entities, respectively)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5,128,757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480,241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6"/>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5,608,998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Less accumulated depreciation and amortization (including $26,618 and $19,086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(1,350,471)</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4,141,948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93,291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37,457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160,167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145,062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$11,441 and $9,535, respectively</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4,546,870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700"/>
              <w:spacing w:after="0"/>
              <w:rPr>
                <w:sz w:val="20"/>
                <w:szCs w:val="20"/>
                <w:color w:val="auto"/>
              </w:rPr>
            </w:pPr>
            <w:r>
              <w:rPr>
                <w:rFonts w:ascii="Arial" w:cs="Arial" w:eastAsia="Arial" w:hAnsi="Arial"/>
                <w:sz w:val="18"/>
                <w:szCs w:val="18"/>
                <w:color w:val="auto"/>
                <w:w w:val="92"/>
              </w:rPr>
              <w:t>Mortgages payable (including $187,632 and $202,782 of consolidated variable interest entities, respectively) $</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563,698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588,456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71,671</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290,519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Senior notes and debentures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1,483,813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145,685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156,270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Dividends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52,385</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14,115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105,164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100,283</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2,735,261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119,053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700"/>
              <w:spacing w:after="0"/>
              <w:rPr>
                <w:sz w:val="20"/>
                <w:szCs w:val="20"/>
                <w:color w:val="auto"/>
              </w:rPr>
            </w:pPr>
            <w:r>
              <w:rPr>
                <w:rFonts w:ascii="Arial" w:cs="Arial" w:eastAsia="Arial" w:hAnsi="Arial"/>
                <w:sz w:val="18"/>
                <w:szCs w:val="18"/>
                <w:color w:val="auto"/>
                <w:w w:val="90"/>
              </w:rPr>
              <w:t>Preferred shares, authorized 15,000,000 shares, $.01 par: 5.417% Series 1 Cumulative Convertible Preferred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0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1"/>
              </w:rPr>
              <w:t>Common shares of beneficial interest, $.01 par, 100,000,000 shares authorized, 68,605,783 and 66,701,422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2,281,223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2,062,708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(623,795)</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1,604,401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88,155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1,692,556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4,546,870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2013</w:t>
            </w: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7"/>
          </w:tcPr>
          <w:p>
            <w:pPr>
              <w:jc w:val="center"/>
              <w:ind w:left="531"/>
              <w:spacing w:after="0"/>
              <w:rPr>
                <w:sz w:val="20"/>
                <w:szCs w:val="20"/>
                <w:color w:val="auto"/>
              </w:rPr>
            </w:pPr>
            <w:r>
              <w:rPr>
                <w:rFonts w:ascii="Arial" w:cs="Arial" w:eastAsia="Arial" w:hAnsi="Arial"/>
                <w:sz w:val="14"/>
                <w:szCs w:val="14"/>
                <w:b w:val="1"/>
                <w:bCs w:val="1"/>
                <w:color w:val="auto"/>
                <w:w w:val="91"/>
              </w:rPr>
              <w:t>(In thousands, except per share data)</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666,322</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620,089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580,114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12,169</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5,155</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686,090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637,413</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605,791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118,695</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112,616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71,759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31,970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160,828</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141,701</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383,252</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351,929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254,161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253,862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(104,977)</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(113,336)</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167,888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137,811</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142,972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 - income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Discontinued operations - 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Results from discontinued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24,803</w:t>
            </w: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162,614</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144,372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162,681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151,925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163,994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162,140</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151,384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6"/>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65,331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6"/>
        </w:trPr>
        <w:tc>
          <w:tcPr>
            <w:tcW w:w="70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40" w:type="dxa"/>
            <w:vAlign w:val="bottom"/>
            <w:tcBorders>
              <w:bottom w:val="single" w:sz="8" w:color="BFE4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65,483</w:t>
            </w:r>
          </w:p>
        </w:tc>
        <w:tc>
          <w:tcPr>
            <w:tcW w:w="140" w:type="dxa"/>
            <w:vAlign w:val="bottom"/>
            <w:tcBorders>
              <w:bottom w:val="single" w:sz="8" w:color="BFE4FF"/>
              <w:right w:val="single" w:sz="8" w:color="CCEEFF"/>
            </w:tcBorders>
            <w:shd w:val="clear" w:color="auto" w:fill="BFE4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172,289</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comprehensive (loss) income - change in value of interest rate swaps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10,971</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170,191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178,579</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147,784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Comprehensive income attributable to noncontrolling interests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(4,927)</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162,437</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173,652</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143,477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6" w:right="239" w:bottom="415"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5"/>
              </w:rPr>
              <w:t>Shareholders’ Equity of the Trust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52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Preferred Shares</w:t>
            </w:r>
          </w:p>
        </w:tc>
        <w:tc>
          <w:tcPr>
            <w:tcW w:w="120" w:type="dxa"/>
            <w:vAlign w:val="bottom"/>
            <w:vMerge w:val="restart"/>
          </w:tcPr>
          <w:p>
            <w:pPr>
              <w:spacing w:after="0"/>
              <w:rPr>
                <w:sz w:val="13"/>
                <w:szCs w:val="13"/>
                <w:color w:val="auto"/>
              </w:rPr>
            </w:pPr>
          </w:p>
        </w:tc>
        <w:tc>
          <w:tcPr>
            <w:tcW w:w="156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3"/>
          </w:tcPr>
          <w:p>
            <w:pPr>
              <w:ind w:left="40"/>
              <w:spacing w:after="0" w:line="15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3"/>
                <w:szCs w:val="13"/>
                <w:color w:val="auto"/>
              </w:rPr>
            </w:pPr>
          </w:p>
        </w:tc>
        <w:tc>
          <w:tcPr>
            <w:tcW w:w="15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Dividends in</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0"/>
                <w:szCs w:val="10"/>
                <w:color w:val="auto"/>
              </w:rPr>
            </w:pPr>
          </w:p>
        </w:tc>
        <w:tc>
          <w:tcPr>
            <w:tcW w:w="9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0"/>
        </w:trPr>
        <w:tc>
          <w:tcPr>
            <w:tcW w:w="3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6"/>
          </w:tcPr>
          <w:p>
            <w:pPr>
              <w:ind w:left="80"/>
              <w:spacing w:after="0"/>
              <w:rPr>
                <w:sz w:val="20"/>
                <w:szCs w:val="20"/>
                <w:color w:val="auto"/>
              </w:rPr>
            </w:pPr>
            <w:r>
              <w:rPr>
                <w:rFonts w:ascii="Arial" w:cs="Arial" w:eastAsia="Arial" w:hAnsi="Arial"/>
                <w:sz w:val="13"/>
                <w:szCs w:val="13"/>
                <w:b w:val="1"/>
                <w:bCs w:val="1"/>
                <w:color w:val="auto"/>
                <w:w w:val="91"/>
              </w:rPr>
              <w:t>(In thousands, except share data)</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2011</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63,544,150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$ 1,764,940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(555,541)</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24,512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1,240,604</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7" w:lineRule="exact"/>
              <w:rPr>
                <w:sz w:val="20"/>
                <w:szCs w:val="20"/>
                <w:color w:val="auto"/>
              </w:rPr>
            </w:pPr>
            <w:r>
              <w:rPr>
                <w:rFonts w:ascii="Arial" w:cs="Arial" w:eastAsia="Arial" w:hAnsi="Arial"/>
                <w:sz w:val="14"/>
                <w:szCs w:val="14"/>
                <w:color w:val="auto"/>
              </w:rPr>
              <w:t>Net income, excluding $2,592 attributable to</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151,925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153,640</w:t>
            </w: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 change in value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(8,448)</w:t>
            </w: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(182,813)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(182,813)</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(2,232)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1,039,405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106,209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106,219</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97,430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5,666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22,814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Share-based compensation expense, net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111,647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10,371</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and redemption of OP units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(13,469)</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2012</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w w:val="94"/>
              </w:rPr>
              <w:t>64,815,446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648</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1,875,525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(586,970)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(12,388)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23,781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1,310,593</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excluding $2,887 attributable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164,721</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7" w:lineRule="exact"/>
              <w:rPr>
                <w:sz w:val="20"/>
                <w:szCs w:val="20"/>
                <w:color w:val="auto"/>
              </w:rPr>
            </w:pPr>
            <w:r>
              <w:rPr>
                <w:rFonts w:ascii="Arial" w:cs="Arial" w:eastAsia="Arial" w:hAnsi="Arial"/>
                <w:sz w:val="14"/>
                <w:szCs w:val="14"/>
                <w:color w:val="auto"/>
                <w:w w:val="98"/>
              </w:rPr>
              <w:t>Other comprehensive income - change in value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10,971</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(198,965)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(198,965)</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1,735,089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185,164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185,182</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16,554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2,130</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Share-based compensation expense, net of 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employee taxes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9,356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9,357</w:t>
            </w: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Conversion and redemption of OP units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22,476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(9,857)</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4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080" w:type="dxa"/>
            <w:vAlign w:val="bottom"/>
          </w:tcPr>
          <w:p>
            <w:pPr>
              <w:ind w:left="20"/>
              <w:spacing w:after="0"/>
              <w:rPr>
                <w:sz w:val="20"/>
                <w:szCs w:val="20"/>
                <w:color w:val="auto"/>
              </w:rPr>
            </w:pPr>
            <w:r>
              <w:rPr>
                <w:rFonts w:ascii="Arial" w:cs="Arial" w:eastAsia="Arial" w:hAnsi="Arial"/>
                <w:sz w:val="14"/>
                <w:szCs w:val="14"/>
                <w:color w:val="auto"/>
              </w:rPr>
              <w:t>BALANCE AT DECEMBER 31, 2013</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tcPr>
          <w:p>
            <w:pPr>
              <w:spacing w:after="0"/>
              <w:rPr>
                <w:sz w:val="14"/>
                <w:szCs w:val="14"/>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w w:val="94"/>
              </w:rPr>
              <w:t>66,701,422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667</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2,062,708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(623,795)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23,137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w w:val="99"/>
              </w:rPr>
              <w:t>1,471,297</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excluding $3,452 attributable to</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164,535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168,837</w:t>
            </w:r>
          </w:p>
        </w:tc>
        <w:tc>
          <w:tcPr>
            <w:tcW w:w="0" w:type="dxa"/>
            <w:vAlign w:val="bottom"/>
          </w:tcPr>
          <w:p>
            <w:pPr>
              <w:spacing w:after="0"/>
              <w:rPr>
                <w:sz w:val="1"/>
                <w:szCs w:val="1"/>
                <w:color w:val="auto"/>
              </w:rPr>
            </w:pPr>
          </w:p>
        </w:tc>
      </w:tr>
      <w:tr>
        <w:trPr>
          <w:trHeight w:val="157"/>
        </w:trPr>
        <w:tc>
          <w:tcPr>
            <w:tcW w:w="3080" w:type="dxa"/>
            <w:vAlign w:val="bottom"/>
          </w:tcPr>
          <w:p>
            <w:pPr>
              <w:ind w:left="20"/>
              <w:spacing w:after="0" w:line="157" w:lineRule="exact"/>
              <w:rPr>
                <w:sz w:val="20"/>
                <w:szCs w:val="20"/>
                <w:color w:val="auto"/>
              </w:rPr>
            </w:pPr>
            <w:r>
              <w:rPr>
                <w:rFonts w:ascii="Arial" w:cs="Arial" w:eastAsia="Arial" w:hAnsi="Arial"/>
                <w:sz w:val="14"/>
                <w:szCs w:val="14"/>
                <w:color w:val="auto"/>
              </w:rPr>
              <w:t>Other comprehensive loss - change in value of</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interest rate swaps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to common shareholders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(224,190)</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Dividends declared to preferred shareholders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declared to noncontrolling interests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Common shares issued</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1,768,703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213,562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213,580</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29,218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79"/>
        </w:trPr>
        <w:tc>
          <w:tcPr>
            <w:tcW w:w="308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Shares issued under dividend reinvestment plan</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18,705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2,168</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Share-based compensation expense, net of shares</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withheld for employee taxes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87,735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9,605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9,606</w:t>
            </w: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Redemption of OP units</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73"/>
        </w:trPr>
        <w:tc>
          <w:tcPr>
            <w:tcW w:w="30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 from 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65,350</w:t>
            </w: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w w:val="97"/>
              </w:rPr>
              <w:t>Adjustment to redeemable noncontrolling interests</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(9,032)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(9,032)</w:t>
            </w:r>
          </w:p>
        </w:tc>
        <w:tc>
          <w:tcPr>
            <w:tcW w:w="0" w:type="dxa"/>
            <w:vAlign w:val="bottom"/>
          </w:tcPr>
          <w:p>
            <w:pPr>
              <w:spacing w:after="0"/>
              <w:rPr>
                <w:sz w:val="1"/>
                <w:szCs w:val="1"/>
                <w:color w:val="auto"/>
              </w:rPr>
            </w:pPr>
          </w:p>
        </w:tc>
      </w:tr>
      <w:tr>
        <w:trPr>
          <w:trHeight w:val="73"/>
        </w:trPr>
        <w:tc>
          <w:tcPr>
            <w:tcW w:w="308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2014</w:t>
            </w:r>
          </w:p>
        </w:tc>
        <w:tc>
          <w:tcPr>
            <w:tcW w:w="7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399,896</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9,997</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4"/>
              </w:rPr>
              <w:t>68,605,783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90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$ 2,281,223</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(683,991)</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(3,515)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88,155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99"/>
              </w:rPr>
              <w:t>1,692,556</w:t>
            </w:r>
          </w:p>
        </w:tc>
        <w:tc>
          <w:tcPr>
            <w:tcW w:w="0" w:type="dxa"/>
            <w:vAlign w:val="bottom"/>
          </w:tcPr>
          <w:p>
            <w:pPr>
              <w:spacing w:after="0"/>
              <w:rPr>
                <w:sz w:val="1"/>
                <w:szCs w:val="1"/>
                <w:color w:val="auto"/>
              </w:rPr>
            </w:pPr>
          </w:p>
        </w:tc>
      </w:tr>
      <w:tr>
        <w:trPr>
          <w:trHeight w:val="60"/>
        </w:trPr>
        <w:tc>
          <w:tcPr>
            <w:tcW w:w="30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ectPr>
          <w:pgSz w:w="11900" w:h="16838" w:orient="portrait"/>
          <w:cols w:equalWidth="0" w:num="1">
            <w:col w:w="11400"/>
          </w:cols>
          <w:pgMar w:left="240" w:top="126" w:right="25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40" w:top="126" w:right="25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71"/>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r>
      <w:tr>
        <w:trPr>
          <w:trHeight w:val="263"/>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167,608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156,232</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including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142,039</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Gain on sale of real estate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Income from real estate partnerships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4,348</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(Increase) decrease in 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7,332</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decrease in prepaid expenses and other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3,259</w:t>
            </w:r>
          </w:p>
        </w:tc>
      </w:tr>
      <w:tr>
        <w:trPr>
          <w:trHeight w:val="243"/>
        </w:trPr>
        <w:tc>
          <w:tcPr>
            <w:tcW w:w="7780" w:type="dxa"/>
            <w:vAlign w:val="bottom"/>
          </w:tcPr>
          <w:p>
            <w:pPr>
              <w:ind w:left="700"/>
              <w:spacing w:after="0"/>
              <w:rPr>
                <w:sz w:val="20"/>
                <w:szCs w:val="20"/>
                <w:color w:val="auto"/>
              </w:rPr>
            </w:pPr>
            <w:r>
              <w:rPr>
                <w:rFonts w:ascii="Arial" w:cs="Arial" w:eastAsia="Arial" w:hAnsi="Arial"/>
                <w:sz w:val="18"/>
                <w:szCs w:val="18"/>
                <w:color w:val="auto"/>
              </w:rPr>
              <w:t>Increase in security deposits and other liabilities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4,833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296,633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(80,865)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(314,654)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(243,073)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(129,346)</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in real estate partnership</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Investment in real estate partnership</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(14,233)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1,095</w:t>
            </w:r>
          </w:p>
        </w:tc>
      </w:tr>
      <w:tr>
        <w:trPr>
          <w:trHeight w:val="236"/>
        </w:trPr>
        <w:tc>
          <w:tcPr>
            <w:tcW w:w="77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(396,150)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(273,558)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Net repayments under revolving credit facility, net of costs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244,807</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(175,000)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payable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(53,414)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112,270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(215,216)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(178,020)</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r>
      <w:tr>
        <w:trPr>
          <w:trHeight w:val="236"/>
        </w:trPr>
        <w:tc>
          <w:tcPr>
            <w:tcW w:w="77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(53,893)</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88,927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67,806</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36,988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6" w:right="2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 2013 and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2014, we owned or had a majority interest in community and neighborhood shopping centers and mixed-use properties which are operated as 89 predominantly retail real estate projects.</w:t>
      </w:r>
    </w:p>
    <w:p>
      <w:pPr>
        <w:spacing w:after="0" w:line="13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make estimates of the collectability of our accounts receivable related to minimum rents, straight-line rents, expense reimbursements and other revenue. Accounts receivable is carried net of this allowance for doubtful accounts. Our determination as to the collectability of accounts receivable and correspondingly, the adequacy of this allowance, is based primarily upon evaluations of individual receivables, current economic conditions, historical experience and other relevant factors. The allowance for doubtful accounts is increased or decreased through bad debt expense. Accounts receivable are written-off when they are deemed to be uncollectible and we are no longer actively pursuing collection. At December 31, 2014 and 2013, our allowance for doubtful accounts was $12.4 million and $12.7 million, respectively.</w:t>
      </w:r>
    </w:p>
    <w:p>
      <w:pPr>
        <w:spacing w:after="0" w:line="13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some cases, primarily relating to straight-line rents, the collection of accounts receivable extends beyond one year. Our experience relative to unbilled straight-line rents is that a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and realized, the additional straight-line rental income is recognized as revenue. If our evaluation of tenant credit risk changes indicating a portion of realized straight-line rental income is no longer collectible, a reserve and bad debt expense is recorded. At December 31, 2014 and 2013, accounts receivable include approximately $66.1 million and $60.6 million, respectively, related to straight-line rents.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2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2014, 2013 and 2012, real estate depreciation expense was $155.7 million, $147.7 million and $128.7 million, respectively, including amounts from discontinued operations and assets under capital lease obligations.</w:t>
      </w:r>
    </w:p>
    <w:p>
      <w:pPr>
        <w:spacing w:after="0" w:line="122" w:lineRule="exact"/>
        <w:rPr>
          <w:sz w:val="20"/>
          <w:szCs w:val="20"/>
          <w:color w:val="auto"/>
        </w:rPr>
      </w:pPr>
    </w:p>
    <w:p>
      <w:pPr>
        <w:ind w:right="680"/>
        <w:spacing w:after="0" w:line="286" w:lineRule="auto"/>
        <w:rPr>
          <w:sz w:val="20"/>
          <w:szCs w:val="20"/>
          <w:color w:val="auto"/>
        </w:rPr>
      </w:pPr>
      <w:r>
        <w:rPr>
          <w:rFonts w:ascii="Arial" w:cs="Arial" w:eastAsia="Arial" w:hAnsi="Arial"/>
          <w:sz w:val="17"/>
          <w:szCs w:val="17"/>
          <w:color w:val="auto"/>
        </w:rPr>
        <w:t>Sales of real estate are recognized only when sufficient down payments have been obtained, possession and other attributes of ownership have been transferred to the buyer and we have no significant continuing involvement. The application of these criteria can be complex and requires us to make assumptions. We believe these criteria were met for all real estate sold during the periods presented.</w:t>
      </w:r>
    </w:p>
    <w:p>
      <w:pPr>
        <w:spacing w:after="0" w:line="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methodology of allocating the cost of acquisitions to assets acquired and liabilities assumed is based on estimated fair values, replacement cost and/or appraised values. When we acquire operating real estate properties, the purchase price is allocated to land, building, improvements, leasing costs, intangibles such as in-place leases, assumed debt, if any, and to current assets and liabilities acquired, if any. The value allocated to in-place leases is amortized over the related lease term and reflected as rental income in the consolidated statements of comprehensive income. We consider qualitative and quantitative factors in evaluating the likelihood of a tenant exercising a below market renewal option and include such renewal options in the calculation of in-place lease value when we consider these to be bargain renewal options. If the value of below market lease intangibles includes renewal option periods, we include such renewal periods in the amortization period utilized. If a tenant vacates its space prior to contractual termination of its lease, the unamortized balance of any in-place lease value is written off to rental income.</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 costs related to the acquisition of a business, such as broker fees, transfer taxes, legal, accounting, valuation, and other professional and consulting fees, are expensed as incurred and included in “general and administrative expenses” in our consolidated statements of comprehensive income. The acquisition of an operating shopping center typically qualifies as a business. For asset acquisitions not meeting the definition of a business, transaction costs are capitalized as part of the acquisition cost.</w:t>
      </w:r>
    </w:p>
    <w:p>
      <w:pPr>
        <w:spacing w:after="0" w:line="13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We are required to use judgment and make estimates in determining the lease term, the estimated economic life of the property and the interest rate to be used in determining whether or not the lease meets the qualification of a capital lease and is recorded as an asset.</w:t>
      </w:r>
    </w:p>
    <w:p>
      <w:pPr>
        <w:spacing w:after="0" w:line="1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capitalize certain costs related to the development and redevelopment of real estate including pre-construction costs, real estate taxes, insurance, construction costs and salaries and related costs of personnel directly involved. Additionally,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 in service and depreciation commences. Additionally, we make estimates as to the probability of certain development and redevelopment projects being completed. If we determine the development or redevelopment is no longer probable of completion, we expense all capitalized costs which are not recoverable.</w:t>
      </w:r>
    </w:p>
    <w:p>
      <w:pPr>
        <w:spacing w:after="0" w:line="1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Effective January 1, 2014, we adopted ASU 2014-08, “Reporting Discontinued Operations and Disclosures of Disposals of Components of an Entity,” as further discussed in "Recently Adopted Accounting Pronouncements." Prior to January 1, 2014, the sale or disposal of a “component of an entity” was treated as discontinued operations. The operating properties sold by us prior to January 1, 2014 typically met the definition of a component of an entity and as such the revenues and expenses associated with sold properties were reclassified to discontinued operations for all periods presented.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6" w:right="2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when purchased, under three months. Cash balances in individual banks may exceed the federally insured limit by the Federal Deposit Insurance Corporation (the “FDIC”). At December 31, 2014, we had $47.7 million in excess of the FDIC insured limit.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previously capitalized lease costs are written off.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9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Costs related to the issuance of debt instruments are capitalized and are amortized as interest expense over the estimated life of the related issue using the straight-line method which approximates the effective interest method. If a debt instrument is paid off prior to its original maturity date, the unamortized balance of debt issuance costs are written off to interest expense or, if significant, included in “early extinguishment of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94"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At times,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twelve months, we expect to reclassify an estimated $3.8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 worthiness of the counterparty. When ineffectiveness exists, the ineffective portion of changes in fair value of the interest rate swaps associated with our cash flow hedges is recognized in earnings in the period affected. Hedge ineffectiveness did not impact earnings in 2014, 2013 or 2012, and we do not anticipate it will have a significant effect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disclosures relating to our two existing interest rate swap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Notes Receivable</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made certain mortgage loans that, because of their nature, qualify as loan receivables. At the time the loans were made, we did not intend for the arrangement to be anything other than a financing and did not contemplate a real estate investment. We evaluate each investment to determine whether the loan arrangement qualifies as a loan, joint venture or real estate investment and the appropriate accounting thereon. Such determination affects our balance sheet classification of these investments and the recognition of interest income derived therefrom. On some of the loans we receive additional interest, however, we never receive in excess of 50% of the residual profit in the project, and because the borrower has either a substantial investment in the project or has guaranteed all or a portion of our loan (or a combination thereof), the loans qualify for loan accounting. The amounts under these arrangements are presented as mortgage notes receivable at December 31, 2014 and 2013.</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126" w:right="27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Mortgage notes receivable are recorded at cost, net of any valuation adjustments. Interest income is accrued as earned. Mortgage notes receivable are considered past due based on the contractual terms of the note agreement. On a quarterly basis, we evaluate the collectability of each mortgage note receivable based on various factors which may include payment history, expected fair value of the collateral securing the loan, internal and external credit information and/or economic trends. A loan is considered impaired when, based upon current information and events, it is probable that we will be unable to collect all amounts due under the existing contractual terms. When a loan is considered impaired, the amount of the loss accrual is calculated by comparing the carrying amount of the mortgage note receivable to the present value of expected future cash flows. Since all of our loans are collateralized by either a first or second mortgage, the loans have risk characteristics similar to the risks in owning commercial real estate.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Based Compensation</w:t>
      </w:r>
    </w:p>
    <w:p>
      <w:pPr>
        <w:spacing w:after="0" w:line="9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grant share based compensation awards to employees and trustees typically in the form of restricted common shares, commons shares, and options. We measure stock based compensation expense based on the grant date fair value of the award and recognize the expense ratably over the requisite service period, which is typically the vesting period. See Note 15 for further discussion regarding our share based compensation plans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entities that do not have sufficient equity at risk for the entity to finance its activities without additional subordinated financial support from other parties or in which equity investors do not have the characteristics of a controlling financial interest qualify as VIEs. VIEs are required to be consolidated by their primary beneficiary. The primary beneficiary of a VIE has both the power to direct the activities that most significantly impact economic performance of the VIE and the obligation to absorb losses or the right to receive benefits that could potentially be significant to the VIE.</w:t>
      </w:r>
    </w:p>
    <w:p>
      <w:pPr>
        <w:spacing w:after="0" w:line="116" w:lineRule="exact"/>
        <w:rPr>
          <w:sz w:val="20"/>
          <w:szCs w:val="20"/>
          <w:color w:val="auto"/>
        </w:rPr>
      </w:pPr>
    </w:p>
    <w:p>
      <w:pPr>
        <w:jc w:val="both"/>
        <w:ind w:right="60"/>
        <w:spacing w:after="0" w:line="275" w:lineRule="auto"/>
        <w:rPr>
          <w:sz w:val="20"/>
          <w:szCs w:val="20"/>
          <w:color w:val="auto"/>
        </w:rPr>
      </w:pPr>
      <w:r>
        <w:rPr>
          <w:rFonts w:ascii="Arial" w:cs="Arial" w:eastAsia="Arial" w:hAnsi="Arial"/>
          <w:sz w:val="17"/>
          <w:szCs w:val="17"/>
          <w:color w:val="auto"/>
        </w:rPr>
        <w:t>We have evaluated our investments in certain joint ventures including our real estate partnership with affiliates of a discretionary fund created and advised by ING Clarion Partners and determined that these joint ventures do not meet the requirements of a variable interest entity and, therefore, consolidation of these ventures is not required. These investments are accounted for using the equity method. We have also evaluated our mortgage loans receivable and determined that entities obligated under the mortgage loans are not VIEs for all periods presented. Our investment balances from our real estate partnership and mortgage notes receivable are presented separately in our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$34.2 million secured by a second mortgage on the property. On June 3, 2014, we repaid the third party mortgage loan as further discussed in Note 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effectively became the first mortgage lender on the property. We have an option to purchase the shopping center on or after October 16, 2021 for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plus the assumption/repayment of the first and second mortgages. If we fail to exercise our purchase option, the owner of Melville Mall has a put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which would require us to purchase Melville Mall in 2023 for $5.0 million and the assumption of the owner’s mortgage debt. We have determined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property is held in a variable interest entity for which we are the primary beneficiary. Accordingly, beginning October 16, 2006, we consolidated this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property and its operations. As of December 31, 2013, $20.7 million is included in mortgages payable (net of unamortized discount) for the mortgage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secured by Melville Mall, however, the loan was not our legal obligation. At December 31, 2014 and 2013, net real estate assets related to Melville Mall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included in our consolidated balance sheets are approximately $61.9 million and $62.6 million, respectively.</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acquisition of Darien Shopping Center, we entered into a Reverse Section 1031 like-kind exchange agreement with a third party intermediary. The exchange agreement was for a maximum of 180 days and allowed us, for tax purposes, to defer gains on sale of other properties sold within this period. From April 3, 2013 to September 10, 2013, the third party intermediary was the legal owner of the property, although we controlled the activities that most significantly impacted the property, retained all of the economic benefits and risks associated with the property, and were the primary beneficiary. Accordingly, effective April 3, 2013, we consolidated Darien Shopping Center and its operations even during the period it was held by a third party intermediary.</w:t>
      </w:r>
    </w:p>
    <w:p>
      <w:pPr>
        <w:spacing w:after="0" w:line="19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determined the joint venture that owns Plaza El Segundo is a variable interest entity for which we are the primary beneficiary. We are the managing member and own 48.2% of the entity. We control the significant operating decisions, consequently having the power to direct the activities that most significantly impact economic performance of the VIE, and have the obligation to absorb the majority of the losses and receive the majority of the benefits. Therefore, the entity is consolidated in our financial statements as of December 30, 2011. As of December 31, 2014 and 2013, net real estate assets related to Plaza El Segundo included in our consolidated balance sheets are approximately $178.1 million and $183.4 million, respectively, and mortgages payable (net of unamortized premium) of $180.3 million and $182.1 million, respectively. Plaza El Segundo's creditors do not have recourse to our general credit. Our maximum exposure to loss is approximately $19.5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further discussed in Note 3, we have entered into an agreement to acquire the interest of one of the noncontrolling interest holders in The Grove at Shrewsbury in 2015. The entity that holds this interest is a variable interest entity for which we are the primary beneficiary. As of December 31, 2014, net real estate assets related to this entity's interest in The Grove at Shrewsbury included in our consolidated balance sheet are approximately $15.7 million and a mortgage payable (net of unamortized premium) of $7.4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have certain noncontrolling interests that are redeemable for cash upon the occurrence of an event that is not solely in our control and therefore are classified outside of permanent equity. We adjust the carrying amounts of these noncontrolling interests that are currently redeemable to redemption value at the balance sheet date. Adjustments to the carrying amount to reflect changes in redemption value are recorded as adjustments to additional paid-in capital in shareholders' equity. These amounts are classified within the mezzanine section of the consolidated balance sheets.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redeemable noncontrolling interests: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6"/>
                <w:szCs w:val="16"/>
                <w:color w:val="auto"/>
              </w:rPr>
            </w:pPr>
          </w:p>
        </w:tc>
      </w:tr>
      <w:tr>
        <w:trPr>
          <w:trHeight w:val="276"/>
        </w:trPr>
        <w:tc>
          <w:tcPr>
            <w:tcW w:w="88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23"/>
                <w:szCs w:val="23"/>
                <w:color w:val="auto"/>
              </w:rPr>
            </w:pPr>
          </w:p>
        </w:tc>
      </w:tr>
      <w:tr>
        <w:trPr>
          <w:trHeight w:val="263"/>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3"/>
          </w:tcPr>
          <w:p>
            <w:pPr>
              <w:jc w:val="center"/>
              <w:ind w:left="477"/>
              <w:spacing w:after="0"/>
              <w:rPr>
                <w:sz w:val="20"/>
                <w:szCs w:val="20"/>
                <w:color w:val="auto"/>
              </w:rPr>
            </w:pPr>
            <w:r>
              <w:rPr>
                <w:rFonts w:ascii="Arial" w:cs="Arial" w:eastAsia="Arial" w:hAnsi="Arial"/>
                <w:sz w:val="14"/>
                <w:szCs w:val="14"/>
                <w:color w:val="auto"/>
                <w:w w:val="91"/>
              </w:rPr>
              <w:t>(In thousands)</w:t>
            </w:r>
          </w:p>
        </w:tc>
        <w:tc>
          <w:tcPr>
            <w:tcW w:w="8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104,425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94,420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3,452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2,887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&amp; Redemptions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1,083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 to redeemable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9,857</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119,053</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104,425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Our TRS activities have not been material.</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With few exceptions, we are no longer subject to U.S. federal, state, and local tax examinations by tax authorities for years before 2010. As of December 31, 2014 and 2013, we had no material unrecognized tax benefits. While we currently have no material unrecognized tax benefits, as a policy, we recognize penalties and interest accrued related to unrecognized tax benefits as income tax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primary business is the ownership, management, and redevelopment of retail and mixed-use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April 2014, the FASB issued ASU 2014-08, “Reporting Discontinued Operations and Disclosures of Disposals of Components of an Entity.” ASU 2014-08 amends the definition of a discontinued operation to include only the disposal of a component of an entity that represents a strategic shift that has or will have a major impact on an entity’s operations and financial results. The standard also requires additional disclosures about discontinued operations as well as disposal transactions that do not meet the discontinued operations criteria. The standard is applicable prospectively for all disposals initially classified as held for sale in periods after adoption. We adopted the standard effective January 1, 2014, and there was no impact to the current period financial statements. In future periods, the adoption will result in most individual property disposals not qualifying for discontinued operations presentation and thus, the results of those disposals will remain in “income from continuing operations.” Properties sold prior to January 1, 2014, are not subject to ASU 2014-08 and therefore, continue to be classified as discontinued operations using the previous definition.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ASU 2014-09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ASU 2014-09 also requires new disclosures in both interim and annual reporting periods. The guidance in ASU 2014-09 does not apply to contracts within the scope of ASC 840, Leases. ASU 2014-09 will be effective for us in the first quarter of 2017 and allows for either full retrospective or modified retrospective adoption. We are currently assessing the impact of this standard to our consolidated financial statements.</w:t>
      </w:r>
    </w:p>
    <w:p>
      <w:pPr>
        <w:spacing w:after="0" w:line="72" w:lineRule="exact"/>
        <w:rPr>
          <w:sz w:val="20"/>
          <w:szCs w:val="20"/>
          <w:color w:val="auto"/>
        </w:rPr>
      </w:pPr>
    </w:p>
    <w:p>
      <w:pPr>
        <w:ind w:right="360"/>
        <w:spacing w:after="0" w:line="274" w:lineRule="auto"/>
        <w:rPr>
          <w:sz w:val="20"/>
          <w:szCs w:val="20"/>
          <w:color w:val="auto"/>
        </w:rPr>
      </w:pPr>
      <w:r>
        <w:rPr>
          <w:rFonts w:ascii="Arial" w:cs="Arial" w:eastAsia="Arial" w:hAnsi="Arial"/>
          <w:sz w:val="18"/>
          <w:szCs w:val="18"/>
          <w:color w:val="auto"/>
        </w:rPr>
        <w:t>In August 2014, the FASB issued ASU 2014-15, “Disclosures of Uncertainties about an Entity’s Ability to Continue as a Going Concern.” ASU 2014-15 provides guidance regarding management’s responsibility to evaluate whether there is substantial doubt about an entity’s ability to continue as a going concern and if such doubt exists, requires specific disclosures. ASU 2014-15 is effective for us in the first quarter of 2017 and is not expected to have a significant impact on our consolidated financial statements.</w:t>
      </w:r>
    </w:p>
    <w:p>
      <w:pPr>
        <w:spacing w:after="0" w:line="4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January 2015, the FASB issued ASU 2015-01, "Income Statement - Extraordinary and Unusual Items." ASU 2015-01 eliminates the concept, and related presentation and disclosure requirements, of an extraordinary item. The presentation and disclosure guidance for items that are unusual in nature or occur infrequently will be retained and will be expanded to include those items that are both unusual in nature and infrequently occurring. ASU 2015-01 is effective for us in the first quarter of 2016 and is not expected to have a significant impact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Total interest costs incurred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114,912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121,158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123,441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capitalized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36"/>
        </w:trPr>
        <w:tc>
          <w:tcPr>
            <w:tcW w:w="7080" w:type="dxa"/>
            <w:vAlign w:val="bottom"/>
          </w:tcPr>
          <w:p>
            <w:pPr>
              <w:ind w:left="70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104,977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113,336</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100,011</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114,419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(refunded)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NON-CASH INVESTING AND FINANCING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68,282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67,615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65,348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Mortgage loans refinanced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64,205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Repayment of note payable with public funding/related construction-in-progress offset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1,855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additional disclosures relating to The Grove at Shrewsbury and Brook 35 acquisition.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Depreciation and</w:t>
            </w:r>
          </w:p>
        </w:tc>
        <w:tc>
          <w:tcPr>
            <w:tcW w:w="260" w:type="dxa"/>
            <w:vAlign w:val="bottom"/>
          </w:tcPr>
          <w:p>
            <w:pPr>
              <w:spacing w:after="0"/>
              <w:rPr>
                <w:sz w:val="12"/>
                <w:szCs w:val="12"/>
                <w:color w:val="auto"/>
              </w:rPr>
            </w:pPr>
          </w:p>
        </w:tc>
        <w:tc>
          <w:tcPr>
            <w:tcW w:w="14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Encumbrances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2014</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5,478,085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(1,423,682)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541,568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71,647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9,844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22,130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5,608,998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3"/>
            <w:vMerge w:val="restart"/>
          </w:tcPr>
          <w:p>
            <w:pPr>
              <w:ind w:left="40"/>
              <w:spacing w:after="0" w:line="196" w:lineRule="exact"/>
              <w:rPr>
                <w:sz w:val="20"/>
                <w:szCs w:val="20"/>
                <w:color w:val="auto"/>
              </w:rPr>
            </w:pPr>
            <w:r>
              <w:rPr>
                <w:rFonts w:ascii="Arial" w:cs="Arial" w:eastAsia="Arial" w:hAnsi="Arial"/>
                <w:sz w:val="18"/>
                <w:szCs w:val="18"/>
                <w:b w:val="1"/>
                <w:bCs w:val="1"/>
                <w:color w:val="auto"/>
              </w:rPr>
              <w:t>December 31, 2013</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4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Retail and mixed-use properties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5,024,800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(1,310,791)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565,935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Retail properties under capital leases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115,028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71,671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5,149,463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(1,350,471)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660,127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Retail and mixed-use properties includes the residential portion of Santana Row, Bethesda Row, Pike &amp; Rose, Congressional Plaza and Chelsea Commons.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residential property investment is our investment in Rollingwood Apartments.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Significant Property Acquisitions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January 1, 2014, we acquired a controlling interest in The Grove at Shrewsbury, a 187,000 square foot shopping center in Shrewsbury, New Jersey, and Brook 35, a 99,000 square foot shopping center in Sea Girt, New Jersey for a gross value of $161 million. Our effective economic interest approximates 84% and was funded by the assumption of our share of $68 million of mortgage debt, 632,000 downREIT operating partnership units, and $13 million of cash (which was in an escrow account at December 31, 2013). Approximately $1.7 million and $2.3 million of net assets acquired were allocated to other assets for "above market leases" and other liabilities for "below market leases," respectively. Additionally, $71.1 million was allocated to redeemable and nonredeemable noncontrolling interests. We incurred $2.0 million of acquisition costs, of which $1.0 million were incurred in 2014, and are included in "general and administrative expenses" in 2014 and 2013 on the accompanying consolidated statements of comprehensive income.</w:t>
      </w:r>
    </w:p>
    <w:p>
      <w:pPr>
        <w:spacing w:after="0" w:line="3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have entered into an agreement to acquire the interest of one of the noncontrolling interest holders in The Grove at Shrewsbury in 2015. As this noncontrolling interest is mandatorily redeemable, it has been classified as a liability of approximately $9 million and is included in "other liabilities and deferred credits" on the December 31, 2014 consolidated balance sheet. An additional noncontrolling interest holder has the right to require us to acquire its interests in The Grove at Shrewsbury and Brook 35 at the then current fair market value beginning on January 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Significant Property Acquisitions and Dispositions</w:t>
      </w:r>
    </w:p>
    <w:p>
      <w:pPr>
        <w:spacing w:after="0" w:line="17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 April 3, 2013, we acquired the fee interest in a 95,000 square foot retail property located in Darien, Connecticut for $47.3 million. Approximately $0.1 million and $1.8 million of net assets acquired were allocated to other assets for "above market leases" and other liabilities for "below market leases", respectively. We incurred $0.2 million of acquisition costs which are included in "general and administrative expenses" in 2013.</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April 5, 2013, one of our tenants acquired our fee interest in the land under an office building at our Village of Shirlington property in Arlington, Virginia, that was subject to a long term ground lease. The ground lease included an option for the tenant to purchase the fee interest. The sales price was $6.5 million, and the gain was $5.0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July 22, 2013, we sold the fee interest in our final building at Fifth Avenue in San Diego, California, for a sales price of $15.3 million resulting in a gain of $10.7 million. On September 10, 2013 we sold the fee interest in a building in Forest Hills (Queens), New York, for a sales price of $20.4 million resulting in a gain of $13.2 million. Both sales were completed as a Section 1031 tax deferred exchange transaction with the acquisition of the property in Darien.</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1, 2013, we acquired the fee interest in an 11.8 acre land parcel adjacent to our Assembly Row development project for a purchase price of $18.0 million.</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December 19, 2013, we acquired the fee interest in a land parcel contiguous with our Montrose Crossing shopping center that is encumbered by two retail ground leases. The total purchase price was $10.5 million and our 89.9% share was $9.4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4—MORTGAGE NOTES RECEIVABLE</w:t>
      </w:r>
    </w:p>
    <w:p>
      <w:pPr>
        <w:spacing w:after="0" w:line="9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December 31, 2014 and 2013, we had four and five mortgage notes receivable with an aggregate carrying amount of $51.0 million and $55.2 million, respectively. Approximately $41.2 million and $44.8 million of the loans are secured by first mortgages on retail buildings at December 31, 2014 and 2013, respectively. One of the loans, which is secured by a second mortgage on a hotel at our Santana Row property, was considered impaired when it was amended in August 2006. At December 31, 2014 and 2013, the loan has an outstanding face amount of $10.7 million and $11.9 million, respectively, and is carried net of a valuation allowance of $1.0 million and $1.6 million, respectively. At December 31, 2014 and 2013, our mortgages had a weighted average interest rate of 9.0%. Under the terms of certain of these mortgages, we receive additional interest based upon the gross income of the secured properties and upon sale, share in the appreciation of the properties.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5—REAL ESTATE PARTNERSHIPS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Federal/Lion Venture LP</w:t>
      </w:r>
    </w:p>
    <w:p>
      <w:pPr>
        <w:spacing w:after="0" w:line="9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December 31, 2014, the Partnership owned six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 As of December 31, 2014, we have made total contributions of $48.8 million and received total distributions of $30.4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18,329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19,209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14,868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14,118</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18,451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 before gain on sale of real estate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gain on sale of real estate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4,401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5540"/>
              <w:spacing w:after="0"/>
              <w:rPr>
                <w:sz w:val="20"/>
                <w:szCs w:val="20"/>
                <w:color w:val="auto"/>
              </w:rPr>
            </w:pPr>
            <w:r>
              <w:rPr>
                <w:rFonts w:ascii="Arial" w:cs="Arial" w:eastAsia="Arial" w:hAnsi="Arial"/>
                <w:sz w:val="18"/>
                <w:szCs w:val="18"/>
                <w:color w:val="auto"/>
              </w:rPr>
              <w:t>F-16</w:t>
            </w: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BALANCE SHEETS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149,203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157,413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Mortgages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capital</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119,355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36"/>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157,413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unconsolidated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17,077</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investment in real estate partnership</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32,367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On June 5, 2014, the Partnership repaid an $11.9 million mortgage loan secured by one of its properties at par prior to the original maturity date of July 5, 2014. The partners made additional capital contributions totaling $11.9 million to repay the mortgage loan, of which our contribution was $3.6 million.</w:t>
      </w:r>
    </w:p>
    <w:p>
      <w:pPr>
        <w:spacing w:after="0" w:line="1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July 24, 2014, the Partnership sold the fee interest in Pleasant Shops in Weymouth, Massachusetts for a sales price of $34.3 million, resulting in a gain on sale of $14.5 million. Our share of the gain was $4.4 million. The partners received distributions totaling $32.8 million as a result of the sale, of which our distribution was $10.4 million.</w:t>
      </w:r>
    </w:p>
    <w:p>
      <w:pPr>
        <w:spacing w:after="0" w:line="18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On September 2, 2014, the Partnership repaid a $10.5 million mortgage loan secured by one of its properties at par prior to the original maturity date of December 1, 2014. The partners made additional capital contributions totaling $10.5 million to repay the mortgage loan, of which our contribution was $3.2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Taurus Newbury Street JV II Limited Partnership</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May 2010, we formed Taurus Newbury Street JV II Limited Partnership ("Newbury Street Partnership"), a joint venture with an affiliate of Taurus Investment Holdings, LLC ("Taurus"), to acquire, operate and redevelop properties located primarily in the Back Bay section of Boston, Massachusetts. We held an 85% limited partnership interest in Newbury Street Partnership and Taurus held a 15% limited partnership interest and served as general partner. As general partner, Taurus was responsible for the operation and management of the properties, subject to our approval on major decisions. Accordingly, given Taurus' role as general partner, we accounted for our interest in Newbury Street Partnership using the equity method. Due to the timing of receiving financial information from the general partner, our share of earnings was recorded one quarter in arrears. On October 31, 2011, our Newbury Street Partnership sold its entire portfolio of three buildings for $44.0 million. Due to our earnings being recorded one quarter in arrears, we recognized the gain on sale of $11.9 million in the first quarter of 2012.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6—ACQUIRED IN-PLACE LEASES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$32.7 million and $31.1 million and accumulated amortization of $19.3 million and $16.3 million at December 31, 2014 and 2013, respectively. Acquired below market leases are included in other liabilities and deferred credits and had a balance of $109.8 million and $111.1 million and accumulated amortization of $37.0 million and $34.9 million at December 31, 2014 and 2013, respectively. The value allocated to in-place leases is amortized over the related lease term and reflected as additional rental income for below market leases or a reduction of rental income for above market leases in the consolidated statements of comprehensive income. Rental income included amortization from acquired above market leases of $3.4 million, $2.8 million and $3.4 million in 2014, 2013 and 2012, respectively and amortization from acquired below market leases of $5.8 million, $5.9 million and $4.5 million in 2014, 2013 and 2012, respectively. The remaining weighted-average amortization period as of December 31, 2014, is 5.1 years and 21.2 years for above market leases and below market leases,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Above Market</w:t>
            </w:r>
          </w:p>
        </w:tc>
        <w:tc>
          <w:tcPr>
            <w:tcW w:w="480" w:type="dxa"/>
            <w:vAlign w:val="bottom"/>
          </w:tcPr>
          <w:p>
            <w:pPr>
              <w:spacing w:after="0"/>
              <w:rPr>
                <w:sz w:val="14"/>
                <w:szCs w:val="14"/>
                <w:color w:val="auto"/>
              </w:rPr>
            </w:pPr>
          </w:p>
        </w:tc>
        <w:tc>
          <w:tcPr>
            <w:tcW w:w="1440" w:type="dxa"/>
            <w:vAlign w:val="bottom"/>
          </w:tcPr>
          <w:p>
            <w:pPr>
              <w:jc w:val="right"/>
              <w:ind w:right="434"/>
              <w:spacing w:after="0"/>
              <w:rPr>
                <w:sz w:val="20"/>
                <w:szCs w:val="20"/>
                <w:color w:val="auto"/>
              </w:rPr>
            </w:pPr>
            <w:r>
              <w:rPr>
                <w:rFonts w:ascii="Arial" w:cs="Arial" w:eastAsia="Arial" w:hAnsi="Arial"/>
                <w:sz w:val="14"/>
                <w:szCs w:val="14"/>
                <w:b w:val="1"/>
                <w:bCs w:val="1"/>
                <w:color w:val="auto"/>
                <w:w w:val="99"/>
              </w:rPr>
              <w:t>Below Market</w:t>
            </w:r>
          </w:p>
        </w:tc>
      </w:tr>
      <w:tr>
        <w:trPr>
          <w:trHeight w:val="192"/>
        </w:trPr>
        <w:tc>
          <w:tcPr>
            <w:tcW w:w="3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4"/>
              </w:rPr>
              <w:t>Leases</w:t>
            </w: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Leases</w:t>
            </w:r>
          </w:p>
        </w:tc>
      </w:tr>
      <w:tr>
        <w:trPr>
          <w:trHeight w:val="250"/>
        </w:trPr>
        <w:tc>
          <w:tcPr>
            <w:tcW w:w="37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1"/>
                <w:szCs w:val="2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2015</w:t>
            </w:r>
          </w:p>
        </w:tc>
        <w:tc>
          <w:tcPr>
            <w:tcW w:w="41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5,327</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2017</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4,653</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2019</w:t>
            </w:r>
          </w:p>
        </w:tc>
        <w:tc>
          <w:tcPr>
            <w:tcW w:w="3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3,610</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50,632</w:t>
            </w:r>
          </w:p>
        </w:tc>
      </w:tr>
      <w:tr>
        <w:trPr>
          <w:trHeight w:val="236"/>
        </w:trPr>
        <w:tc>
          <w:tcPr>
            <w:tcW w:w="37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72,826</w:t>
            </w:r>
          </w:p>
        </w:tc>
      </w:tr>
      <w:tr>
        <w:trPr>
          <w:trHeight w:val="27"/>
        </w:trPr>
        <w:tc>
          <w:tcPr>
            <w:tcW w:w="37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55"/>
        </w:trPr>
        <w:tc>
          <w:tcPr>
            <w:tcW w:w="3740" w:type="dxa"/>
            <w:vAlign w:val="bottom"/>
          </w:tcPr>
          <w:p>
            <w:pPr>
              <w:spacing w:after="0"/>
              <w:rPr>
                <w:sz w:val="24"/>
                <w:szCs w:val="24"/>
                <w:color w:val="auto"/>
              </w:rPr>
            </w:pPr>
          </w:p>
        </w:tc>
        <w:tc>
          <w:tcPr>
            <w:tcW w:w="4100" w:type="dxa"/>
            <w:vAlign w:val="bottom"/>
            <w:gridSpan w:val="2"/>
          </w:tcPr>
          <w:p>
            <w:pPr>
              <w:jc w:val="right"/>
              <w:ind w:right="1870"/>
              <w:spacing w:after="0"/>
              <w:rPr>
                <w:sz w:val="20"/>
                <w:szCs w:val="20"/>
                <w:color w:val="auto"/>
              </w:rPr>
            </w:pPr>
            <w:r>
              <w:rPr>
                <w:rFonts w:ascii="Arial" w:cs="Arial" w:eastAsia="Arial" w:hAnsi="Arial"/>
                <w:sz w:val="18"/>
                <w:szCs w:val="18"/>
                <w:color w:val="auto"/>
              </w:rPr>
              <w:t>F-18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2014 and 2013:</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w w:val="92"/>
              </w:rPr>
              <w:t>Principal Balance as of December 31,</w:t>
            </w: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Stated Interest Rate as of</w:t>
            </w:r>
          </w:p>
        </w:tc>
        <w:tc>
          <w:tcPr>
            <w:tcW w:w="2060" w:type="dxa"/>
            <w:vAlign w:val="bottom"/>
          </w:tcPr>
          <w:p>
            <w:pPr>
              <w:spacing w:after="0"/>
              <w:rPr>
                <w:sz w:val="16"/>
                <w:szCs w:val="16"/>
                <w:color w:val="auto"/>
              </w:rPr>
            </w:pPr>
          </w:p>
        </w:tc>
      </w:tr>
      <w:tr>
        <w:trPr>
          <w:trHeight w:val="190"/>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20" w:type="dxa"/>
            <w:vAlign w:val="bottom"/>
          </w:tcPr>
          <w:p>
            <w:pPr>
              <w:spacing w:after="0"/>
              <w:rPr>
                <w:sz w:val="16"/>
                <w:szCs w:val="16"/>
                <w:color w:val="auto"/>
              </w:rPr>
            </w:pPr>
          </w:p>
        </w:tc>
        <w:tc>
          <w:tcPr>
            <w:tcW w:w="1120" w:type="dxa"/>
            <w:vAlign w:val="bottom"/>
          </w:tcPr>
          <w:p>
            <w:pPr>
              <w:jc w:val="right"/>
              <w:ind w:right="40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2060" w:type="dxa"/>
            <w:vAlign w:val="bottom"/>
          </w:tcPr>
          <w:p>
            <w:pPr>
              <w:jc w:val="right"/>
              <w:ind w:right="299"/>
              <w:spacing w:after="0"/>
              <w:rPr>
                <w:sz w:val="20"/>
                <w:szCs w:val="20"/>
                <w:color w:val="auto"/>
              </w:rPr>
            </w:pPr>
            <w:r>
              <w:rPr>
                <w:rFonts w:ascii="Arial" w:cs="Arial" w:eastAsia="Arial" w:hAnsi="Arial"/>
                <w:sz w:val="14"/>
                <w:szCs w:val="14"/>
                <w:b w:val="1"/>
                <w:bCs w:val="1"/>
                <w:color w:val="auto"/>
              </w:rPr>
              <w:t>Stated Maturity Date</w:t>
            </w:r>
          </w:p>
        </w:tc>
      </w:tr>
      <w:tr>
        <w:trPr>
          <w:trHeight w:val="79"/>
        </w:trPr>
        <w:tc>
          <w:tcPr>
            <w:tcW w:w="4240" w:type="dxa"/>
            <w:vAlign w:val="bottom"/>
            <w:tcBorders>
              <w:bottom w:val="single" w:sz="8" w:color="auto"/>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60" w:type="dxa"/>
            <w:vAlign w:val="bottom"/>
            <w:tcBorders>
              <w:bottom w:val="single" w:sz="8" w:color="auto"/>
            </w:tcBorders>
          </w:tcPr>
          <w:p>
            <w:pPr>
              <w:spacing w:after="0"/>
              <w:rPr>
                <w:sz w:val="6"/>
                <w:szCs w:val="6"/>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4"/>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Melville Mall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20,705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September 1, 2014</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54,112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Barracks Road</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35,985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37,069</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Hauppauge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13,974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Lawrence Park</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25,507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26,275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Wildwood</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23,095</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Wynnewood</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25,994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26,777</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November 1, 2015</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Brick Plaza</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27,254</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East Bay Bridge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61,980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March 1, 2016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The Grove at Shrewsbury (East)</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44,519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October 1, 2017</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Rollingwood Apartments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22,130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22,521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May 1, 2019</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29</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Place</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31, 2021</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THE AVENUE at White Marsh</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January 1, 2022</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Montrose Crossing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77,341</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10, 2022</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Brook 35</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July 1, 2029</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Chelsea</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7,074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7,269</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2031</w:t>
            </w: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Subtotal</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554,865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578,491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Net unamortized premium</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9,965</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spacing w:after="0"/>
              <w:rPr>
                <w:sz w:val="23"/>
                <w:szCs w:val="23"/>
                <w:color w:val="auto"/>
              </w:rPr>
            </w:pP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Total mortgages payable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563,698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588,456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Escondido (municipal bonds)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October 1, 2016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LIBOR + 0.90%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21, 2017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Term loan</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Arial" w:cs="Arial" w:eastAsia="Arial" w:hAnsi="Arial"/>
                <w:sz w:val="16"/>
                <w:szCs w:val="16"/>
                <w:color w:val="auto"/>
              </w:rPr>
              <w:t>LIBOR + 0.90%</w:t>
            </w:r>
          </w:p>
        </w:tc>
        <w:tc>
          <w:tcPr>
            <w:tcW w:w="2060" w:type="dxa"/>
            <w:vAlign w:val="bottom"/>
          </w:tcPr>
          <w:p>
            <w:pPr>
              <w:jc w:val="right"/>
              <w:spacing w:after="0"/>
              <w:rPr>
                <w:sz w:val="20"/>
                <w:szCs w:val="20"/>
                <w:color w:val="auto"/>
              </w:rPr>
            </w:pPr>
            <w:r>
              <w:rPr>
                <w:rFonts w:ascii="Arial" w:cs="Arial" w:eastAsia="Arial" w:hAnsi="Arial"/>
                <w:sz w:val="16"/>
                <w:szCs w:val="16"/>
                <w:color w:val="auto"/>
              </w:rPr>
              <w:t>November 21, 2018</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16,422</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r>
      <w:tr>
        <w:trPr>
          <w:trHeight w:val="217"/>
        </w:trPr>
        <w:tc>
          <w:tcPr>
            <w:tcW w:w="4820" w:type="dxa"/>
            <w:vAlign w:val="bottom"/>
            <w:gridSpan w:val="2"/>
          </w:tcPr>
          <w:p>
            <w:pPr>
              <w:ind w:left="700"/>
              <w:spacing w:after="0"/>
              <w:rPr>
                <w:sz w:val="20"/>
                <w:szCs w:val="20"/>
                <w:color w:val="auto"/>
              </w:rPr>
            </w:pPr>
            <w:r>
              <w:rPr>
                <w:rFonts w:ascii="Arial" w:cs="Arial" w:eastAsia="Arial" w:hAnsi="Arial"/>
                <w:sz w:val="16"/>
                <w:szCs w:val="16"/>
                <w:color w:val="auto"/>
              </w:rPr>
              <w:t>Total notes payable</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290,519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300,822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5.65% notes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June 1, 2016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6.20%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2017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5.90%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April 1, 2020</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2.75%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June 1, 2023</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7.48% debentures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August 15, 2026</w:t>
            </w: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4.50% notes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December 1, 2044</w:t>
            </w: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4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1,494,200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1,369,200</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237"/>
        </w:trPr>
        <w:tc>
          <w:tcPr>
            <w:tcW w:w="4820" w:type="dxa"/>
            <w:vAlign w:val="bottom"/>
            <w:gridSpan w:val="2"/>
          </w:tcPr>
          <w:p>
            <w:pPr>
              <w:ind w:left="920"/>
              <w:spacing w:after="0"/>
              <w:rPr>
                <w:sz w:val="20"/>
                <w:szCs w:val="20"/>
                <w:color w:val="auto"/>
              </w:rPr>
            </w:pPr>
            <w:r>
              <w:rPr>
                <w:rFonts w:ascii="Arial" w:cs="Arial" w:eastAsia="Arial" w:hAnsi="Arial"/>
                <w:sz w:val="16"/>
                <w:szCs w:val="16"/>
                <w:color w:val="auto"/>
              </w:rPr>
              <w:t>Net unamortized discount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(10,387)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(8,287)</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1,483,813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1,360,913</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03"/>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60"/>
        </w:trPr>
        <w:tc>
          <w:tcPr>
            <w:tcW w:w="4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r>
      <w:tr>
        <w:trPr>
          <w:trHeight w:val="270"/>
        </w:trPr>
        <w:tc>
          <w:tcPr>
            <w:tcW w:w="4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71,647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71,671</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r>
      <w:tr>
        <w:trPr>
          <w:trHeight w:val="217"/>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2,409,677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2,321,862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6" w:right="239" w:bottom="451"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260"/>
        <w:spacing w:after="0" w:line="307" w:lineRule="auto"/>
        <w:rPr>
          <w:sz w:val="20"/>
          <w:szCs w:val="20"/>
          <w:color w:val="auto"/>
        </w:rPr>
      </w:pPr>
      <w:r>
        <w:rPr>
          <w:rFonts w:ascii="Arial" w:cs="Arial" w:eastAsia="Arial" w:hAnsi="Arial"/>
          <w:sz w:val="17"/>
          <w:szCs w:val="17"/>
          <w:color w:val="auto"/>
        </w:rPr>
        <w:t>In connection with the acquisition of The Grove at Shrewsbury and Brook 35 on January 1, 2014, we assumed mortgage loans with a face amount of $68.3 million and a fair value of $73.8 million. The mortgage loans are secured by the individual properties with the following contractual terms: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c>
          <w:tcPr>
            <w:tcW w:w="19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Stated Interest Rate</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6"/>
              </w:rPr>
              <w:t>(In millions)</w:t>
            </w: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 Plaza</w:t>
            </w:r>
          </w:p>
        </w:tc>
        <w:tc>
          <w:tcPr>
            <w:tcW w:w="1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2014</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The Grove at Shrewsbury (East)</w:t>
            </w: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45.4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October 1, 2017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Grove at Shrewsbury (West)</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378"/>
        </w:trPr>
        <w:tc>
          <w:tcPr>
            <w:tcW w:w="6300" w:type="dxa"/>
            <w:vAlign w:val="bottom"/>
            <w:gridSpan w:val="5"/>
          </w:tcPr>
          <w:p>
            <w:pPr>
              <w:jc w:val="right"/>
              <w:ind w:right="820"/>
              <w:spacing w:after="0"/>
              <w:rPr>
                <w:sz w:val="20"/>
                <w:szCs w:val="20"/>
                <w:color w:val="auto"/>
              </w:rPr>
            </w:pPr>
            <w:r>
              <w:rPr>
                <w:rFonts w:ascii="Arial" w:cs="Arial" w:eastAsia="Arial" w:hAnsi="Arial"/>
                <w:sz w:val="18"/>
                <w:szCs w:val="18"/>
                <w:color w:val="auto"/>
                <w:w w:val="91"/>
              </w:rPr>
              <w:t>During 2014, we refinanced or issued the following loans or debt securities: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Stated</w:t>
            </w:r>
          </w:p>
        </w:tc>
        <w:tc>
          <w:tcPr>
            <w:tcW w:w="2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Refinance/Issuance Date</w:t>
            </w:r>
          </w:p>
        </w:tc>
        <w:tc>
          <w:tcPr>
            <w:tcW w:w="18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Interest Rate</w:t>
            </w:r>
          </w:p>
        </w:tc>
        <w:tc>
          <w:tcPr>
            <w:tcW w:w="2000" w:type="dxa"/>
            <w:vAlign w:val="bottom"/>
            <w:gridSpan w:val="3"/>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Brook 35 Plaza Mortgage Loan</w:t>
            </w:r>
          </w:p>
        </w:tc>
        <w:tc>
          <w:tcPr>
            <w:tcW w:w="1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Refinance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June 2, 2014</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July 1, 2029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4.50% Senior Notes (1)</w:t>
            </w:r>
          </w:p>
        </w:tc>
        <w:tc>
          <w:tcPr>
            <w:tcW w:w="1380" w:type="dxa"/>
            <w:vAlign w:val="bottom"/>
          </w:tcPr>
          <w:p>
            <w:pPr>
              <w:ind w:left="380"/>
              <w:spacing w:after="0"/>
              <w:rPr>
                <w:sz w:val="20"/>
                <w:szCs w:val="20"/>
                <w:color w:val="auto"/>
              </w:rPr>
            </w:pPr>
            <w:r>
              <w:rPr>
                <w:rFonts w:ascii="Arial" w:cs="Arial" w:eastAsia="Arial" w:hAnsi="Arial"/>
                <w:sz w:val="18"/>
                <w:szCs w:val="18"/>
                <w:color w:val="auto"/>
              </w:rPr>
              <w:t>Issuance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250.0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3"/>
          </w:tcPr>
          <w:p>
            <w:pPr>
              <w:jc w:val="right"/>
              <w:ind w:right="240"/>
              <w:spacing w:after="0"/>
              <w:rPr>
                <w:sz w:val="20"/>
                <w:szCs w:val="20"/>
                <w:color w:val="auto"/>
              </w:rPr>
            </w:pPr>
            <w:r>
              <w:rPr>
                <w:rFonts w:ascii="Arial" w:cs="Arial" w:eastAsia="Arial" w:hAnsi="Arial"/>
                <w:sz w:val="18"/>
                <w:szCs w:val="18"/>
                <w:color w:val="auto"/>
              </w:rPr>
              <w:t>November 14, 2014</w:t>
            </w:r>
          </w:p>
        </w:tc>
        <w:tc>
          <w:tcPr>
            <w:tcW w:w="1820" w:type="dxa"/>
            <w:vAlign w:val="bottom"/>
          </w:tcPr>
          <w:p>
            <w:pPr>
              <w:jc w:val="right"/>
              <w:spacing w:after="0"/>
              <w:rPr>
                <w:sz w:val="20"/>
                <w:szCs w:val="20"/>
                <w:color w:val="auto"/>
              </w:rPr>
            </w:pPr>
            <w:r>
              <w:rPr>
                <w:rFonts w:ascii="Arial" w:cs="Arial" w:eastAsia="Arial" w:hAnsi="Arial"/>
                <w:sz w:val="18"/>
                <w:szCs w:val="18"/>
                <w:color w:val="auto"/>
              </w:rPr>
              <w:t>December 1, 2044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AVENUE at White Marsh Mortgage Loan</w:t>
            </w:r>
          </w:p>
        </w:tc>
        <w:tc>
          <w:tcPr>
            <w:tcW w:w="1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Refinance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December 15, 2014</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2022</w:t>
            </w: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6727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155" w:lineRule="exact"/>
        <w:rPr>
          <w:sz w:val="20"/>
          <w:szCs w:val="20"/>
          <w:color w:val="auto"/>
        </w:rPr>
      </w:pPr>
    </w:p>
    <w:p>
      <w:pPr>
        <w:ind w:right="1160" w:firstLine="251"/>
        <w:spacing w:after="0" w:line="464" w:lineRule="auto"/>
        <w:tabs>
          <w:tab w:leader="none" w:pos="4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net proceeds from this note offering after issuance discounts, underwriting fees and other costs were approximately $244.6 million. During 2014, we fully repaid or redeemed the following loans or debt securities: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Payoff Amount</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Repayment Date</w:t>
            </w:r>
          </w:p>
        </w:tc>
        <w:tc>
          <w:tcPr>
            <w:tcW w:w="120" w:type="dxa"/>
            <w:vAlign w:val="bottom"/>
          </w:tcPr>
          <w:p>
            <w:pPr>
              <w:spacing w:after="0"/>
              <w:rPr>
                <w:sz w:val="16"/>
                <w:szCs w:val="16"/>
                <w:color w:val="auto"/>
              </w:rPr>
            </w:pPr>
          </w:p>
        </w:tc>
        <w:tc>
          <w:tcPr>
            <w:tcW w:w="1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Maturity Date</w:t>
            </w:r>
          </w:p>
        </w:tc>
      </w:tr>
      <w:tr>
        <w:trPr>
          <w:trHeight w:val="263"/>
        </w:trPr>
        <w:tc>
          <w:tcPr>
            <w:tcW w:w="4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(In millions)</w:t>
            </w: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Melville Mall Mortgage Loan</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June 3, 2014</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September 1, 2014</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East Bay Bridge Mortgage Loan (1)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10, 2014</w:t>
            </w:r>
          </w:p>
        </w:tc>
        <w:tc>
          <w:tcPr>
            <w:tcW w:w="1920" w:type="dxa"/>
            <w:vAlign w:val="bottom"/>
          </w:tcPr>
          <w:p>
            <w:pPr>
              <w:jc w:val="right"/>
              <w:spacing w:after="0"/>
              <w:rPr>
                <w:sz w:val="20"/>
                <w:szCs w:val="20"/>
                <w:color w:val="auto"/>
              </w:rPr>
            </w:pPr>
            <w:r>
              <w:rPr>
                <w:rFonts w:ascii="Arial" w:cs="Arial" w:eastAsia="Arial" w:hAnsi="Arial"/>
                <w:sz w:val="18"/>
                <w:szCs w:val="18"/>
                <w:color w:val="auto"/>
              </w:rPr>
              <w:t>March 1, 2016</w:t>
            </w:r>
          </w:p>
        </w:tc>
      </w:tr>
      <w:tr>
        <w:trPr>
          <w:trHeight w:val="27"/>
        </w:trPr>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5.65% Senior Notes (2)</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December 12, 2014</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0"/>
        </w:trPr>
        <w:tc>
          <w:tcPr>
            <w:tcW w:w="4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2758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8440" cy="8255"/>
                    </a:xfrm>
                    <a:prstGeom prst="rect">
                      <a:avLst/>
                    </a:prstGeom>
                    <a:noFill/>
                  </pic:spPr>
                </pic:pic>
              </a:graphicData>
            </a:graphic>
          </wp:anchor>
        </w:drawing>
      </w:r>
    </w:p>
    <w:p>
      <w:pPr>
        <w:spacing w:after="0" w:line="155" w:lineRule="exact"/>
        <w:rPr>
          <w:sz w:val="20"/>
          <w:szCs w:val="20"/>
          <w:color w:val="auto"/>
        </w:rPr>
      </w:pPr>
    </w:p>
    <w:p>
      <w:pPr>
        <w:ind w:left="260" w:right="220" w:hanging="9"/>
        <w:spacing w:after="0" w:line="258" w:lineRule="auto"/>
        <w:tabs>
          <w:tab w:leader="none" w:pos="5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total amount due at payoff of $64.0 million included a prepayment premium of $3.0 million and accrued but unpaid interest of $0.1 million. The prepayment premium is included in "early extinguishment of debt" in 2014.</w:t>
      </w:r>
    </w:p>
    <w:p>
      <w:pPr>
        <w:spacing w:after="0" w:line="1" w:lineRule="exact"/>
        <w:rPr>
          <w:rFonts w:ascii="Arial" w:cs="Arial" w:eastAsia="Arial" w:hAnsi="Arial"/>
          <w:sz w:val="18"/>
          <w:szCs w:val="18"/>
          <w:color w:val="auto"/>
        </w:rPr>
      </w:pPr>
    </w:p>
    <w:p>
      <w:pPr>
        <w:ind w:left="260" w:right="600" w:hanging="9"/>
        <w:spacing w:after="0" w:line="276" w:lineRule="auto"/>
        <w:tabs>
          <w:tab w:leader="none" w:pos="5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price of $134.5 million included a make-whole premium of approximately $9.2 million and accrued but unpaid interest of $0.2 million. The make-whole premium is included in "early extinguishment of debt" in 2014.</w:t>
      </w:r>
    </w:p>
    <w:p>
      <w:pPr>
        <w:spacing w:after="0" w:line="19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28, 2014, we amended our term loan agreement and lowered the spread over LIBOR by 40 basis points from 130 basis points to 90 basis points based on our current credit rating. The amendment also provides us the option to extend the maturity date by one year.</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2014, 2013 and 2012, the maximum amount of borrowings outstanding under our revolving credit facility was $79.5 million, $76.0 million and $186.0 million, respectively. The weighted average amount of borrowings outstanding was $12.5 million, $10.5 million and $1.5 million, respectively, and the weighted average interest rate, before amortization of debt fees, was 1.1%, 1.3% and 1.4%, respectively. The revolving credit facility requires an annual facility fee of $0.9 million. At December 31, 2014 and 2013, our revolving credit facility had no balance outstanding.</w:t>
      </w:r>
    </w:p>
    <w:p>
      <w:pPr>
        <w:spacing w:after="0" w:line="35"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Our revolving credit facility and certain notes require us to comply with various financial covenants, including the maintenance of minimum shareholders’ equity and debt coverage ratios and a maximum ratio of debt to net worth. As of December 31, 2014, we were in compliance with all loan covenants.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mortgages payable, notes payable, senior notes and debentures as of December 31, 2014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Mortgages</w:t>
            </w:r>
          </w:p>
        </w:tc>
        <w:tc>
          <w:tcPr>
            <w:tcW w:w="300" w:type="dxa"/>
            <w:vAlign w:val="bottom"/>
          </w:tcPr>
          <w:p>
            <w:pPr>
              <w:spacing w:after="0"/>
              <w:rPr>
                <w:sz w:val="14"/>
                <w:szCs w:val="14"/>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Notes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Senior Notes and</w:t>
            </w:r>
          </w:p>
        </w:tc>
        <w:tc>
          <w:tcPr>
            <w:tcW w:w="300" w:type="dxa"/>
            <w:vAlign w:val="bottom"/>
          </w:tcPr>
          <w:p>
            <w:pPr>
              <w:spacing w:after="0"/>
              <w:rPr>
                <w:sz w:val="14"/>
                <w:szCs w:val="14"/>
                <w:color w:val="auto"/>
              </w:rPr>
            </w:pPr>
          </w:p>
        </w:tc>
        <w:tc>
          <w:tcPr>
            <w:tcW w:w="11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4"/>
                <w:szCs w:val="14"/>
                <w:b w:val="1"/>
                <w:bCs w:val="1"/>
                <w:color w:val="auto"/>
                <w:w w:val="90"/>
              </w:rPr>
              <w:t>Payable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Payable</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Debentures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Principal</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153,395</w:t>
            </w:r>
          </w:p>
        </w:tc>
        <w:tc>
          <w:tcPr>
            <w:tcW w:w="5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369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153,764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3,774</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9,806</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13,580</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220,438</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451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420,889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13,326</w:t>
            </w:r>
          </w:p>
        </w:tc>
        <w:tc>
          <w:tcPr>
            <w:tcW w:w="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275,500</w:t>
            </w: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288,826</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22,731</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553</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23,284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141,201</w:t>
            </w:r>
          </w:p>
        </w:tc>
        <w:tc>
          <w:tcPr>
            <w:tcW w:w="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3,840</w:t>
            </w:r>
          </w:p>
        </w:tc>
        <w:tc>
          <w:tcPr>
            <w:tcW w:w="5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1,294,200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1,439,241</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554,865</w:t>
            </w:r>
          </w:p>
        </w:tc>
        <w:tc>
          <w:tcPr>
            <w:tcW w:w="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290,519</w:t>
            </w:r>
          </w:p>
        </w:tc>
        <w:tc>
          <w:tcPr>
            <w:tcW w:w="5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1,494,200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2,339,584</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40" w:hanging="328"/>
        <w:spacing w:after="0" w:line="25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December 31, 2014, there was no balance outstanding under this credit facility.</w:t>
      </w:r>
    </w:p>
    <w:p>
      <w:pPr>
        <w:ind w:left="660" w:right="40" w:hanging="328"/>
        <w:spacing w:after="0" w:line="260"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total debt maturities differ from the total reported on the consolidated balance sheet as of December 31, 2014 due to the unamortized discount or premium on certain senior notes and mortgages payable.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2014, are as follows: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5,787</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5,797</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5,800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160,210</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189,182</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representing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(117,535)</w:t>
            </w:r>
          </w:p>
        </w:tc>
      </w:tr>
      <w:tr>
        <w:trPr>
          <w:trHeight w:val="236"/>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71,647</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8—FAIR VALUE OF FINANCIAL INSTRUMENTS</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fair value measurement is based on the assumptions that market participants would use in pricing an asset or liability in an orderly transaction. The hierarchy for inputs used in measuring fair value are as follows:</w:t>
      </w:r>
    </w:p>
    <w:p>
      <w:pPr>
        <w:spacing w:after="0" w:line="116" w:lineRule="exact"/>
        <w:rPr>
          <w:sz w:val="20"/>
          <w:szCs w:val="20"/>
          <w:color w:val="auto"/>
        </w:rPr>
      </w:pPr>
    </w:p>
    <w:p>
      <w:pPr>
        <w:ind w:left="580" w:hanging="545"/>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197" w:lineRule="exact"/>
        <w:rPr>
          <w:rFonts w:ascii="Arial" w:cs="Arial" w:eastAsia="Arial" w:hAnsi="Arial"/>
          <w:sz w:val="18"/>
          <w:szCs w:val="18"/>
          <w:color w:val="auto"/>
        </w:rPr>
      </w:pPr>
    </w:p>
    <w:p>
      <w:pPr>
        <w:ind w:left="580" w:hanging="545"/>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197" w:lineRule="exact"/>
        <w:rPr>
          <w:rFonts w:ascii="Arial" w:cs="Arial" w:eastAsia="Arial" w:hAnsi="Arial"/>
          <w:sz w:val="18"/>
          <w:szCs w:val="18"/>
          <w:color w:val="auto"/>
        </w:rPr>
      </w:pPr>
    </w:p>
    <w:p>
      <w:pPr>
        <w:ind w:left="580" w:right="3200" w:hanging="545"/>
        <w:spacing w:after="0" w:line="277"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Inputs—prices or valuation techniques that require inputs that are both significant to the fair value measurement and unobservable</w:t>
      </w:r>
    </w:p>
    <w:p>
      <w:pPr>
        <w:spacing w:after="0" w:line="143" w:lineRule="exact"/>
        <w:rPr>
          <w:sz w:val="20"/>
          <w:szCs w:val="20"/>
          <w:color w:val="auto"/>
        </w:rPr>
      </w:pPr>
    </w:p>
    <w:p>
      <w:pPr>
        <w:ind w:right="80"/>
        <w:spacing w:after="0" w:line="307"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w:t>
      </w:r>
    </w:p>
    <w:p>
      <w:pPr>
        <w:spacing w:after="0" w:line="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2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indicative of the amounts that could be realized upon disposition of the financial instruments. A summary of the carrying amount and fair value of our mortgages payable, notes payable and senior notes and debentures is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41"/>
              <w:spacing w:after="0" w:line="152"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21"/>
              <w:spacing w:after="0" w:line="152"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854,217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880,866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889,278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912,251</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61"/>
              <w:spacing w:after="0"/>
              <w:rPr>
                <w:sz w:val="20"/>
                <w:szCs w:val="20"/>
                <w:color w:val="auto"/>
              </w:rPr>
            </w:pPr>
            <w:r>
              <w:rPr>
                <w:rFonts w:ascii="Arial" w:cs="Arial" w:eastAsia="Arial" w:hAnsi="Arial"/>
                <w:sz w:val="18"/>
                <w:szCs w:val="18"/>
                <w:color w:val="auto"/>
              </w:rPr>
              <w:t>1,483,813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1,579,868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1,360,913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1,397,731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December 31, 2014, we have two interest rate swap agreements with a notional amount of $275.0 million that are measured at fair value on a recurring basis. The interest rate swap agreements fix the variable portion of our $275.0 million term loan at 1.72% from December 1, 2011 through November 1, 2018. 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December 31, 2014 and 2013, was a liability of $3.5 million, and $1.4 million, respectively, and are included in "accounts payable and accrued expenses" on our consolidated balance sheets. The changes in valuation on our interest rate swaps were a $2.1 million decrease and an $11.0 million increase (including $4.3 million for both years reclassified from other comprehensive loss to earnings) for 2014 and 2013, and are included in "accumulated other comprehensive loss". A summary of our financial liabilities that are measured at fair value on a recurring basis, by level within the fair value hierarchy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December 31, 2014</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2013</w:t>
            </w:r>
          </w:p>
        </w:tc>
        <w:tc>
          <w:tcPr>
            <w:tcW w:w="780" w:type="dxa"/>
            <w:vAlign w:val="bottom"/>
            <w:tcBorders>
              <w:bottom w:val="single" w:sz="8" w:color="auto"/>
            </w:tcBorders>
          </w:tcPr>
          <w:p>
            <w:pPr>
              <w:spacing w:after="0"/>
              <w:rPr>
                <w:sz w:val="16"/>
                <w:szCs w:val="16"/>
                <w:color w:val="auto"/>
              </w:rPr>
            </w:pPr>
          </w:p>
        </w:tc>
      </w:tr>
      <w:tr>
        <w:trPr>
          <w:trHeight w:val="263"/>
        </w:trPr>
        <w:tc>
          <w:tcPr>
            <w:tcW w:w="286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6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r>
      <w:tr>
        <w:trPr>
          <w:trHeight w:val="250"/>
        </w:trPr>
        <w:tc>
          <w:tcPr>
            <w:tcW w:w="2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2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9"/>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3,515</w:t>
            </w:r>
          </w:p>
        </w:tc>
        <w:tc>
          <w:tcPr>
            <w:tcW w:w="8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1,417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1,417</w:t>
            </w:r>
          </w:p>
        </w:tc>
      </w:tr>
      <w:tr>
        <w:trPr>
          <w:trHeight w:val="27"/>
        </w:trPr>
        <w:tc>
          <w:tcPr>
            <w:tcW w:w="28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9—COMMITMENTS AND CONTINGENCIES</w:t>
      </w:r>
    </w:p>
    <w:p>
      <w:pPr>
        <w:spacing w:after="0" w:line="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w:t>
      </w:r>
    </w:p>
    <w:p>
      <w:pPr>
        <w:spacing w:after="0" w:line="3" w:lineRule="exact"/>
        <w:rPr>
          <w:sz w:val="20"/>
          <w:szCs w:val="20"/>
          <w:color w:val="auto"/>
        </w:rPr>
      </w:pPr>
    </w:p>
    <w:p>
      <w:pPr>
        <w:ind w:right="140" w:firstLine="8"/>
        <w:spacing w:after="0" w:line="260"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owner of the properties due to certain matters relating to the operation of the properties by the tenant, and (2) where appropriate, due to certain matters relating to the ownership of the properties prior to their acquisition by us.</w:t>
      </w:r>
    </w:p>
    <w:p>
      <w:pPr>
        <w:spacing w:after="0" w:line="13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If changes in facts and circumstances indicate that warranty reserves are understated, we will accrue additional reserves at such time a liability has been incurred and the costs can be reasonably estimated. Warranty reserves are released once the legal liability period has expired or all related work has been substantially completed. Any increases to our estimated warranty losses would usually result in a decrease in net income.</w:t>
      </w:r>
    </w:p>
    <w:p>
      <w:pPr>
        <w:spacing w:after="0" w:line="1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December 31, 2014 and 2013, our reserves for warranties and general liability costs were $7.2 million and $7.4 million, respectively, and are included in “accounts payable and accrued expenses” in our consolidated balance sheets. Any potential losses which exceed our estimates would result in a decrease in our net income. During 2014 and 2013, we made payments from these reserves of $1.4 million and $1.2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3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December 31, 2014, we had letters of credit outstanding of approximately $13.0 million which are collateral for existing indebtedness and other obligations of the Trust.</w:t>
      </w:r>
    </w:p>
    <w:p>
      <w:pPr>
        <w:spacing w:after="0" w:line="1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2014 in connection with capital improvement, development, and redevelopment projects, the Trust has contractual obligations of approximately $232.3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2014: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1,478</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2,473</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2,676</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154,211</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165,763</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1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Under the terms of the Congressional Plaza partnership agreement, from and after January 1, 1986, an unaffiliated third party has the right to require us and the other minority partner to purchase its 29.47% interest in Congressional Plaza at the interest’s then-current fair market value. If the other minority partner defaults in their obligation, we must purchase the full interest. Based on management’s current estimate of fair market value as of December 31, 2014, our estimated maximum liability upon exercise of the put option would range from approximately $72 million to $76 million.</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Under the terms of a partnership which owns a project in southern California, if certain leasing and revenue levels are obtained for the property owned by the partnership, the other partner may require us to purchase their 10% partnership interest at a formula price based upon property operating income. The purchase price for the partnership interest will be paid using our common shares or, subject to certain conditions, cash. If the other partner does not redeem their interest, we may choose to purchase the partnership interest upon the same terms.</w:t>
      </w:r>
    </w:p>
    <w:p>
      <w:pPr>
        <w:spacing w:after="0" w:line="11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master lease for Melville Mall includes a fixed purchase price option in 2021 for $5 million. If we fail to exercise our purchase option, the owner of Melville Mall has a put option which would require us to purchase Melville Mall in 2023 for $5 million.</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other member in Montrose Crossing has the right to require us to purchase all of its 10.1% interest in Montrose Crossing at the interest's then-current fair market value. If the other member fails to exercise its put option, we have the right to purchase its interest on or after December 27, 2021 at fair market value. Based on management’s current estimate of fair market value as of December 31, 2014, our estimated maximum liability upon exercise of the put option would range from approximately $9 million to $10 million.</w:t>
      </w:r>
    </w:p>
    <w:p>
      <w:pPr>
        <w:spacing w:after="0" w:line="13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Two of the members in Plaza El Segundo have the right to require us to purchase their 10.0% and 11.8% ownership interests at the interests' then-current fair market value. If the members fail to exercise their put options, we have the right to purchase each of their interests on or after December 30, 2026 at fair market value. Based on management’s current estimate of fair market value as of December 31, 2014, our estimated maximum liability upon exercise of the put option would range from approximately $18 million to $21 million. Also, between January 1, 2017 and February 1, 2017, we have an option to purchase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preferred interest of another member in Plaza El Segundo. The purchase price will be the lesser of fair value or the $4.9 million stated value of the preferred interest plus any accrued and unpaid preferred returns.</w:t>
      </w:r>
    </w:p>
    <w:p>
      <w:pPr>
        <w:spacing w:after="0" w:line="116" w:lineRule="exact"/>
        <w:rPr>
          <w:sz w:val="20"/>
          <w:szCs w:val="20"/>
          <w:color w:val="auto"/>
        </w:rPr>
      </w:pPr>
    </w:p>
    <w:p>
      <w:pPr>
        <w:ind w:right="220"/>
        <w:spacing w:after="0" w:line="307" w:lineRule="auto"/>
        <w:rPr>
          <w:sz w:val="20"/>
          <w:szCs w:val="20"/>
          <w:color w:val="auto"/>
        </w:rPr>
      </w:pPr>
      <w:r>
        <w:rPr>
          <w:rFonts w:ascii="Arial" w:cs="Arial" w:eastAsia="Arial" w:hAnsi="Arial"/>
          <w:sz w:val="17"/>
          <w:szCs w:val="17"/>
          <w:color w:val="auto"/>
        </w:rPr>
        <w:t>Effective January 1, 2017, the other member in The Grove at Shrewsbury and Brook 35 has the right to require us to purchase all of its approximately 4.8% interest in The Grove at Shrewsbury and approximately 8.8% interest in Brook 35 at the interests' then-current fair market value.</w:t>
      </w:r>
    </w:p>
    <w:p>
      <w:pPr>
        <w:spacing w:after="0" w:line="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917,255 operating partnership units are outstanding which have a total fair value of $122.4 million, based on our closing stock price on December 31,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 Dividend Reinvestment Plan (the “Plan”), whereby shareholders may use their dividends and optional cash payments to purchase shares. In 2014, 2013 and 2012, 18,705 shares, 20,026 shares and 22,814 shares, respectively, were issued under the Plan.</w:t>
      </w:r>
    </w:p>
    <w:p>
      <w:pPr>
        <w:spacing w:after="0" w:line="11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As of December 31, 2014, 2013, and 2012, we had 399,896 shares of 5.417% Series 1 Cumulative Convertible Preferred Shares (“Series 1 Preferred Shares”) outstanding that have a liquidation preference of $25 per share and</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par value $0.01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February 12, 2014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of outstanding under our revolving credit facility and/or for general corporate purposes. For the year ended December 31, 2014, we issued 1,768,583 common shares at a weighted average price per share of $122.09 for net cash proceeds of $213.6 million and paid $2.2 million in commissions and $0.2 million in additional offering expenses related to the sales of these common shares. For the year ended December 31, 2013, we issued 1,734,974 common shares at a weighted average price per share of $108.01 for net cash proceeds of $185.2 million and paid $2.0 million in commissions and $0.2 million in additional offering expenses related to the sales of these common shares. As of December 31, 2014, we had the capacity to issue up to $84.1 million in common shares under our ATM equity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11—DIVIDENDS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3"/>
        </w:trPr>
        <w:tc>
          <w:tcPr>
            <w:tcW w:w="5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2014</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2012</w:t>
            </w:r>
          </w:p>
        </w:tc>
        <w:tc>
          <w:tcPr>
            <w:tcW w:w="700" w:type="dxa"/>
            <w:vAlign w:val="bottom"/>
            <w:tcBorders>
              <w:bottom w:val="single" w:sz="8" w:color="auto"/>
            </w:tcBorders>
          </w:tcPr>
          <w:p>
            <w:pPr>
              <w:spacing w:after="0"/>
              <w:rPr>
                <w:sz w:val="22"/>
                <w:szCs w:val="22"/>
                <w:color w:val="auto"/>
              </w:rPr>
            </w:pPr>
          </w:p>
        </w:tc>
      </w:tr>
      <w:tr>
        <w:trPr>
          <w:trHeight w:val="263"/>
        </w:trPr>
        <w:tc>
          <w:tcPr>
            <w:tcW w:w="5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4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4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2.800</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1.354</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4860" w:type="dxa"/>
            <w:vAlign w:val="bottom"/>
          </w:tcPr>
          <w:p>
            <w:pPr>
              <w:spacing w:after="0"/>
              <w:rPr>
                <w:sz w:val="22"/>
                <w:szCs w:val="22"/>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49"/>
        </w:trPr>
        <w:tc>
          <w:tcPr>
            <w:tcW w:w="4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30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3.178</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2.772</w:t>
            </w: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2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0.032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0.059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0.028</w:t>
            </w:r>
          </w:p>
        </w:tc>
      </w:tr>
      <w:tr>
        <w:trPr>
          <w:trHeight w:val="236"/>
        </w:trPr>
        <w:tc>
          <w:tcPr>
            <w:tcW w:w="4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3.210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2.970</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2.800</w:t>
            </w:r>
          </w:p>
        </w:tc>
      </w:tr>
      <w:tr>
        <w:trPr>
          <w:trHeight w:val="67"/>
        </w:trPr>
        <w:tc>
          <w:tcPr>
            <w:tcW w:w="4860" w:type="dxa"/>
            <w:vAlign w:val="bottom"/>
            <w:tcBorders>
              <w:bottom w:val="single" w:sz="8" w:color="CCEEFF"/>
            </w:tcBorders>
          </w:tcPr>
          <w:p>
            <w:pPr>
              <w:spacing w:after="0"/>
              <w:rPr>
                <w:sz w:val="5"/>
                <w:szCs w:val="5"/>
                <w:color w:val="auto"/>
              </w:rPr>
            </w:pPr>
          </w:p>
        </w:tc>
        <w:tc>
          <w:tcPr>
            <w:tcW w:w="22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5.417% Series 1 Cumulative Convertible Preferred shares</w:t>
            </w:r>
          </w:p>
        </w:tc>
        <w:tc>
          <w:tcPr>
            <w:tcW w:w="2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380"/>
              <w:spacing w:after="0"/>
              <w:rPr>
                <w:sz w:val="20"/>
                <w:szCs w:val="20"/>
                <w:color w:val="auto"/>
              </w:rPr>
            </w:pPr>
            <w:r>
              <w:rPr>
                <w:rFonts w:ascii="Arial" w:cs="Arial" w:eastAsia="Arial" w:hAnsi="Arial"/>
                <w:sz w:val="18"/>
                <w:szCs w:val="18"/>
                <w:color w:val="auto"/>
              </w:rPr>
              <w:t>Ordinary dividend</w:t>
            </w:r>
          </w:p>
        </w:tc>
        <w:tc>
          <w:tcPr>
            <w:tcW w:w="30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1.340</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1.340</w:t>
            </w: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w:t>
            </w:r>
          </w:p>
        </w:tc>
        <w:tc>
          <w:tcPr>
            <w:tcW w:w="2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0.014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0.027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0.014</w:t>
            </w:r>
          </w:p>
        </w:tc>
      </w:tr>
      <w:tr>
        <w:trPr>
          <w:trHeight w:val="236"/>
        </w:trPr>
        <w:tc>
          <w:tcPr>
            <w:tcW w:w="48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1.354</w:t>
            </w:r>
          </w:p>
        </w:tc>
      </w:tr>
      <w:tr>
        <w:trPr>
          <w:trHeight w:val="27"/>
        </w:trPr>
        <w:tc>
          <w:tcPr>
            <w:tcW w:w="4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39"/>
        </w:trPr>
        <w:tc>
          <w:tcPr>
            <w:tcW w:w="4860" w:type="dxa"/>
            <w:vAlign w:val="bottom"/>
          </w:tcPr>
          <w:p>
            <w:pPr>
              <w:spacing w:after="0"/>
              <w:rPr>
                <w:sz w:val="24"/>
                <w:szCs w:val="24"/>
                <w:color w:val="auto"/>
              </w:rPr>
            </w:pPr>
          </w:p>
        </w:tc>
        <w:tc>
          <w:tcPr>
            <w:tcW w:w="3080" w:type="dxa"/>
            <w:vAlign w:val="bottom"/>
            <w:gridSpan w:val="2"/>
          </w:tcPr>
          <w:p>
            <w:pPr>
              <w:jc w:val="right"/>
              <w:ind w:right="1970"/>
              <w:spacing w:after="0"/>
              <w:rPr>
                <w:sz w:val="20"/>
                <w:szCs w:val="20"/>
                <w:color w:val="auto"/>
              </w:rPr>
            </w:pPr>
            <w:r>
              <w:rPr>
                <w:rFonts w:ascii="Arial" w:cs="Arial" w:eastAsia="Arial" w:hAnsi="Arial"/>
                <w:sz w:val="18"/>
                <w:szCs w:val="18"/>
                <w:color w:val="auto"/>
              </w:rPr>
              <w:t>F-24</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October 30, 2014, the Trustees declared a quarterly cash dividend of $0.87 per common share, payable January 15, 2015 to common shareholders of record on January 2,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LEASES</w:t>
      </w:r>
    </w:p>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At December 31, 2014, our 89 predominantly retail shopping center and mixed-use properties are located in 13 states and the District of Columbia. There are approximately 2,700 leases with tenants providing a wide range of retail products and services. These tenants range from sole proprietorships to national retailers; no one tenant or corporate group of tenants accounts for more than 3.1% of annualized base rent.</w:t>
      </w:r>
    </w:p>
    <w:p>
      <w:pPr>
        <w:spacing w:after="0" w:line="11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may provide for percentage rents based on the tenant’s level of sales achieved and cost recoveries for the tenant’s share of certain operating costs. Leases on apartments are generally for a period of 1 year or less.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2014, minimum future commercial property rentals from noncancelable operating leases, before any reserve for uncollectible amounts and assuming no early lease terminations, at our operating properties are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484,911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447,519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389,507</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323,748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268,600</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1,718,254</w:t>
            </w:r>
          </w:p>
        </w:tc>
      </w:tr>
      <w:tr>
        <w:trPr>
          <w:trHeight w:val="236"/>
        </w:trPr>
        <w:tc>
          <w:tcPr>
            <w:tcW w:w="100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3,632,539</w:t>
            </w:r>
          </w:p>
        </w:tc>
      </w:tr>
      <w:tr>
        <w:trPr>
          <w:trHeight w:val="27"/>
        </w:trPr>
        <w:tc>
          <w:tcPr>
            <w:tcW w:w="10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13—COMPONENTS OF RENTAL INCOME AND EXPENSE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rents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Retail and commercial</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Residential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reimbursement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Percentage rent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rental income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Straight-line rents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amortization of above and below market leases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749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955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2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472,602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448,058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420,989</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36,099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28,902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27,611</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135,592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122,578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112,424</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9,359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8,568</w:t>
            </w:r>
          </w:p>
        </w:tc>
      </w:tr>
      <w:tr>
        <w:trPr>
          <w:trHeight w:val="270"/>
        </w:trPr>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10,522</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666,322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620,089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580,114</w:t>
            </w:r>
          </w:p>
        </w:tc>
      </w:tr>
      <w:tr>
        <w:trPr>
          <w:trHeight w:val="27"/>
        </w:trPr>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43"/>
        </w:trPr>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63"/>
        </w:trPr>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0"/>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-2192020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-1849755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-1506855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-153670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126" w:right="239" w:bottom="1440" w:gutter="0" w:footer="0" w:header="0"/>
          <w:type w:val="continuous"/>
        </w:sectPr>
      </w:pPr>
    </w:p>
    <w:p>
      <w:pPr>
        <w:spacing w:after="0" w:line="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6" w:right="239" w:bottom="1440" w:gutter="0" w:footer="0" w:header="0"/>
          <w:type w:val="continuous"/>
        </w:sectPr>
      </w:pPr>
    </w:p>
    <w:bookmarkStart w:id="79" w:name="page80"/>
    <w:bookmarkEnd w:id="79"/>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Repairs and maintenance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46,600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41,550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19,219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19,201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fees and costs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Payroll</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9,237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8,691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6,267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Ground Rent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10,057</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Total rental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135,417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118,695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112,616</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During 2013 and prior to our adoption of ASU 2014-08 as further discussed in Note 2, certain disposal transactions were considered discontinued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financial information for the discontinued operations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534"/>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7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Revenue from discontinued operations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432"/>
        </w:trPr>
        <w:tc>
          <w:tcPr>
            <w:tcW w:w="7080" w:type="dxa"/>
            <w:vAlign w:val="bottom"/>
          </w:tcPr>
          <w:p>
            <w:pPr>
              <w:spacing w:after="0"/>
              <w:rPr>
                <w:sz w:val="20"/>
                <w:szCs w:val="20"/>
                <w:color w:val="auto"/>
              </w:rPr>
            </w:pPr>
            <w:r>
              <w:rPr>
                <w:rFonts w:ascii="Arial" w:cs="Arial" w:eastAsia="Arial" w:hAnsi="Arial"/>
                <w:sz w:val="18"/>
                <w:szCs w:val="18"/>
                <w:b w:val="1"/>
                <w:bCs w:val="1"/>
                <w:color w:val="auto"/>
              </w:rPr>
              <w:t>NOTE 15—SHARE-BASED COMPENSATION PLANS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7080" w:type="dxa"/>
            <w:vAlign w:val="bottom"/>
          </w:tcPr>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9"/>
        </w:trPr>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3"/>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190"/>
        </w:trPr>
        <w:tc>
          <w:tcPr>
            <w:tcW w:w="7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7080" w:type="dxa"/>
            <w:vAlign w:val="bottom"/>
          </w:tcPr>
          <w:p>
            <w:pPr>
              <w:ind w:left="40"/>
              <w:spacing w:after="0"/>
              <w:rPr>
                <w:sz w:val="20"/>
                <w:szCs w:val="20"/>
                <w:color w:val="auto"/>
              </w:rPr>
            </w:pPr>
            <w:r>
              <w:rPr>
                <w:rFonts w:ascii="Arial" w:cs="Arial" w:eastAsia="Arial" w:hAnsi="Arial"/>
                <w:sz w:val="18"/>
                <w:szCs w:val="18"/>
                <w:color w:val="auto"/>
              </w:rPr>
              <w:t>Share-based compensation incurred</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Grants of common shares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12,892</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10,907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Grants of options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525</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11,199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10,371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3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10,175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2014, we have grants outstanding under two share-based compensation plans. In May 2010, our shareholders approved the 2010 Performance Incentive Plan, as amended (“the 2010 Plan”), which authorized the grant of share options, common shares and other share-based awards for up to 2,450,000 common shares of beneficial interest. Our 2001 Long Term Incentive Plan (the “2001 Plan”), which expired in May 2010, authorized the grant of share options, common shares and other share-based awards of 3,250,000 common shares of beneficial interest.</w:t>
      </w:r>
    </w:p>
    <w:p>
      <w:pPr>
        <w:spacing w:after="0" w:line="11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Option awards under both plans are required to have an exercise price at least equal to the closing trading price of our common shares on the date of grant. Options and restricted share awards under these plans generally vest over three to six years and option awards typically have a ten-year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term, dividend yields, employee exercises and estimated forfeitures are primarily based on historical data. The risk-free interest rate is based on the U.S. Treasury yield curve in effect at the time of grant. The fair value of each share award is determined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based on the closing trading price of our common shares on the grant date. No options were granted in 2014, 2013 and 2012. The following table provides a summary of option activity for 2014: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36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74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Under</w:t>
            </w:r>
          </w:p>
        </w:tc>
        <w:tc>
          <w:tcPr>
            <w:tcW w:w="30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2"/>
                <w:szCs w:val="12"/>
                <w:color w:val="auto"/>
              </w:rPr>
            </w:pPr>
          </w:p>
        </w:tc>
        <w:tc>
          <w:tcPr>
            <w:tcW w:w="1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 years)</w:t>
            </w:r>
          </w:p>
        </w:tc>
        <w:tc>
          <w:tcPr>
            <w:tcW w:w="240" w:type="dxa"/>
            <w:vAlign w:val="bottom"/>
          </w:tcPr>
          <w:p>
            <w:pPr>
              <w:spacing w:after="0"/>
              <w:rPr>
                <w:sz w:val="21"/>
                <w:szCs w:val="21"/>
                <w:color w:val="auto"/>
              </w:rPr>
            </w:pP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375,460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73.38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343,742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61.55</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24,719</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2014</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80" w:type="dxa"/>
            <w:vAlign w:val="bottom"/>
            <w:vMerge w:val="continue"/>
          </w:tcPr>
          <w:p>
            <w:pPr>
              <w:spacing w:after="0"/>
              <w:rPr>
                <w:sz w:val="19"/>
                <w:szCs w:val="19"/>
                <w:color w:val="auto"/>
              </w:rPr>
            </w:pP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343,599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24,709</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The total cash received from options exercised during 2014, 2013 and 2012 was $2.3 million, $1.0 million and $5.7 million, respectively. The total intrinsic value of options exercised during the years ended December 31, 2014, 2013 and 2012 was $1.1 million, $0.7 million and $4.2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8120" w:type="dxa"/>
            <w:vAlign w:val="bottom"/>
          </w:tcPr>
          <w:p>
            <w:pPr>
              <w:spacing w:after="0"/>
              <w:rPr>
                <w:sz w:val="12"/>
                <w:szCs w:val="12"/>
                <w:color w:val="auto"/>
              </w:rPr>
            </w:pPr>
          </w:p>
        </w:tc>
        <w:tc>
          <w:tcPr>
            <w:tcW w:w="160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8"/>
              </w:rPr>
              <w:t>Grant-Date Fair</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2013</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298,203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119,677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111.45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98.02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2014</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306,968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341" w:lineRule="auto"/>
        <w:rPr>
          <w:sz w:val="20"/>
          <w:szCs w:val="20"/>
          <w:color w:val="auto"/>
        </w:rPr>
      </w:pPr>
      <w:r>
        <w:rPr>
          <w:rFonts w:ascii="Arial" w:cs="Arial" w:eastAsia="Arial" w:hAnsi="Arial"/>
          <w:sz w:val="16"/>
          <w:szCs w:val="16"/>
          <w:color w:val="auto"/>
        </w:rPr>
        <w:t>The weighted-average grant-date fair value of stock awarded in 2014, 2013 and 2012 was $111.45, $106.70 and $96.35, respectively. The total vesting-date fair value of shares vested during the year ended December 31, 2014, 2013 and 2012, was $12.1 million, $10.6 million and $10.3 million, respectively.</w:t>
      </w:r>
    </w:p>
    <w:p>
      <w:pPr>
        <w:spacing w:after="0" w:line="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of December 31, 2014, there was $15.5 million of total unrecognized compensation cost related to unvested share-based compensation arrangements (i.e. options and unvested shares) granted under our plans. This cost is expected to be recognized over the next 9.4 years with a weighted-average period of 2.1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2014, common shares were awarded under various compensation plans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Date</w:t>
            </w:r>
          </w:p>
        </w:tc>
        <w:tc>
          <w:tcPr>
            <w:tcW w:w="1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Award</w:t>
            </w:r>
          </w:p>
        </w:tc>
        <w:tc>
          <w:tcPr>
            <w:tcW w:w="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Vesting Term</w:t>
            </w:r>
          </w:p>
        </w:tc>
        <w:tc>
          <w:tcPr>
            <w:tcW w:w="140" w:type="dxa"/>
            <w:vAlign w:val="bottom"/>
            <w:tcBorders>
              <w:bottom w:val="single" w:sz="8" w:color="CCEEFF"/>
            </w:tcBorders>
          </w:tcPr>
          <w:p>
            <w:pPr>
              <w:spacing w:after="0"/>
              <w:rPr>
                <w:sz w:val="16"/>
                <w:szCs w:val="16"/>
                <w:color w:val="auto"/>
              </w:rPr>
            </w:pPr>
          </w:p>
        </w:tc>
        <w:tc>
          <w:tcPr>
            <w:tcW w:w="31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Beneficiary</w:t>
            </w:r>
          </w:p>
        </w:tc>
      </w:tr>
      <w:tr>
        <w:trPr>
          <w:trHeight w:val="249"/>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February 6, 2015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50,734</w:t>
            </w:r>
          </w:p>
        </w:tc>
        <w:tc>
          <w:tcPr>
            <w:tcW w:w="2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Restricted shares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2-5 years</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Officers and key employees</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January 2, 2015</w:t>
            </w:r>
          </w:p>
        </w:tc>
        <w:tc>
          <w:tcPr>
            <w:tcW w:w="1080" w:type="dxa"/>
            <w:vAlign w:val="bottom"/>
          </w:tcPr>
          <w:p>
            <w:pPr>
              <w:jc w:val="right"/>
              <w:spacing w:after="0"/>
              <w:rPr>
                <w:sz w:val="20"/>
                <w:szCs w:val="20"/>
                <w:color w:val="auto"/>
              </w:rPr>
            </w:pPr>
            <w:r>
              <w:rPr>
                <w:rFonts w:ascii="Arial" w:cs="Arial" w:eastAsia="Arial" w:hAnsi="Arial"/>
                <w:sz w:val="18"/>
                <w:szCs w:val="18"/>
                <w:color w:val="auto"/>
              </w:rPr>
              <w:t>5,059</w:t>
            </w: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Shares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Immediate</w:t>
            </w:r>
          </w:p>
        </w:tc>
        <w:tc>
          <w:tcPr>
            <w:tcW w:w="3180" w:type="dxa"/>
            <w:vAlign w:val="bottom"/>
          </w:tcPr>
          <w:p>
            <w:pPr>
              <w:ind w:left="20"/>
              <w:spacing w:after="0"/>
              <w:rPr>
                <w:sz w:val="20"/>
                <w:szCs w:val="20"/>
                <w:color w:val="auto"/>
              </w:rPr>
            </w:pPr>
            <w:r>
              <w:rPr>
                <w:rFonts w:ascii="Arial" w:cs="Arial" w:eastAsia="Arial" w:hAnsi="Arial"/>
                <w:sz w:val="18"/>
                <w:szCs w:val="18"/>
                <w:color w:val="auto"/>
              </w:rPr>
              <w:t>Trustees</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16—SAVINGS AND RETIREMENT PLANS</w:t>
      </w:r>
    </w:p>
    <w:p>
      <w:pPr>
        <w:spacing w:after="0" w:line="9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 savings and retirement plan in accordance with the provisions of Section 401(k) of the Code. Generally, employees can elect, at their discretion, to contribute a portion of their compensation up to a maximum of $17,500 for 2014 and 2013, and $17,000 for 2012. Under the plan, we contribute 50% of each employee’s elective deferrals up to 5% of eligible earnings. In addition, we may make discretionary contributions within the limits of deductibility set forth by the Code. Our full-time employees are immediately eligible to become plan participants. Employees are eligible to receive matching contributions immediately on their participation; however, these matching payments will not vest until their third anniversary of employment for new employees who joined the Trust after December 31, 2011, and their first anniversary of employment for all other participants. Our expense for the years ended December 31, 2014, 2013 and 2012 was approximately $442,000, $384,000 and $427,000, respectively.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2014 and 2013, we are liable to participants for approximately $10.3 million and $9.2 million, respectively, under this plan. Although this is an unfunded plan, we have purchased certain investments to match this obligation. Our obligation under this plan and the related investments are both included in the accompanying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17—EARNINGS PER SHARE</w:t>
      </w:r>
    </w:p>
    <w:p>
      <w:pPr>
        <w:spacing w:after="0" w:line="9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2014, 2013 and 2012,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in 2014, 2013, or 2012.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left="532"/>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137,811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142,972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131,454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137,279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Results from discontinued operations attributable to the Trust</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24,803</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4,994</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11,860</w:t>
            </w:r>
          </w:p>
        </w:tc>
        <w:tc>
          <w:tcPr>
            <w:tcW w:w="0" w:type="dxa"/>
            <w:vAlign w:val="bottom"/>
          </w:tcPr>
          <w:p>
            <w:pPr>
              <w:spacing w:after="0"/>
              <w:rPr>
                <w:sz w:val="1"/>
                <w:szCs w:val="1"/>
                <w:color w:val="auto"/>
              </w:rPr>
            </w:pP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162,991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161,251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150,539</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67,322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65,331</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65,483</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64,056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0.38</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0.08</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2.47</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160,134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132,884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138,665</w:t>
            </w:r>
          </w:p>
        </w:tc>
        <w:tc>
          <w:tcPr>
            <w:tcW w:w="0" w:type="dxa"/>
            <w:vAlign w:val="bottom"/>
          </w:tcPr>
          <w:p>
            <w:pPr>
              <w:spacing w:after="0"/>
              <w:rPr>
                <w:sz w:val="1"/>
                <w:szCs w:val="1"/>
                <w:color w:val="auto"/>
              </w:rPr>
            </w:pPr>
          </w:p>
        </w:tc>
      </w:tr>
      <w:tr>
        <w:trPr>
          <w:trHeight w:val="917"/>
        </w:trPr>
        <w:tc>
          <w:tcPr>
            <w:tcW w:w="7780" w:type="dxa"/>
            <w:vAlign w:val="bottom"/>
          </w:tcPr>
          <w:p>
            <w:pPr>
              <w:ind w:left="554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18—SELECTED QUARTERLY FINANCIAL DATA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4"/>
                <w:szCs w:val="14"/>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4"/>
                <w:szCs w:val="14"/>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170,828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167,947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170,938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176,377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63,444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68,361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67,622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71,610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40,545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45,416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49,049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37,279</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38,753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43,545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47,075</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35,162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38,618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43,410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46,939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35,027</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0.64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0.69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0.51</w:t>
            </w:r>
          </w:p>
        </w:tc>
      </w:tr>
      <w:tr>
        <w:trPr>
          <w:trHeight w:val="180"/>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194"/>
              <w:spacing w:after="0"/>
              <w:rPr>
                <w:sz w:val="20"/>
                <w:szCs w:val="20"/>
                <w:color w:val="auto"/>
              </w:rPr>
            </w:pPr>
            <w:r>
              <w:rPr>
                <w:rFonts w:ascii="Arial" w:cs="Arial" w:eastAsia="Arial" w:hAnsi="Arial"/>
                <w:sz w:val="14"/>
                <w:szCs w:val="14"/>
                <w:b w:val="1"/>
                <w:bCs w:val="1"/>
                <w:color w:val="auto"/>
                <w:w w:val="98"/>
              </w:rPr>
              <w:t>First</w:t>
            </w:r>
          </w:p>
        </w:tc>
        <w:tc>
          <w:tcPr>
            <w:tcW w:w="300" w:type="dxa"/>
            <w:vAlign w:val="bottom"/>
          </w:tcPr>
          <w:p>
            <w:pPr>
              <w:spacing w:after="0"/>
              <w:rPr>
                <w:sz w:val="15"/>
                <w:szCs w:val="15"/>
                <w:color w:val="auto"/>
              </w:rPr>
            </w:pPr>
          </w:p>
        </w:tc>
        <w:tc>
          <w:tcPr>
            <w:tcW w:w="1180" w:type="dxa"/>
            <w:vAlign w:val="bottom"/>
          </w:tcPr>
          <w:p>
            <w:pPr>
              <w:jc w:val="center"/>
              <w:ind w:right="135"/>
              <w:spacing w:after="0"/>
              <w:rPr>
                <w:sz w:val="20"/>
                <w:szCs w:val="20"/>
                <w:color w:val="auto"/>
              </w:rPr>
            </w:pPr>
            <w:r>
              <w:rPr>
                <w:rFonts w:ascii="Arial" w:cs="Arial" w:eastAsia="Arial" w:hAnsi="Arial"/>
                <w:sz w:val="14"/>
                <w:szCs w:val="14"/>
                <w:b w:val="1"/>
                <w:bCs w:val="1"/>
                <w:color w:val="auto"/>
                <w:w w:val="86"/>
              </w:rPr>
              <w:t>Second</w:t>
            </w:r>
          </w:p>
        </w:tc>
        <w:tc>
          <w:tcPr>
            <w:tcW w:w="360" w:type="dxa"/>
            <w:vAlign w:val="bottom"/>
          </w:tcPr>
          <w:p>
            <w:pPr>
              <w:spacing w:after="0"/>
              <w:rPr>
                <w:sz w:val="15"/>
                <w:szCs w:val="15"/>
                <w:color w:val="auto"/>
              </w:rPr>
            </w:pPr>
          </w:p>
        </w:tc>
        <w:tc>
          <w:tcPr>
            <w:tcW w:w="1100" w:type="dxa"/>
            <w:vAlign w:val="bottom"/>
          </w:tcPr>
          <w:p>
            <w:pPr>
              <w:jc w:val="center"/>
              <w:ind w:right="214"/>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15"/>
                <w:szCs w:val="15"/>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9"/>
              </w:rPr>
              <w:t>Fourth</w:t>
            </w:r>
          </w:p>
        </w:tc>
      </w:tr>
      <w:tr>
        <w:trPr>
          <w:trHeight w:val="192"/>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Quarter</w:t>
            </w:r>
          </w:p>
        </w:tc>
      </w:tr>
      <w:tr>
        <w:trPr>
          <w:trHeight w:val="196"/>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w w:val="93"/>
              </w:rPr>
              <w:t>(In thousands, except per share data)</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Revenue(2)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157,149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157,388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159,030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163,846</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62,502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63,488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64,701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63,470</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35,842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38,797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63,366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29,603</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34,588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37,539</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62,098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28,456</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34,453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37,404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61,962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28,321</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share—basic(1)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Earnings per common share—diluted(1)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0.57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0.94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0.42</w:t>
            </w:r>
          </w:p>
        </w:tc>
      </w:tr>
    </w:tbl>
    <w:p>
      <w:pPr>
        <w:spacing w:after="0" w:line="228" w:lineRule="exact"/>
        <w:rPr>
          <w:sz w:val="20"/>
          <w:szCs w:val="20"/>
          <w:color w:val="auto"/>
        </w:rPr>
      </w:pPr>
    </w:p>
    <w:p>
      <w:pPr>
        <w:ind w:left="660" w:right="80" w:hanging="652"/>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Third quarter 2014 includes a $4.4 million gain on sale reflecting our share of the Partnership's sale of Pleasant Shops as further discussed in Note 5. Third quarter 2013 includes a $23.9 million gain on sale of two retail buildings as further discussed in Note 3.</w:t>
      </w:r>
    </w:p>
    <w:p>
      <w:pPr>
        <w:spacing w:after="0" w:line="169"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 in 2013 has been reduced to reflect the results of discontinued operations as further discussed in Note 14. Revenue from discontinued operations, by quarter, is summarized as follows:</w:t>
      </w:r>
    </w:p>
    <w:p>
      <w:pPr>
        <w:spacing w:after="0" w:line="95"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center"/>
              <w:ind w:right="222"/>
              <w:spacing w:after="0"/>
              <w:rPr>
                <w:sz w:val="20"/>
                <w:szCs w:val="20"/>
                <w:color w:val="auto"/>
              </w:rPr>
            </w:pPr>
            <w:r>
              <w:rPr>
                <w:rFonts w:ascii="Arial" w:cs="Arial" w:eastAsia="Arial" w:hAnsi="Arial"/>
                <w:sz w:val="14"/>
                <w:szCs w:val="14"/>
                <w:b w:val="1"/>
                <w:bCs w:val="1"/>
                <w:color w:val="auto"/>
                <w:w w:val="98"/>
              </w:rPr>
              <w:t>First</w:t>
            </w:r>
          </w:p>
        </w:tc>
        <w:tc>
          <w:tcPr>
            <w:tcW w:w="380" w:type="dxa"/>
            <w:vAlign w:val="bottom"/>
          </w:tcPr>
          <w:p>
            <w:pPr>
              <w:spacing w:after="0"/>
              <w:rPr>
                <w:sz w:val="14"/>
                <w:szCs w:val="14"/>
                <w:color w:val="auto"/>
              </w:rPr>
            </w:pPr>
          </w:p>
        </w:tc>
        <w:tc>
          <w:tcPr>
            <w:tcW w:w="1120" w:type="dxa"/>
            <w:vAlign w:val="bottom"/>
          </w:tcPr>
          <w:p>
            <w:pPr>
              <w:jc w:val="center"/>
              <w:ind w:right="244"/>
              <w:spacing w:after="0"/>
              <w:rPr>
                <w:sz w:val="20"/>
                <w:szCs w:val="20"/>
                <w:color w:val="auto"/>
              </w:rPr>
            </w:pPr>
            <w:r>
              <w:rPr>
                <w:rFonts w:ascii="Arial" w:cs="Arial" w:eastAsia="Arial" w:hAnsi="Arial"/>
                <w:sz w:val="14"/>
                <w:szCs w:val="14"/>
                <w:b w:val="1"/>
                <w:bCs w:val="1"/>
                <w:color w:val="auto"/>
                <w:w w:val="86"/>
              </w:rPr>
              <w:t>Second</w:t>
            </w:r>
          </w:p>
        </w:tc>
        <w:tc>
          <w:tcPr>
            <w:tcW w:w="500" w:type="dxa"/>
            <w:vAlign w:val="bottom"/>
          </w:tcPr>
          <w:p>
            <w:pPr>
              <w:spacing w:after="0"/>
              <w:rPr>
                <w:sz w:val="14"/>
                <w:szCs w:val="14"/>
                <w:color w:val="auto"/>
              </w:rPr>
            </w:pPr>
          </w:p>
        </w:tc>
        <w:tc>
          <w:tcPr>
            <w:tcW w:w="980" w:type="dxa"/>
            <w:vAlign w:val="bottom"/>
          </w:tcPr>
          <w:p>
            <w:pPr>
              <w:jc w:val="center"/>
              <w:ind w:right="382"/>
              <w:spacing w:after="0"/>
              <w:rPr>
                <w:sz w:val="20"/>
                <w:szCs w:val="20"/>
                <w:color w:val="auto"/>
              </w:rPr>
            </w:pPr>
            <w:r>
              <w:rPr>
                <w:rFonts w:ascii="Arial" w:cs="Arial" w:eastAsia="Arial" w:hAnsi="Arial"/>
                <w:sz w:val="14"/>
                <w:szCs w:val="14"/>
                <w:b w:val="1"/>
                <w:bCs w:val="1"/>
                <w:color w:val="auto"/>
              </w:rPr>
              <w:t>Third</w:t>
            </w:r>
          </w:p>
        </w:tc>
        <w:tc>
          <w:tcPr>
            <w:tcW w:w="360" w:type="dxa"/>
            <w:vAlign w:val="bottom"/>
          </w:tcPr>
          <w:p>
            <w:pPr>
              <w:spacing w:after="0"/>
              <w:rPr>
                <w:sz w:val="14"/>
                <w:szCs w:val="14"/>
                <w:color w:val="auto"/>
              </w:rPr>
            </w:pPr>
          </w:p>
        </w:tc>
        <w:tc>
          <w:tcPr>
            <w:tcW w:w="11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Fourth</w:t>
            </w:r>
          </w:p>
        </w:tc>
      </w:tr>
      <w:tr>
        <w:trPr>
          <w:trHeight w:val="192"/>
        </w:trPr>
        <w:tc>
          <w:tcPr>
            <w:tcW w:w="4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8"/>
              </w:rPr>
              <w:t>Quarter</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8"/>
              </w:rPr>
              <w:t>Quarter</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62"/>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gridSpan w:val="2"/>
          </w:tcPr>
          <w:p>
            <w:pPr>
              <w:ind w:left="700"/>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9"/>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revenue from discontinued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602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559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which has a stated interest rate of 5.27% and matures on January 1, 2016, approximately 58,000 downREIT operating partnership units and approximately $27 million of cash. We incurred $0.7 million of acquisition costs in 2014 which are included in "general and administrative expenses."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F</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0"/>
              </w:rPr>
              <w:t>depreciation</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gridSpan w:val="2"/>
            <w:vMerge w:val="restart"/>
          </w:tcPr>
          <w:p>
            <w:pPr>
              <w:jc w:val="center"/>
              <w:ind w:right="8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Depreciation</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auto"/>
              </w:rPr>
              <w:t>and</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26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560" w:type="dxa"/>
            <w:vAlign w:val="bottom"/>
          </w:tcPr>
          <w:p>
            <w:pPr>
              <w:jc w:val="right"/>
              <w:ind w:right="69"/>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Amortization</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260" w:type="dxa"/>
            <w:vAlign w:val="bottom"/>
            <w:tcBorders>
              <w:top w:val="single" w:sz="8" w:color="auto"/>
            </w:tcBorders>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150 POST STREET</w:t>
            </w:r>
          </w:p>
        </w:tc>
        <w:tc>
          <w:tcPr>
            <w:tcW w:w="5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11,685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6"/>
              </w:rPr>
              <w:t>$9,181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16,350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   11,685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   25,531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$ 37,216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   16,363</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1908/1965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10/23/1997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29TH PLACE</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4,917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10,211</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18,863</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11,222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10,225</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30,071</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40,296</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7,323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1975 - 2001</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5/30/2007</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ANDORRA</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12,346</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10,875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23,221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25,653</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17,090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1/12/1988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ASSEMBLY</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ROW/ASSEMBLY</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MARKETPLACE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2005, 2012-</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93,252</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34,196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305,854</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93,252</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340,050</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433,302</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21,953</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2005-2013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THE AVENUE AT</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WHITE MARSH</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52,705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72,432</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4,514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20,685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76,943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97,628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22,282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BALA CYNWYD</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14,466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22,187</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3,566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36,652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40,218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16,281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9/22/1993</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BARRACKS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ROAD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35,985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4,363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16,459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39,643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4,363</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56,102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60,465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37,539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12/31/1985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12/31/93,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6/2/97,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1/20/06,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9/25/08,</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BETHESDA ROW</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9/30/08, &amp;</w:t>
            </w:r>
          </w:p>
        </w:tc>
        <w:tc>
          <w:tcPr>
            <w:tcW w:w="100" w:type="dxa"/>
            <w:vAlign w:val="bottom"/>
          </w:tcPr>
          <w:p>
            <w:pPr>
              <w:spacing w:after="0"/>
              <w:rPr>
                <w:sz w:val="12"/>
                <w:szCs w:val="12"/>
                <w:color w:val="auto"/>
              </w:rPr>
            </w:pP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auto"/>
              </w:rPr>
              <w:t>35 - 50</w:t>
            </w: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46,579</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35,406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141,226</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44,880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178,331</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223,211</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56,776</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1945-2008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12/27/10</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BRICK PLAZA</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26,415</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24,715</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35,770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3,944</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56,541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60,485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42,119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12/28/1989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BRISTOL PLAZA</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tcPr>
          <w:p>
            <w:pPr>
              <w:ind w:left="140"/>
              <w:spacing w:after="0"/>
              <w:rPr>
                <w:sz w:val="20"/>
                <w:szCs w:val="20"/>
                <w:color w:val="auto"/>
              </w:rPr>
            </w:pPr>
            <w:r>
              <w:rPr>
                <w:rFonts w:ascii="Arial" w:cs="Arial" w:eastAsia="Arial" w:hAnsi="Arial"/>
                <w:sz w:val="14"/>
                <w:szCs w:val="14"/>
                <w:color w:val="auto"/>
              </w:rPr>
              <w:t>CT</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3,856</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15,959</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9,602</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3,856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25,561</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29,417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14,521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9/22/1995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BROOK 35 (New</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11,500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38,355</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7,128</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38,928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1986/2004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CHELSEA</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8/25/06,</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60" w:type="dxa"/>
            <w:vAlign w:val="bottom"/>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1/30/07, &amp;</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180" w:type="dxa"/>
            <w:vAlign w:val="bottom"/>
          </w:tcPr>
          <w:p>
            <w:pPr>
              <w:spacing w:after="0"/>
              <w:rPr>
                <w:sz w:val="16"/>
                <w:szCs w:val="16"/>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6,790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9,417</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19,466</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13,825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9,396</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33,312</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42,708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5,484</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w w:val="94"/>
              </w:rPr>
              <w:t>1962/1969/2008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7/16/08</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COLORADO</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12/31/96 &amp;</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BLVD (California)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4,071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8,787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5,262</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12,858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18,120</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9,336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1905-1988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8/14/98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w w:val="98"/>
              </w:rPr>
              <w:t>CONGRESSIONAL</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PLAZA (Maryland)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7,424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69,801</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1,020</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78,998</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80,018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47,425</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1965/2003</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4/1/1965</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COURTHOUSE</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1,869</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3,011</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12/17/1997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260" w:type="dxa"/>
            <w:vAlign w:val="bottom"/>
          </w:tcPr>
          <w:p>
            <w:pPr>
              <w:ind w:left="40"/>
              <w:spacing w:after="0" w:line="157" w:lineRule="exact"/>
              <w:rPr>
                <w:sz w:val="20"/>
                <w:szCs w:val="20"/>
                <w:color w:val="auto"/>
              </w:rPr>
            </w:pPr>
            <w:r>
              <w:rPr>
                <w:rFonts w:ascii="Arial" w:cs="Arial" w:eastAsia="Arial" w:hAnsi="Arial"/>
                <w:sz w:val="14"/>
                <w:szCs w:val="14"/>
                <w:color w:val="auto"/>
              </w:rPr>
              <w:t>COURTYARD</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60" w:type="dxa"/>
            <w:vAlign w:val="bottom"/>
          </w:tcPr>
          <w:p>
            <w:pPr>
              <w:ind w:left="40"/>
              <w:spacing w:after="0"/>
              <w:rPr>
                <w:sz w:val="20"/>
                <w:szCs w:val="20"/>
                <w:color w:val="auto"/>
              </w:rPr>
            </w:pPr>
            <w:r>
              <w:rPr>
                <w:rFonts w:ascii="Arial" w:cs="Arial" w:eastAsia="Arial" w:hAnsi="Arial"/>
                <w:sz w:val="14"/>
                <w:szCs w:val="14"/>
                <w:color w:val="auto"/>
              </w:rPr>
              <w:t>SHOPS (Florida)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18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16,862</w:t>
            </w:r>
          </w:p>
        </w:tc>
        <w:tc>
          <w:tcPr>
            <w:tcW w:w="100" w:type="dxa"/>
            <w:vAlign w:val="bottom"/>
          </w:tcPr>
          <w:p>
            <w:pPr>
              <w:spacing w:after="0"/>
              <w:rPr>
                <w:sz w:val="16"/>
                <w:szCs w:val="16"/>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21,851</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16,894</w:t>
            </w:r>
          </w:p>
        </w:tc>
        <w:tc>
          <w:tcPr>
            <w:tcW w:w="920" w:type="dxa"/>
            <w:vAlign w:val="bottom"/>
            <w:gridSpan w:val="2"/>
          </w:tcPr>
          <w:p>
            <w:pPr>
              <w:jc w:val="right"/>
              <w:ind w:right="57"/>
              <w:spacing w:after="0"/>
              <w:rPr>
                <w:sz w:val="20"/>
                <w:szCs w:val="20"/>
                <w:color w:val="auto"/>
              </w:rPr>
            </w:pPr>
            <w:r>
              <w:rPr>
                <w:rFonts w:ascii="Arial" w:cs="Arial" w:eastAsia="Arial" w:hAnsi="Arial"/>
                <w:sz w:val="14"/>
                <w:szCs w:val="14"/>
                <w:color w:val="auto"/>
              </w:rPr>
              <w:t>23,844</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40,738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5,731</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1990/1998</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9/4/2008</w:t>
            </w: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CROSSROADS</w:t>
            </w: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1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4,635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11,611</w:t>
            </w:r>
          </w:p>
        </w:tc>
        <w:tc>
          <w:tcPr>
            <w:tcW w:w="86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14,897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4,635</w:t>
            </w:r>
          </w:p>
        </w:tc>
        <w:tc>
          <w:tcPr>
            <w:tcW w:w="92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26,508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31,143</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14,056</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7/19/1993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COLUMN D</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76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Life on</w:t>
            </w:r>
          </w:p>
        </w:tc>
        <w:tc>
          <w:tcPr>
            <w:tcW w:w="0" w:type="dxa"/>
            <w:vAlign w:val="bottom"/>
          </w:tcPr>
          <w:p>
            <w:pPr>
              <w:spacing w:after="0"/>
              <w:rPr>
                <w:sz w:val="1"/>
                <w:szCs w:val="1"/>
                <w:color w:val="auto"/>
              </w:rPr>
            </w:pPr>
          </w:p>
        </w:tc>
      </w:tr>
      <w:tr>
        <w:trPr>
          <w:trHeight w:val="153"/>
        </w:trPr>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Cost</w:t>
            </w:r>
          </w:p>
        </w:tc>
        <w:tc>
          <w:tcPr>
            <w:tcW w:w="780" w:type="dxa"/>
            <w:vAlign w:val="bottom"/>
          </w:tcPr>
          <w:p>
            <w:pPr>
              <w:spacing w:after="0"/>
              <w:rPr>
                <w:sz w:val="11"/>
                <w:szCs w:val="11"/>
                <w:color w:val="auto"/>
              </w:rPr>
            </w:pPr>
          </w:p>
        </w:tc>
        <w:tc>
          <w:tcPr>
            <w:tcW w:w="10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80" w:type="dxa"/>
            <w:vAlign w:val="bottom"/>
            <w:gridSpan w:val="2"/>
            <w:vMerge w:val="restart"/>
          </w:tcPr>
          <w:p>
            <w:pPr>
              <w:jc w:val="center"/>
              <w:ind w:right="10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6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4"/>
              </w:rPr>
              <w:t>statements 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Acquisition</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620" w:type="dxa"/>
            <w:vAlign w:val="bottom"/>
          </w:tcPr>
          <w:p>
            <w:pPr>
              <w:jc w:val="right"/>
              <w:ind w:right="10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CROW CANYON</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Late 1970's/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12/29/05 &amp;</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27,245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54,575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4,915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27,245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59,490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86,735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15,878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1998/2006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2/28/07</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DARIEN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29,809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18,302</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29,809</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18,323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1920-2009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4/3/2013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DEDHAM</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12,287</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12,918</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9,834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12,287</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22,752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35,039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12,909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12/31/1993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DEL MAR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5/30/08,</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VILLAGE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7/11/08,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FL</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15,624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41,712</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2,494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15,587</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44,243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15,971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1982/1994/2007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EAST BAY</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BRIDGE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1994-2001,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29,079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138,035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29,079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139,430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168,509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9,604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2011/2012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12/21/2012</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EASTGATE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Carolina)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NC</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1,608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5,775</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20,329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1,608</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26,104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27,712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17,343</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12/18/1986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ELLISBURG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Pr>
          <w:p>
            <w:pPr>
              <w:ind w:left="140"/>
              <w:spacing w:after="0"/>
              <w:rPr>
                <w:sz w:val="20"/>
                <w:szCs w:val="20"/>
                <w:color w:val="auto"/>
              </w:rPr>
            </w:pPr>
            <w:r>
              <w:rPr>
                <w:rFonts w:ascii="Arial" w:cs="Arial" w:eastAsia="Arial" w:hAnsi="Arial"/>
                <w:sz w:val="14"/>
                <w:szCs w:val="14"/>
                <w:color w:val="auto"/>
              </w:rPr>
              <w:t>NJ</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11,309</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18,818</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4,013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30,142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17,344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10/16/1992</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ESCONDIDO</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12/31/96 &amp;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19,117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15,829</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12,118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19,117</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27,947</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12,034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11/10/10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FALLS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9/30/67 &amp;</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1,270</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9,787</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1,819</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11,036</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12,855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7,607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1960/1962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10/05/72</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17,895</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37,699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10,216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55,594</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37,299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6/29/1989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FINLEY</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SQUARE (Illinois)</w:t>
            </w:r>
          </w:p>
        </w:tc>
        <w:tc>
          <w:tcPr>
            <w:tcW w:w="520" w:type="dxa"/>
            <w:vAlign w:val="bottom"/>
          </w:tcPr>
          <w:p>
            <w:pPr>
              <w:ind w:left="140"/>
              <w:spacing w:after="0"/>
              <w:rPr>
                <w:sz w:val="20"/>
                <w:szCs w:val="20"/>
                <w:color w:val="auto"/>
              </w:rPr>
            </w:pPr>
            <w:r>
              <w:rPr>
                <w:rFonts w:ascii="Arial" w:cs="Arial" w:eastAsia="Arial" w:hAnsi="Arial"/>
                <w:sz w:val="14"/>
                <w:szCs w:val="14"/>
                <w:color w:val="auto"/>
              </w:rPr>
              <w:t>IL</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9,252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9,544</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13,829</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9,252</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23,373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32,625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16,607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4/27/1995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3,943</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9,010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1,345</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12,953</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4,490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4/25/1980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FRESH</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MEADOWS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24,625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25,255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30,115</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24,633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55,362</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79,995</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30,687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1946-1949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12/5/1997</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FRIENDSHIP</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 (District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Columbia)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DC</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20,803</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3,999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12,696</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24,802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8,889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9/21/2001</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w w:val="99"/>
              </w:rPr>
              <w:t>GAITHERSBURG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5,271</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12,810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5,973</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19,809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25,782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15,980</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4/22/1993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GARDEN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MARKET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2,677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4,829</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5,181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2,677</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10,010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12,687</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6,111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7/28/1994</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GOVERNOR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4,905</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19,744</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2,068</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24,649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26,717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17,018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10/1/1985</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GRAHAM PARK</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15,096</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17,536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1,169</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32,700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24,764</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7/21/1983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GRATIOT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(Michigan)</w:t>
            </w:r>
          </w:p>
        </w:tc>
        <w:tc>
          <w:tcPr>
            <w:tcW w:w="520" w:type="dxa"/>
            <w:vAlign w:val="bottom"/>
          </w:tcPr>
          <w:p>
            <w:pPr>
              <w:ind w:left="140"/>
              <w:spacing w:after="0"/>
              <w:rPr>
                <w:sz w:val="20"/>
                <w:szCs w:val="20"/>
                <w:color w:val="auto"/>
              </w:rPr>
            </w:pPr>
            <w:r>
              <w:rPr>
                <w:rFonts w:ascii="Arial" w:cs="Arial" w:eastAsia="Arial" w:hAnsi="Arial"/>
                <w:sz w:val="14"/>
                <w:szCs w:val="14"/>
                <w:color w:val="auto"/>
              </w:rPr>
              <w:t>MI</w:t>
            </w:r>
          </w:p>
        </w:tc>
        <w:tc>
          <w:tcPr>
            <w:tcW w:w="88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1,601</w:t>
            </w:r>
          </w:p>
        </w:tc>
        <w:tc>
          <w:tcPr>
            <w:tcW w:w="880" w:type="dxa"/>
            <w:vAlign w:val="bottom"/>
            <w:gridSpan w:val="2"/>
          </w:tcPr>
          <w:p>
            <w:pPr>
              <w:jc w:val="right"/>
              <w:ind w:right="57"/>
              <w:spacing w:after="0"/>
              <w:rPr>
                <w:sz w:val="20"/>
                <w:szCs w:val="20"/>
                <w:color w:val="auto"/>
              </w:rPr>
            </w:pPr>
            <w:r>
              <w:rPr>
                <w:rFonts w:ascii="Arial" w:cs="Arial" w:eastAsia="Arial" w:hAnsi="Arial"/>
                <w:sz w:val="14"/>
                <w:szCs w:val="14"/>
                <w:color w:val="auto"/>
              </w:rPr>
              <w:t>17,092</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525</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color w:val="auto"/>
              </w:rPr>
              <w:t>18,693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19,218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15,431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3/29/1973</w:t>
            </w:r>
          </w:p>
        </w:tc>
        <w:tc>
          <w:tcPr>
            <w:tcW w:w="1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4"/>
                <w:szCs w:val="14"/>
                <w:color w:val="auto"/>
                <w:w w:val="98"/>
              </w:rPr>
              <w:t>25.75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GREENWICH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(Connecticut)</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7,484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5,444</w:t>
            </w:r>
          </w:p>
        </w:tc>
        <w:tc>
          <w:tcPr>
            <w:tcW w:w="880" w:type="dxa"/>
            <w:vAlign w:val="bottom"/>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7,484</w:t>
            </w:r>
          </w:p>
        </w:tc>
        <w:tc>
          <w:tcPr>
            <w:tcW w:w="90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6,485</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3,590</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4/12/1995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COLUMN D</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COLUMN E</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F</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3"/>
                <w:szCs w:val="13"/>
                <w:b w:val="1"/>
                <w:bCs w:val="1"/>
                <w:color w:val="auto"/>
                <w:w w:val="87"/>
              </w:rPr>
              <w:t>Gross amount at which carried at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bottom w:val="single" w:sz="8" w:color="auto"/>
            </w:tcBorders>
            <w:gridSpan w:val="3"/>
          </w:tcPr>
          <w:p>
            <w:pPr>
              <w:ind w:left="24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3"/>
                <w:szCs w:val="13"/>
                <w:b w:val="1"/>
                <w:bCs w:val="1"/>
                <w:color w:val="auto"/>
                <w:w w:val="82"/>
              </w:rPr>
              <w:t>Cost</w:t>
            </w:r>
          </w:p>
        </w:tc>
        <w:tc>
          <w:tcPr>
            <w:tcW w:w="7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center"/>
              <w:ind w:right="240"/>
              <w:spacing w:after="0" w:line="149" w:lineRule="exact"/>
              <w:rPr>
                <w:sz w:val="20"/>
                <w:szCs w:val="20"/>
                <w:color w:val="auto"/>
              </w:rPr>
            </w:pPr>
            <w:r>
              <w:rPr>
                <w:rFonts w:ascii="Arial" w:cs="Arial" w:eastAsia="Arial" w:hAnsi="Arial"/>
                <w:sz w:val="13"/>
                <w:szCs w:val="13"/>
                <w:b w:val="1"/>
                <w:bCs w:val="1"/>
                <w:color w:val="auto"/>
                <w:w w:val="84"/>
              </w:rPr>
              <w:t>close of period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3"/>
              </w:rPr>
              <w:t>is</w:t>
            </w:r>
          </w:p>
        </w:tc>
        <w:tc>
          <w:tcPr>
            <w:tcW w:w="0" w:type="dxa"/>
            <w:vAlign w:val="bottom"/>
          </w:tcPr>
          <w:p>
            <w:pPr>
              <w:spacing w:after="0"/>
              <w:rPr>
                <w:sz w:val="1"/>
                <w:szCs w:val="1"/>
                <w:color w:val="auto"/>
              </w:rPr>
            </w:pPr>
          </w:p>
        </w:tc>
      </w:tr>
      <w:tr>
        <w:trPr>
          <w:trHeight w:val="174"/>
        </w:trPr>
        <w:tc>
          <w:tcPr>
            <w:tcW w:w="118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86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Acquisition</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Land</w:t>
            </w:r>
          </w:p>
        </w:tc>
        <w:tc>
          <w:tcPr>
            <w:tcW w:w="120" w:type="dxa"/>
            <w:vAlign w:val="bottom"/>
          </w:tcPr>
          <w:p>
            <w:pPr>
              <w:spacing w:after="0"/>
              <w:rPr>
                <w:sz w:val="15"/>
                <w:szCs w:val="15"/>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Improvements</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Amortization</w:t>
            </w:r>
          </w:p>
        </w:tc>
        <w:tc>
          <w:tcPr>
            <w:tcW w:w="14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8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HAUPPAUGE</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13,566</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8,791</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15,262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4,060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8,426</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19,687</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28,113</w:t>
            </w:r>
          </w:p>
        </w:tc>
        <w:tc>
          <w:tcPr>
            <w:tcW w:w="10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9,591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8/6/1998</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HERMOSA</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AVENUE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4,485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1,368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4,513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5,881</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9/17/1997</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HOLLYWOOD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BLVD.</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3/22/99 &amp;</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16,920</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21,729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8,300</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38,649</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46,949</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10,619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1929/1991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6/18/99</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HOUSTON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STREET (Texas)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TX</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14,680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1,976</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45,419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14,778</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47,297</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62,075</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27,915</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var</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HUNTINGTON</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12/12/88 &amp;</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(New 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11,713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16,008</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16,042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11,713</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32,050</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43,763</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12,121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10/26/07</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HUNTINGTON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 (New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NY</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10,075</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2,307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12,382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12,382</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1980/2004-2007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8/16/2010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IDYLWOOD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10,026</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2,390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4,308</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12,416</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16,724</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7,553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4/15/1994</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KINGS COURT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10,714</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11,608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7,429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26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LANCASTER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4,907</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2,103</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11,441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75</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13,469</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13,544</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7,341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4/24/1980</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LANGHORNE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2,974</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18,082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21,056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21,776</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12,997</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1/31/1985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LAUREL</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22,525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22,974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7,464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45,493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52,957</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32,934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8/15/1986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LAWRENCE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PARK</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25,507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7,160</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19,078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5,734</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26,227</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31,961</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23,109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LEESBURG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PLAZA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10,722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16,729</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8,184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27,451</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35,635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12,093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9/15/1998</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LINDEN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79,382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19,247</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48,105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79,269</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67,465</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146,734</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15,329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1960-2008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MELVILLE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MALL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York)</w:t>
            </w:r>
          </w:p>
        </w:tc>
        <w:tc>
          <w:tcPr>
            <w:tcW w:w="520" w:type="dxa"/>
            <w:vAlign w:val="bottom"/>
          </w:tcPr>
          <w:p>
            <w:pPr>
              <w:ind w:left="140"/>
              <w:spacing w:after="0"/>
              <w:rPr>
                <w:sz w:val="20"/>
                <w:szCs w:val="20"/>
                <w:color w:val="auto"/>
              </w:rPr>
            </w:pPr>
            <w:r>
              <w:rPr>
                <w:rFonts w:ascii="Arial" w:cs="Arial" w:eastAsia="Arial" w:hAnsi="Arial"/>
                <w:sz w:val="14"/>
                <w:szCs w:val="14"/>
                <w:color w:val="auto"/>
              </w:rPr>
              <w:t>NY</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32,882</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35,622</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34,283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69,905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7,968</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10/16/2006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25 - 35</w:t>
            </w: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55,741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28,684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48,028</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39,012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28,684</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87,040</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115,724</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30,786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10/14/2003</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MONTROSE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CROSSING</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1960s, 1970s, 1996 &amp;</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12/27/11,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75,867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91,819</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12,663</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48,624</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104,482</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153,106</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12,524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12/19/13</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MOUNT</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VERNON/SOUTH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VALLEY/7770</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3/31/03,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RICHMOND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3/21/03, &amp;</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HWY.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10,068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33,501</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38,701</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10,230</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72,040</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82,270</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25,865</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1966/1972/1987/2001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TOWN CENTER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OF NEW</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ind w:left="40"/>
              <w:spacing w:after="0" w:line="149" w:lineRule="exact"/>
              <w:rPr>
                <w:sz w:val="20"/>
                <w:szCs w:val="20"/>
                <w:color w:val="auto"/>
              </w:rPr>
            </w:pPr>
            <w:r>
              <w:rPr>
                <w:rFonts w:ascii="Arial" w:cs="Arial" w:eastAsia="Arial" w:hAnsi="Arial"/>
                <w:sz w:val="14"/>
                <w:szCs w:val="14"/>
                <w:color w:val="auto"/>
              </w:rPr>
              <w:t>BRITAIN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1,282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12,285</w:t>
            </w:r>
          </w:p>
        </w:tc>
        <w:tc>
          <w:tcPr>
            <w:tcW w:w="860" w:type="dxa"/>
            <w:vAlign w:val="bottom"/>
            <w:gridSpan w:val="2"/>
          </w:tcPr>
          <w:p>
            <w:pPr>
              <w:jc w:val="right"/>
              <w:ind w:right="3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1,341</w:t>
            </w:r>
          </w:p>
        </w:tc>
        <w:tc>
          <w:tcPr>
            <w:tcW w:w="920" w:type="dxa"/>
            <w:vAlign w:val="bottom"/>
            <w:gridSpan w:val="2"/>
          </w:tcPr>
          <w:p>
            <w:pPr>
              <w:jc w:val="right"/>
              <w:ind w:right="37"/>
              <w:spacing w:after="0"/>
              <w:rPr>
                <w:sz w:val="20"/>
                <w:szCs w:val="20"/>
                <w:color w:val="auto"/>
              </w:rPr>
            </w:pPr>
            <w:r>
              <w:rPr>
                <w:rFonts w:ascii="Arial" w:cs="Arial" w:eastAsia="Arial" w:hAnsi="Arial"/>
                <w:sz w:val="14"/>
                <w:szCs w:val="14"/>
                <w:color w:val="auto"/>
              </w:rPr>
              <w:t>13,290</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14,631</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6/29/2006</w:t>
            </w:r>
          </w:p>
        </w:tc>
        <w:tc>
          <w:tcPr>
            <w:tcW w:w="10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DARTMOUTH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9,366</w:t>
            </w:r>
          </w:p>
        </w:tc>
        <w:tc>
          <w:tcPr>
            <w:tcW w:w="92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9,368</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8/24/2006</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520"/>
          </w:cols>
          <w:pgMar w:left="240" w:top="126" w:right="1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B</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C</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COLUMN D</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COLUMN 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F</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COLUMN H</w:t>
            </w: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1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8"/>
              </w:rPr>
              <w:t>Gross amount at which carried at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which</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3"/>
          </w:tcPr>
          <w:p>
            <w:pPr>
              <w:ind w:left="240"/>
              <w:spacing w:after="0" w:line="135" w:lineRule="exact"/>
              <w:rPr>
                <w:sz w:val="20"/>
                <w:szCs w:val="20"/>
                <w:color w:val="auto"/>
              </w:rPr>
            </w:pPr>
            <w:r>
              <w:rPr>
                <w:rFonts w:ascii="Arial" w:cs="Arial" w:eastAsia="Arial" w:hAnsi="Arial"/>
                <w:sz w:val="13"/>
                <w:szCs w:val="13"/>
                <w:b w:val="1"/>
                <w:bCs w:val="1"/>
                <w:color w:val="auto"/>
              </w:rPr>
              <w:t>Initial cost to company</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Cost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close of period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gridSpan w:val="2"/>
            <w:vMerge w:val="restart"/>
          </w:tcPr>
          <w:p>
            <w:pPr>
              <w:jc w:val="center"/>
              <w:ind w:right="120"/>
              <w:spacing w:after="0" w:line="117" w:lineRule="exact"/>
              <w:rPr>
                <w:sz w:val="20"/>
                <w:szCs w:val="20"/>
                <w:color w:val="auto"/>
              </w:rPr>
            </w:pPr>
            <w:r>
              <w:rPr>
                <w:rFonts w:ascii="Arial" w:cs="Arial" w:eastAsia="Arial" w:hAnsi="Arial"/>
                <w:sz w:val="13"/>
                <w:szCs w:val="13"/>
                <w:b w:val="1"/>
                <w:bCs w:val="1"/>
                <w:color w:val="auto"/>
                <w:w w:val="90"/>
              </w:rPr>
              <w:t>Capitalized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40"/>
              <w:spacing w:after="0" w:line="117" w:lineRule="exact"/>
              <w:rPr>
                <w:sz w:val="20"/>
                <w:szCs w:val="20"/>
                <w:color w:val="auto"/>
              </w:rPr>
            </w:pPr>
            <w:r>
              <w:rPr>
                <w:rFonts w:ascii="Arial" w:cs="Arial" w:eastAsia="Arial" w:hAnsi="Arial"/>
                <w:sz w:val="13"/>
                <w:szCs w:val="13"/>
                <w:b w:val="1"/>
                <w:bCs w:val="1"/>
                <w:color w:val="auto"/>
              </w:rPr>
              <w:t>Accumulated</w:t>
            </w: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line="117"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43"/>
        </w:trPr>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Depreciation</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Building and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300"/>
              <w:spacing w:after="0" w:line="135" w:lineRule="exact"/>
              <w:rPr>
                <w:sz w:val="20"/>
                <w:szCs w:val="20"/>
                <w:color w:val="auto"/>
              </w:rPr>
            </w:pPr>
            <w:r>
              <w:rPr>
                <w:rFonts w:ascii="Arial" w:cs="Arial" w:eastAsia="Arial" w:hAnsi="Arial"/>
                <w:sz w:val="13"/>
                <w:szCs w:val="13"/>
                <w:b w:val="1"/>
                <w:bCs w:val="1"/>
                <w:color w:val="auto"/>
              </w:rPr>
              <w:t>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Date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statements is</w:t>
            </w:r>
          </w:p>
        </w:tc>
        <w:tc>
          <w:tcPr>
            <w:tcW w:w="0" w:type="dxa"/>
            <w:vAlign w:val="bottom"/>
          </w:tcPr>
          <w:p>
            <w:pPr>
              <w:spacing w:after="0"/>
              <w:rPr>
                <w:sz w:val="1"/>
                <w:szCs w:val="1"/>
                <w:color w:val="auto"/>
              </w:rPr>
            </w:pPr>
          </w:p>
        </w:tc>
      </w:tr>
      <w:tr>
        <w:trPr>
          <w:trHeight w:val="174"/>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Encumbrance</w:t>
            </w:r>
          </w:p>
        </w:tc>
        <w:tc>
          <w:tcPr>
            <w:tcW w:w="880" w:type="dxa"/>
            <w:vAlign w:val="bottom"/>
            <w:gridSpan w:val="2"/>
          </w:tcPr>
          <w:p>
            <w:pPr>
              <w:ind w:left="240"/>
              <w:spacing w:after="0"/>
              <w:rPr>
                <w:sz w:val="20"/>
                <w:szCs w:val="20"/>
                <w:color w:val="auto"/>
              </w:rPr>
            </w:pPr>
            <w:r>
              <w:rPr>
                <w:rFonts w:ascii="Arial" w:cs="Arial" w:eastAsia="Arial" w:hAnsi="Arial"/>
                <w:sz w:val="13"/>
                <w:szCs w:val="13"/>
                <w:b w:val="1"/>
                <w:bCs w:val="1"/>
                <w:color w:val="auto"/>
              </w:rPr>
              <w:t>Land</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Land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Improvements</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Acquired</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3"/>
              </w:rPr>
              <w:t>computed</w:t>
            </w:r>
          </w:p>
        </w:tc>
        <w:tc>
          <w:tcPr>
            <w:tcW w:w="0" w:type="dxa"/>
            <w:vAlign w:val="bottom"/>
          </w:tcPr>
          <w:p>
            <w:pPr>
              <w:spacing w:after="0"/>
              <w:rPr>
                <w:sz w:val="1"/>
                <w:szCs w:val="1"/>
                <w:color w:val="auto"/>
              </w:rPr>
            </w:pPr>
          </w:p>
        </w:tc>
      </w:tr>
      <w:tr>
        <w:trPr>
          <w:trHeight w:val="157"/>
        </w:trPr>
        <w:tc>
          <w:tcPr>
            <w:tcW w:w="11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NORTHEAST</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tcPr>
          <w:p>
            <w:pPr>
              <w:ind w:left="140"/>
              <w:spacing w:after="0"/>
              <w:rPr>
                <w:sz w:val="20"/>
                <w:szCs w:val="20"/>
                <w:color w:val="auto"/>
              </w:rPr>
            </w:pPr>
            <w:r>
              <w:rPr>
                <w:rFonts w:ascii="Arial" w:cs="Arial" w:eastAsia="Arial" w:hAnsi="Arial"/>
                <w:sz w:val="14"/>
                <w:szCs w:val="14"/>
                <w:color w:val="auto"/>
              </w:rPr>
              <w:t>PA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1,152</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10,596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13,116</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23,711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24,864</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18,127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8/30/1983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NORTH LAKE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COMMONS</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(Illinois)</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IL</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8,604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5,184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13,942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16,570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7,064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4/27/1994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OLD KEENE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MILL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998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4,744</w:t>
            </w:r>
          </w:p>
        </w:tc>
        <w:tc>
          <w:tcPr>
            <w:tcW w:w="12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5,742</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6,380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4,870</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6/15/1976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33.33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OLD TOWN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1962, 1997-</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31,637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3,420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34,402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37,822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19,398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10/22/1997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PAN AM</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SHOPPING</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8,694</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12,929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7,178</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20,106</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28,801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13,321</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2/5/1993</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1998 &amp;</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ROW (Virginia)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2,955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95,525</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98,480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98,480</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39,074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1999 - 2002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11/22/10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PERRING</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6,461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20,575</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27,036</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29,836</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20,605</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10/1/1985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5/18/82,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PIKE &amp; ROSE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10/26/07,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31,471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10,335</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240,995</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26,201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256,600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282,801</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1,326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2012-2014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7/31/12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264"/>
        </w:trPr>
        <w:tc>
          <w:tcPr>
            <w:tcW w:w="1140" w:type="dxa"/>
            <w:vAlign w:val="bottom"/>
          </w:tcPr>
          <w:p>
            <w:pPr>
              <w:ind w:left="40"/>
              <w:spacing w:after="0"/>
              <w:rPr>
                <w:sz w:val="20"/>
                <w:szCs w:val="20"/>
                <w:color w:val="auto"/>
              </w:rPr>
            </w:pPr>
            <w:r>
              <w:rPr>
                <w:rFonts w:ascii="Arial" w:cs="Arial" w:eastAsia="Arial" w:hAnsi="Arial"/>
                <w:sz w:val="14"/>
                <w:szCs w:val="14"/>
                <w:color w:val="auto"/>
              </w:rPr>
              <w:t>PIKE 7 (Virginia)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9,709</w:t>
            </w:r>
          </w:p>
        </w:tc>
        <w:tc>
          <w:tcPr>
            <w:tcW w:w="10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22,799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9,653</w:t>
            </w:r>
          </w:p>
        </w:tc>
        <w:tc>
          <w:tcPr>
            <w:tcW w:w="100" w:type="dxa"/>
            <w:vAlign w:val="bottom"/>
          </w:tcPr>
          <w:p>
            <w:pPr>
              <w:spacing w:after="0"/>
              <w:rPr>
                <w:sz w:val="22"/>
                <w:szCs w:val="22"/>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26,575</w:t>
            </w:r>
          </w:p>
        </w:tc>
        <w:tc>
          <w:tcPr>
            <w:tcW w:w="100" w:type="dxa"/>
            <w:vAlign w:val="bottom"/>
          </w:tcPr>
          <w:p>
            <w:pPr>
              <w:spacing w:after="0"/>
              <w:rPr>
                <w:sz w:val="22"/>
                <w:szCs w:val="22"/>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36,228</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14,025</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3/31/1997</w:t>
            </w:r>
          </w:p>
        </w:tc>
        <w:tc>
          <w:tcPr>
            <w:tcW w:w="10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PLAZA EL</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6/14/13,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SEGUNDO</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180,269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62,127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153,556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36,876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62,127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190,432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252,559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18,186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12/27/13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QUEEN ANNE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6,274</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14,731</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18,050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8,433</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12/23/1994</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ORCHARD</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7,949</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21,878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30,096</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33,024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14,462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4/22/1993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ROCKVILLE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TOWN SQUARE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4,508</w:t>
            </w:r>
          </w:p>
        </w:tc>
        <w:tc>
          <w:tcPr>
            <w:tcW w:w="12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8,092</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41,858</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49,950</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49,950</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11,727</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8"/>
              </w:rPr>
              <w:t>2005 - 2007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98"/>
              </w:rPr>
              <w:t>2006 - 2007</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ROLLINGWOOD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APTS. (Maryland)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22,130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2,246</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7,046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9,272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9,844</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8,189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1/15/1971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SAM'S PARK &amp;</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SHOP (District of</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Columbia)</w:t>
            </w:r>
          </w:p>
        </w:tc>
        <w:tc>
          <w:tcPr>
            <w:tcW w:w="520" w:type="dxa"/>
            <w:vAlign w:val="bottom"/>
          </w:tcPr>
          <w:p>
            <w:pPr>
              <w:ind w:left="140"/>
              <w:spacing w:after="0"/>
              <w:rPr>
                <w:sz w:val="20"/>
                <w:szCs w:val="20"/>
                <w:color w:val="auto"/>
              </w:rPr>
            </w:pPr>
            <w:r>
              <w:rPr>
                <w:rFonts w:ascii="Arial" w:cs="Arial" w:eastAsia="Arial" w:hAnsi="Arial"/>
                <w:sz w:val="14"/>
                <w:szCs w:val="14"/>
                <w:color w:val="auto"/>
              </w:rPr>
              <w:t>DC</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6,319</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4,840</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7,657</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12,497</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4,364</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12/1/1995</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1999-2006,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9/6/12,</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SANTANA ROW</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2009, 2011,</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4/30/13 &amp;</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40 - 50</w:t>
            </w: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66,682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7,502</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619,379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57,574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635,989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693,563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135,085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9/23/13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years</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SAUGUS PLAZA</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40"/>
              <w:spacing w:after="0"/>
              <w:rPr>
                <w:sz w:val="20"/>
                <w:szCs w:val="20"/>
                <w:color w:val="auto"/>
              </w:rPr>
            </w:pPr>
            <w:r>
              <w:rPr>
                <w:rFonts w:ascii="Arial" w:cs="Arial" w:eastAsia="Arial" w:hAnsi="Arial"/>
                <w:sz w:val="14"/>
                <w:szCs w:val="14"/>
                <w:color w:val="auto"/>
              </w:rPr>
              <w:t>(Massachusetts)</w:t>
            </w:r>
          </w:p>
        </w:tc>
        <w:tc>
          <w:tcPr>
            <w:tcW w:w="520" w:type="dxa"/>
            <w:vAlign w:val="bottom"/>
          </w:tcPr>
          <w:p>
            <w:pPr>
              <w:ind w:left="140"/>
              <w:spacing w:after="0"/>
              <w:rPr>
                <w:sz w:val="20"/>
                <w:szCs w:val="20"/>
                <w:color w:val="auto"/>
              </w:rPr>
            </w:pPr>
            <w:r>
              <w:rPr>
                <w:rFonts w:ascii="Arial" w:cs="Arial" w:eastAsia="Arial" w:hAnsi="Arial"/>
                <w:sz w:val="14"/>
                <w:szCs w:val="14"/>
                <w:color w:val="auto"/>
              </w:rPr>
              <w:t>MA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2,227</w:t>
            </w:r>
          </w:p>
        </w:tc>
        <w:tc>
          <w:tcPr>
            <w:tcW w:w="12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4,383</w:t>
            </w:r>
          </w:p>
        </w:tc>
        <w:tc>
          <w:tcPr>
            <w:tcW w:w="10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10,518</w:t>
            </w:r>
          </w:p>
        </w:tc>
        <w:tc>
          <w:tcPr>
            <w:tcW w:w="100" w:type="dxa"/>
            <w:vAlign w:val="bottom"/>
          </w:tcPr>
          <w:p>
            <w:pPr>
              <w:spacing w:after="0"/>
              <w:rPr>
                <w:sz w:val="16"/>
                <w:szCs w:val="16"/>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14,901</w:t>
            </w:r>
          </w:p>
        </w:tc>
        <w:tc>
          <w:tcPr>
            <w:tcW w:w="880" w:type="dxa"/>
            <w:vAlign w:val="bottom"/>
            <w:gridSpan w:val="2"/>
          </w:tcPr>
          <w:p>
            <w:pPr>
              <w:jc w:val="right"/>
              <w:ind w:right="37"/>
              <w:spacing w:after="0"/>
              <w:rPr>
                <w:sz w:val="20"/>
                <w:szCs w:val="20"/>
                <w:color w:val="auto"/>
              </w:rPr>
            </w:pPr>
            <w:r>
              <w:rPr>
                <w:rFonts w:ascii="Arial" w:cs="Arial" w:eastAsia="Arial" w:hAnsi="Arial"/>
                <w:sz w:val="14"/>
                <w:szCs w:val="14"/>
                <w:color w:val="auto"/>
              </w:rPr>
              <w:t>5,436</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10/1/1996</w:t>
            </w:r>
          </w:p>
        </w:tc>
        <w:tc>
          <w:tcPr>
            <w:tcW w:w="10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SHIRLINGTON</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1940, 2006-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6,491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9,761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14,808</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35,364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4,234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55,699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59,933</w:t>
            </w:r>
          </w:p>
        </w:tc>
        <w:tc>
          <w:tcPr>
            <w:tcW w:w="8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20,957</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12/21/1995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 DEPRECIATION</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DECEMBER 31, 2014</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COLUMN A</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COLUMN B</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COLUMN C</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9"/>
              </w:rPr>
              <w:t>COLUMN D</w:t>
            </w:r>
          </w:p>
        </w:tc>
        <w:tc>
          <w:tcPr>
            <w:tcW w:w="800" w:type="dxa"/>
            <w:vAlign w:val="bottom"/>
          </w:tcPr>
          <w:p>
            <w:pPr>
              <w:jc w:val="right"/>
              <w:ind w:right="10"/>
              <w:spacing w:after="0"/>
              <w:rPr>
                <w:sz w:val="20"/>
                <w:szCs w:val="20"/>
                <w:color w:val="auto"/>
              </w:rPr>
            </w:pPr>
            <w:r>
              <w:rPr>
                <w:rFonts w:ascii="Arial" w:cs="Arial" w:eastAsia="Arial" w:hAnsi="Arial"/>
                <w:sz w:val="13"/>
                <w:szCs w:val="13"/>
                <w:b w:val="1"/>
                <w:bCs w:val="1"/>
                <w:color w:val="auto"/>
              </w:rPr>
              <w:t>COLUMN 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1"/>
              <w:spacing w:after="0"/>
              <w:rPr>
                <w:sz w:val="20"/>
                <w:szCs w:val="20"/>
                <w:color w:val="auto"/>
              </w:rPr>
            </w:pPr>
            <w:r>
              <w:rPr>
                <w:rFonts w:ascii="Arial" w:cs="Arial" w:eastAsia="Arial" w:hAnsi="Arial"/>
                <w:sz w:val="13"/>
                <w:szCs w:val="13"/>
                <w:b w:val="1"/>
                <w:bCs w:val="1"/>
                <w:color w:val="auto"/>
                <w:w w:val="99"/>
              </w:rPr>
              <w:t>COLUMN F</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COLUMN G</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COLUMN H</w:t>
            </w: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COLUMN I</w:t>
            </w:r>
          </w:p>
        </w:tc>
        <w:tc>
          <w:tcPr>
            <w:tcW w:w="0" w:type="dxa"/>
            <w:vAlign w:val="bottom"/>
          </w:tcPr>
          <w:p>
            <w:pPr>
              <w:spacing w:after="0"/>
              <w:rPr>
                <w:sz w:val="1"/>
                <w:szCs w:val="1"/>
                <w:color w:val="auto"/>
              </w:rPr>
            </w:pPr>
          </w:p>
        </w:tc>
      </w:tr>
      <w:tr>
        <w:trPr>
          <w:trHeight w:val="144"/>
        </w:trPr>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Life on</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Gross amount at which carried at</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which</w:t>
            </w:r>
          </w:p>
        </w:tc>
        <w:tc>
          <w:tcPr>
            <w:tcW w:w="0" w:type="dxa"/>
            <w:vAlign w:val="bottom"/>
          </w:tcPr>
          <w:p>
            <w:pPr>
              <w:spacing w:after="0"/>
              <w:rPr>
                <w:sz w:val="1"/>
                <w:szCs w:val="1"/>
                <w:color w:val="auto"/>
              </w:rPr>
            </w:pPr>
          </w:p>
        </w:tc>
      </w:tr>
      <w:tr>
        <w:trPr>
          <w:trHeight w:val="126"/>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ind w:left="40"/>
              <w:spacing w:after="0" w:line="126" w:lineRule="exact"/>
              <w:rPr>
                <w:sz w:val="20"/>
                <w:szCs w:val="20"/>
                <w:color w:val="auto"/>
              </w:rPr>
            </w:pPr>
            <w:r>
              <w:rPr>
                <w:rFonts w:ascii="Arial" w:cs="Arial" w:eastAsia="Arial" w:hAnsi="Arial"/>
                <w:sz w:val="13"/>
                <w:szCs w:val="13"/>
                <w:b w:val="1"/>
                <w:bCs w:val="1"/>
                <w:color w:val="auto"/>
                <w:w w:val="87"/>
              </w:rPr>
              <w:t>depreciation</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ind w:left="260"/>
              <w:spacing w:after="0" w:line="149" w:lineRule="exact"/>
              <w:rPr>
                <w:sz w:val="20"/>
                <w:szCs w:val="20"/>
                <w:color w:val="auto"/>
              </w:rPr>
            </w:pPr>
            <w:r>
              <w:rPr>
                <w:rFonts w:ascii="Arial" w:cs="Arial" w:eastAsia="Arial" w:hAnsi="Arial"/>
                <w:sz w:val="13"/>
                <w:szCs w:val="13"/>
                <w:b w:val="1"/>
                <w:bCs w:val="1"/>
                <w:color w:val="auto"/>
              </w:rPr>
              <w:t>Initial cost to company</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3"/>
                <w:szCs w:val="13"/>
                <w:b w:val="1"/>
                <w:bCs w:val="1"/>
                <w:color w:val="auto"/>
                <w:w w:val="89"/>
              </w:rPr>
              <w:t>Cost</w:t>
            </w:r>
          </w:p>
        </w:tc>
        <w:tc>
          <w:tcPr>
            <w:tcW w:w="80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3"/>
                <w:szCs w:val="13"/>
                <w:b w:val="1"/>
                <w:bCs w:val="1"/>
                <w:color w:val="auto"/>
                <w:w w:val="90"/>
              </w:rPr>
              <w:t>close of period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5"/>
              </w:rPr>
              <w:t>in latest</w:t>
            </w:r>
          </w:p>
        </w:tc>
        <w:tc>
          <w:tcPr>
            <w:tcW w:w="0" w:type="dxa"/>
            <w:vAlign w:val="bottom"/>
          </w:tcPr>
          <w:p>
            <w:pPr>
              <w:spacing w:after="0"/>
              <w:rPr>
                <w:sz w:val="1"/>
                <w:szCs w:val="1"/>
                <w:color w:val="auto"/>
              </w:rPr>
            </w:pPr>
          </w:p>
        </w:tc>
      </w:tr>
      <w:tr>
        <w:trPr>
          <w:trHeight w:val="110"/>
        </w:trPr>
        <w:tc>
          <w:tcPr>
            <w:tcW w:w="1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7"/>
              </w:rPr>
              <w:t>Capitalized</w:t>
            </w: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0"/>
              </w:rPr>
              <w:t>income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3"/>
              </w:rPr>
              <w:t>Subsequent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statements</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Building and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to</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3"/>
              </w:rPr>
              <w:t>Building and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Date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is</w:t>
            </w:r>
          </w:p>
        </w:tc>
        <w:tc>
          <w:tcPr>
            <w:tcW w:w="0" w:type="dxa"/>
            <w:vAlign w:val="bottom"/>
          </w:tcPr>
          <w:p>
            <w:pPr>
              <w:spacing w:after="0"/>
              <w:rPr>
                <w:sz w:val="1"/>
                <w:szCs w:val="1"/>
                <w:color w:val="auto"/>
              </w:rPr>
            </w:pPr>
          </w:p>
        </w:tc>
      </w:tr>
      <w:tr>
        <w:trPr>
          <w:trHeight w:val="174"/>
        </w:trPr>
        <w:tc>
          <w:tcPr>
            <w:tcW w:w="1040" w:type="dxa"/>
            <w:vAlign w:val="bottom"/>
          </w:tcPr>
          <w:p>
            <w:pPr>
              <w:ind w:left="40"/>
              <w:spacing w:after="0"/>
              <w:rPr>
                <w:sz w:val="20"/>
                <w:szCs w:val="20"/>
                <w:color w:val="auto"/>
              </w:rPr>
            </w:pPr>
            <w:r>
              <w:rPr>
                <w:rFonts w:ascii="Arial" w:cs="Arial" w:eastAsia="Arial" w:hAnsi="Arial"/>
                <w:sz w:val="13"/>
                <w:szCs w:val="13"/>
                <w:b w:val="1"/>
                <w:bCs w:val="1"/>
                <w:color w:val="auto"/>
              </w:rPr>
              <w:t>Descriptions</w:t>
            </w:r>
          </w:p>
        </w:tc>
        <w:tc>
          <w:tcPr>
            <w:tcW w:w="5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Encumbrance</w:t>
            </w:r>
          </w:p>
        </w:tc>
        <w:tc>
          <w:tcPr>
            <w:tcW w:w="920" w:type="dxa"/>
            <w:vAlign w:val="bottom"/>
            <w:gridSpan w:val="2"/>
          </w:tcPr>
          <w:p>
            <w:pPr>
              <w:ind w:left="260"/>
              <w:spacing w:after="0"/>
              <w:rPr>
                <w:sz w:val="20"/>
                <w:szCs w:val="20"/>
                <w:color w:val="auto"/>
              </w:rPr>
            </w:pPr>
            <w:r>
              <w:rPr>
                <w:rFonts w:ascii="Arial" w:cs="Arial" w:eastAsia="Arial" w:hAnsi="Arial"/>
                <w:sz w:val="13"/>
                <w:szCs w:val="13"/>
                <w:b w:val="1"/>
                <w:bCs w:val="1"/>
                <w:color w:val="auto"/>
              </w:rPr>
              <w:t>Land</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Improvements</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Acquisition</w:t>
            </w:r>
          </w:p>
        </w:tc>
        <w:tc>
          <w:tcPr>
            <w:tcW w:w="800" w:type="dxa"/>
            <w:vAlign w:val="bottom"/>
          </w:tcPr>
          <w:p>
            <w:pPr>
              <w:jc w:val="right"/>
              <w:ind w:right="190"/>
              <w:spacing w:after="0"/>
              <w:rPr>
                <w:sz w:val="20"/>
                <w:szCs w:val="20"/>
                <w:color w:val="auto"/>
              </w:rPr>
            </w:pPr>
            <w:r>
              <w:rPr>
                <w:rFonts w:ascii="Arial" w:cs="Arial" w:eastAsia="Arial" w:hAnsi="Arial"/>
                <w:sz w:val="13"/>
                <w:szCs w:val="13"/>
                <w:b w:val="1"/>
                <w:bCs w:val="1"/>
                <w:color w:val="auto"/>
              </w:rPr>
              <w:t>Land</w:t>
            </w:r>
          </w:p>
        </w:tc>
        <w:tc>
          <w:tcPr>
            <w:tcW w:w="1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w w:val="98"/>
              </w:rPr>
              <w:t>Improvements</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1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Construction</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Acquired</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6"/>
              </w:rPr>
              <w:t>computed</w:t>
            </w:r>
          </w:p>
        </w:tc>
        <w:tc>
          <w:tcPr>
            <w:tcW w:w="0" w:type="dxa"/>
            <w:vAlign w:val="bottom"/>
          </w:tcPr>
          <w:p>
            <w:pPr>
              <w:spacing w:after="0"/>
              <w:rPr>
                <w:sz w:val="1"/>
                <w:szCs w:val="1"/>
                <w:color w:val="auto"/>
              </w:rPr>
            </w:pPr>
          </w:p>
        </w:tc>
      </w:tr>
      <w:tr>
        <w:trPr>
          <w:trHeight w:val="157"/>
        </w:trPr>
        <w:tc>
          <w:tcPr>
            <w:tcW w:w="1040" w:type="dxa"/>
            <w:vAlign w:val="bottom"/>
            <w:tcBorders>
              <w:top w:val="single" w:sz="8" w:color="auto"/>
            </w:tcBorders>
          </w:tcPr>
          <w:p>
            <w:pPr>
              <w:ind w:left="40"/>
              <w:spacing w:after="0" w:line="157" w:lineRule="exact"/>
              <w:rPr>
                <w:sz w:val="20"/>
                <w:szCs w:val="20"/>
                <w:color w:val="auto"/>
              </w:rPr>
            </w:pPr>
            <w:r>
              <w:rPr>
                <w:rFonts w:ascii="Arial" w:cs="Arial" w:eastAsia="Arial" w:hAnsi="Arial"/>
                <w:sz w:val="14"/>
                <w:szCs w:val="14"/>
                <w:color w:val="auto"/>
              </w:rPr>
              <w:t>THE GROVE</w:t>
            </w:r>
          </w:p>
        </w:tc>
        <w:tc>
          <w:tcPr>
            <w:tcW w:w="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AT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w w:val="97"/>
              </w:rPr>
              <w:t>SHREWSBURY</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1/1/2014 &amp;</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(New Jersey)</w:t>
            </w:r>
          </w:p>
        </w:tc>
        <w:tc>
          <w:tcPr>
            <w:tcW w:w="520" w:type="dxa"/>
            <w:vAlign w:val="bottom"/>
          </w:tcPr>
          <w:p>
            <w:pPr>
              <w:ind w:left="140"/>
              <w:spacing w:after="0"/>
              <w:rPr>
                <w:sz w:val="20"/>
                <w:szCs w:val="20"/>
                <w:color w:val="auto"/>
              </w:rPr>
            </w:pPr>
            <w:r>
              <w:rPr>
                <w:rFonts w:ascii="Arial" w:cs="Arial" w:eastAsia="Arial" w:hAnsi="Arial"/>
                <w:sz w:val="14"/>
                <w:szCs w:val="14"/>
                <w:color w:val="auto"/>
              </w:rPr>
              <w:t>NJ</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59,633</w:t>
            </w:r>
          </w:p>
        </w:tc>
        <w:tc>
          <w:tcPr>
            <w:tcW w:w="1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18,016</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103,115</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18,016</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103,521</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121,537</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3,507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1988/1993/2007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THE SHOPPES</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AT</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NOTTINGHAM</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SQUARE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4,441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12,849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4,441</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12,997</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17,438</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2005 - 2006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THIRD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PROMENADE</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22,645</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12,709</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42,994</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25,125</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53,223</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78,348</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28,315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1888-2000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1996-2000</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7,170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10,518</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3,715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7,280</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14,123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21,403</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7,396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1953-1960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8/24/1998</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TOWER</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SHOPS</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1/19/11 &amp;</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(Florida)</w:t>
            </w:r>
          </w:p>
        </w:tc>
        <w:tc>
          <w:tcPr>
            <w:tcW w:w="520" w:type="dxa"/>
            <w:vAlign w:val="bottom"/>
          </w:tcPr>
          <w:p>
            <w:pPr>
              <w:ind w:left="140"/>
              <w:spacing w:after="0"/>
              <w:rPr>
                <w:sz w:val="20"/>
                <w:szCs w:val="20"/>
                <w:color w:val="auto"/>
              </w:rPr>
            </w:pPr>
            <w:r>
              <w:rPr>
                <w:rFonts w:ascii="Arial" w:cs="Arial" w:eastAsia="Arial" w:hAnsi="Arial"/>
                <w:sz w:val="14"/>
                <w:szCs w:val="14"/>
                <w:color w:val="auto"/>
              </w:rPr>
              <w:t>FL</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29,940</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43,390</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10,594</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29,962</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53,962</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83,924</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8,425</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1989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6/13/14</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 (New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Jersey)</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NJ</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3,126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5,193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21,653</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4,028</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25,944</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29,972</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18,843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7/23/1980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TYSON'S</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STATION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3,679</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475</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4,045</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4,520</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3,277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1/17/1978</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CENTER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107,284</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28,278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6,319</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135,562</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141,881</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31,731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1960-1966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3/31/2004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WHITE</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PLAZA</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3,478</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21,413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248</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3,478</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21,661</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25,139</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6,307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WHITE</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MARSH</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OTHER</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34,281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34,311</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2,215</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36,526</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3/8/2007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WILDWOOD</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(Maryland)</w:t>
            </w:r>
          </w:p>
        </w:tc>
        <w:tc>
          <w:tcPr>
            <w:tcW w:w="520" w:type="dxa"/>
            <w:vAlign w:val="bottom"/>
          </w:tcPr>
          <w:p>
            <w:pPr>
              <w:ind w:left="140"/>
              <w:spacing w:after="0"/>
              <w:rPr>
                <w:sz w:val="20"/>
                <w:szCs w:val="20"/>
                <w:color w:val="auto"/>
              </w:rPr>
            </w:pPr>
            <w:r>
              <w:rPr>
                <w:rFonts w:ascii="Arial" w:cs="Arial" w:eastAsia="Arial" w:hAnsi="Arial"/>
                <w:sz w:val="14"/>
                <w:szCs w:val="14"/>
                <w:color w:val="auto"/>
              </w:rPr>
              <w:t>MD</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22,420</w:t>
            </w:r>
          </w:p>
        </w:tc>
        <w:tc>
          <w:tcPr>
            <w:tcW w:w="100" w:type="dxa"/>
            <w:vAlign w:val="bottom"/>
          </w:tcPr>
          <w:p>
            <w:pPr>
              <w:spacing w:after="0"/>
              <w:rPr>
                <w:sz w:val="16"/>
                <w:szCs w:val="16"/>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9,111</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9,111</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9,415</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18,526</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7,946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5/5/1969</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w w:val="95"/>
              </w:rPr>
              <w:t>33.33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WILLOW</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GROVE</w:t>
            </w: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1,499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6,643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21,819</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1,499</w:t>
            </w:r>
          </w:p>
        </w:tc>
        <w:tc>
          <w:tcPr>
            <w:tcW w:w="90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28,462</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29,961</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23,185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11/20/1984</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57"/>
        </w:trPr>
        <w:tc>
          <w:tcPr>
            <w:tcW w:w="1040" w:type="dxa"/>
            <w:vAlign w:val="bottom"/>
          </w:tcPr>
          <w:p>
            <w:pPr>
              <w:ind w:left="40"/>
              <w:spacing w:after="0" w:line="157" w:lineRule="exact"/>
              <w:rPr>
                <w:sz w:val="20"/>
                <w:szCs w:val="20"/>
                <w:color w:val="auto"/>
              </w:rPr>
            </w:pPr>
            <w:r>
              <w:rPr>
                <w:rFonts w:ascii="Arial" w:cs="Arial" w:eastAsia="Arial" w:hAnsi="Arial"/>
                <w:sz w:val="14"/>
                <w:szCs w:val="14"/>
                <w:color w:val="auto"/>
              </w:rPr>
              <w:t>WILLOW</w:t>
            </w: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40"/>
              <w:spacing w:after="0" w:line="149" w:lineRule="exact"/>
              <w:rPr>
                <w:sz w:val="20"/>
                <w:szCs w:val="20"/>
                <w:color w:val="auto"/>
              </w:rPr>
            </w:pPr>
            <w:r>
              <w:rPr>
                <w:rFonts w:ascii="Arial" w:cs="Arial" w:eastAsia="Arial" w:hAnsi="Arial"/>
                <w:sz w:val="14"/>
                <w:szCs w:val="14"/>
                <w:color w:val="auto"/>
              </w:rPr>
              <w:t>LAWN</w:t>
            </w: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40" w:type="dxa"/>
            <w:vAlign w:val="bottom"/>
          </w:tcPr>
          <w:p>
            <w:pPr>
              <w:ind w:left="40"/>
              <w:spacing w:after="0"/>
              <w:rPr>
                <w:sz w:val="20"/>
                <w:szCs w:val="20"/>
                <w:color w:val="auto"/>
              </w:rPr>
            </w:pPr>
            <w:r>
              <w:rPr>
                <w:rFonts w:ascii="Arial" w:cs="Arial" w:eastAsia="Arial" w:hAnsi="Arial"/>
                <w:sz w:val="14"/>
                <w:szCs w:val="14"/>
                <w:color w:val="auto"/>
              </w:rPr>
              <w:t>(Virginia)</w:t>
            </w:r>
          </w:p>
        </w:tc>
        <w:tc>
          <w:tcPr>
            <w:tcW w:w="520" w:type="dxa"/>
            <w:vAlign w:val="bottom"/>
          </w:tcPr>
          <w:p>
            <w:pPr>
              <w:ind w:left="140"/>
              <w:spacing w:after="0"/>
              <w:rPr>
                <w:sz w:val="20"/>
                <w:szCs w:val="20"/>
                <w:color w:val="auto"/>
              </w:rPr>
            </w:pPr>
            <w:r>
              <w:rPr>
                <w:rFonts w:ascii="Arial" w:cs="Arial" w:eastAsia="Arial" w:hAnsi="Arial"/>
                <w:sz w:val="14"/>
                <w:szCs w:val="14"/>
                <w:color w:val="auto"/>
              </w:rPr>
              <w:t>VA</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3,192</w:t>
            </w:r>
          </w:p>
        </w:tc>
        <w:tc>
          <w:tcPr>
            <w:tcW w:w="12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7,723</w:t>
            </w:r>
          </w:p>
        </w:tc>
        <w:tc>
          <w:tcPr>
            <w:tcW w:w="120" w:type="dxa"/>
            <w:vAlign w:val="bottom"/>
          </w:tcPr>
          <w:p>
            <w:pPr>
              <w:spacing w:after="0"/>
              <w:rPr>
                <w:sz w:val="16"/>
                <w:szCs w:val="16"/>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73,143</w:t>
            </w:r>
          </w:p>
        </w:tc>
        <w:tc>
          <w:tcPr>
            <w:tcW w:w="120" w:type="dxa"/>
            <w:vAlign w:val="bottom"/>
          </w:tcPr>
          <w:p>
            <w:pPr>
              <w:spacing w:after="0"/>
              <w:rPr>
                <w:sz w:val="16"/>
                <w:szCs w:val="16"/>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7,790</w:t>
            </w:r>
          </w:p>
        </w:tc>
        <w:tc>
          <w:tcPr>
            <w:tcW w:w="900" w:type="dxa"/>
            <w:vAlign w:val="bottom"/>
            <w:gridSpan w:val="2"/>
          </w:tcPr>
          <w:p>
            <w:pPr>
              <w:jc w:val="right"/>
              <w:ind w:right="33"/>
              <w:spacing w:after="0"/>
              <w:rPr>
                <w:sz w:val="20"/>
                <w:szCs w:val="20"/>
                <w:color w:val="auto"/>
              </w:rPr>
            </w:pPr>
            <w:r>
              <w:rPr>
                <w:rFonts w:ascii="Arial" w:cs="Arial" w:eastAsia="Arial" w:hAnsi="Arial"/>
                <w:sz w:val="14"/>
                <w:szCs w:val="14"/>
                <w:color w:val="auto"/>
              </w:rPr>
              <w:t>76,268</w:t>
            </w: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84,058</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48,754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12/5/1983</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63"/>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WYNNEWOOD</w:t>
            </w:r>
          </w:p>
        </w:tc>
        <w:tc>
          <w:tcPr>
            <w:tcW w:w="5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(Pennsylvania)</w:t>
            </w:r>
          </w:p>
        </w:tc>
        <w:tc>
          <w:tcPr>
            <w:tcW w:w="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25,994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8,055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13,759</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18,808</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8,055</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32,567</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40,622</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18,729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10/29/1996</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040" w:type="dxa"/>
            <w:vAlign w:val="bottom"/>
          </w:tcPr>
          <w:p>
            <w:pPr>
              <w:ind w:left="40"/>
              <w:spacing w:after="0"/>
              <w:rPr>
                <w:sz w:val="20"/>
                <w:szCs w:val="20"/>
                <w:color w:val="auto"/>
              </w:rPr>
            </w:pPr>
            <w:r>
              <w:rPr>
                <w:rFonts w:ascii="Arial" w:cs="Arial" w:eastAsia="Arial" w:hAnsi="Arial"/>
                <w:sz w:val="14"/>
                <w:szCs w:val="14"/>
                <w:color w:val="auto"/>
              </w:rPr>
              <w:t>TOTALS</w:t>
            </w:r>
          </w:p>
        </w:tc>
        <w:tc>
          <w:tcPr>
            <w:tcW w:w="52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w w:val="99"/>
              </w:rPr>
              <w:t>$  635,345</w:t>
            </w:r>
          </w:p>
        </w:tc>
        <w:tc>
          <w:tcPr>
            <w:tcW w:w="1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w w:val="91"/>
              </w:rPr>
              <w:t>$ 1,116,102</w:t>
            </w:r>
          </w:p>
        </w:tc>
        <w:tc>
          <w:tcPr>
            <w:tcW w:w="120" w:type="dxa"/>
            <w:vAlign w:val="bottom"/>
          </w:tcPr>
          <w:p>
            <w:pPr>
              <w:spacing w:after="0"/>
              <w:rPr>
                <w:sz w:val="21"/>
                <w:szCs w:val="21"/>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w w:val="91"/>
              </w:rPr>
              <w:t>$ 1,781,103</w:t>
            </w:r>
          </w:p>
        </w:tc>
        <w:tc>
          <w:tcPr>
            <w:tcW w:w="1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w w:val="89"/>
              </w:rPr>
              <w:t>$ 2,711,793</w:t>
            </w:r>
          </w:p>
        </w:tc>
        <w:tc>
          <w:tcPr>
            <w:tcW w:w="12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w w:val="89"/>
              </w:rPr>
              <w:t>$ 1,102,836</w:t>
            </w:r>
          </w:p>
        </w:tc>
        <w:tc>
          <w:tcPr>
            <w:tcW w:w="10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4"/>
                <w:szCs w:val="14"/>
                <w:color w:val="auto"/>
                <w:w w:val="91"/>
              </w:rPr>
              <w:t>$ 4,506,162</w:t>
            </w:r>
          </w:p>
        </w:tc>
        <w:tc>
          <w:tcPr>
            <w:tcW w:w="1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89"/>
              </w:rPr>
              <w:t>$ 5,608,998</w:t>
            </w:r>
          </w:p>
        </w:tc>
        <w:tc>
          <w:tcPr>
            <w:tcW w:w="780" w:type="dxa"/>
            <w:vAlign w:val="bottom"/>
          </w:tcPr>
          <w:p>
            <w:pPr>
              <w:jc w:val="right"/>
              <w:ind w:right="31"/>
              <w:spacing w:after="0"/>
              <w:rPr>
                <w:sz w:val="20"/>
                <w:szCs w:val="20"/>
                <w:color w:val="auto"/>
              </w:rPr>
            </w:pPr>
            <w:r>
              <w:rPr>
                <w:rFonts w:ascii="Arial" w:cs="Arial" w:eastAsia="Arial" w:hAnsi="Arial"/>
                <w:sz w:val="14"/>
                <w:szCs w:val="14"/>
                <w:color w:val="auto"/>
                <w:w w:val="89"/>
              </w:rPr>
              <w:t>$ 1,467,050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6"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Reconciliation of Total Cost</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4,426,444</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193,131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187,990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(27,891)</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2012</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4,779,674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76,359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329,522</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 during period—disposition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(36,092)</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174,328</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500"/>
              <w:spacing w:after="0"/>
              <w:rPr>
                <w:sz w:val="20"/>
                <w:szCs w:val="20"/>
                <w:color w:val="auto"/>
              </w:rPr>
            </w:pPr>
            <w:r>
              <w:rPr>
                <w:rFonts w:ascii="Arial" w:cs="Arial" w:eastAsia="Arial" w:hAnsi="Arial"/>
                <w:sz w:val="18"/>
                <w:szCs w:val="18"/>
                <w:color w:val="auto"/>
              </w:rPr>
              <w:t>Improvements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329,674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 during period—disposition and retirements of property and transfer to joint venture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0060" w:type="dxa"/>
            <w:vAlign w:val="bottom"/>
            <w:gridSpan w:val="2"/>
          </w:tcPr>
          <w:p>
            <w:pPr>
              <w:spacing w:after="0"/>
              <w:rPr>
                <w:sz w:val="20"/>
                <w:szCs w:val="20"/>
                <w:color w:val="auto"/>
              </w:rPr>
            </w:pPr>
            <w:r>
              <w:rPr>
                <w:rFonts w:ascii="Arial" w:cs="Arial" w:eastAsia="Arial" w:hAnsi="Arial"/>
                <w:sz w:val="18"/>
                <w:szCs w:val="18"/>
                <w:color w:val="auto"/>
              </w:rPr>
              <w:t>(1)  For Federal tax purposes, the aggregate cost basis is approximately $5.1 billion as of December 31, 2014.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220" w:type="dxa"/>
            <w:vAlign w:val="bottom"/>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color w:val="auto"/>
                <w:w w:val="91"/>
              </w:rPr>
              <w:t>F-35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6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FEDERAL REALTY INVESTMENT TRUST</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rPr>
              <w:t>SCHEDULE III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rPr>
              <w:t>SUMMARY OF REAL ESTATE AND ACCUMULATED DEPRECIATION - CONTINUED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Three Years Ended 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84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Reconciliation of Accumulated Depreciation and Amortization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84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8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1,127,588</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128,654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(31,947)</w:t>
            </w:r>
          </w:p>
        </w:tc>
        <w:tc>
          <w:tcPr>
            <w:tcW w:w="0" w:type="dxa"/>
            <w:vAlign w:val="bottom"/>
          </w:tcPr>
          <w:p>
            <w:pPr>
              <w:spacing w:after="0"/>
              <w:rPr>
                <w:sz w:val="1"/>
                <w:szCs w:val="1"/>
                <w:color w:val="auto"/>
              </w:rPr>
            </w:pPr>
          </w:p>
        </w:tc>
      </w:tr>
      <w:tr>
        <w:trPr>
          <w:trHeight w:val="236"/>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2012</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1,224,295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147,730</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period—disposition and retirements of property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(21,554)</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CEEFF"/>
            </w:tcBorders>
          </w:tcPr>
          <w:p>
            <w:pPr>
              <w:spacing w:after="0"/>
              <w:rPr>
                <w:sz w:val="2"/>
                <w:szCs w:val="2"/>
                <w:color w:val="auto"/>
              </w:rPr>
            </w:pPr>
          </w:p>
        </w:tc>
        <w:tc>
          <w:tcPr>
            <w:tcW w:w="8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43"/>
        </w:trPr>
        <w:tc>
          <w:tcPr>
            <w:tcW w:w="1006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period—depreciation and amortization expense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155,662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Deductions during period—disposition and retirements of property</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(39,083)</w:t>
            </w:r>
          </w:p>
        </w:tc>
        <w:tc>
          <w:tcPr>
            <w:tcW w:w="0" w:type="dxa"/>
            <w:vAlign w:val="bottom"/>
          </w:tcPr>
          <w:p>
            <w:pPr>
              <w:spacing w:after="0"/>
              <w:rPr>
                <w:sz w:val="1"/>
                <w:szCs w:val="1"/>
                <w:color w:val="auto"/>
              </w:rPr>
            </w:pP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December 31, 2014</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840" w:type="dxa"/>
            <w:vAlign w:val="bottom"/>
            <w:vMerge w:val="restart"/>
          </w:tcPr>
          <w:p>
            <w:pPr>
              <w:jc w:val="center"/>
              <w:ind w:left="50"/>
              <w:spacing w:after="0"/>
              <w:rPr>
                <w:sz w:val="20"/>
                <w:szCs w:val="20"/>
                <w:color w:val="auto"/>
              </w:rPr>
            </w:pPr>
            <w:r>
              <w:rPr>
                <w:rFonts w:ascii="Arial" w:cs="Arial" w:eastAsia="Arial" w:hAnsi="Arial"/>
                <w:sz w:val="18"/>
                <w:szCs w:val="18"/>
                <w:color w:val="auto"/>
                <w:w w:val="91"/>
              </w:rPr>
              <w:t>F-36</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1220" w:type="dxa"/>
            <w:vAlign w:val="bottom"/>
          </w:tcPr>
          <w:p>
            <w:pPr>
              <w:spacing w:after="0"/>
              <w:rPr>
                <w:sz w:val="24"/>
                <w:szCs w:val="24"/>
                <w:color w:val="auto"/>
              </w:rPr>
            </w:pPr>
          </w:p>
        </w:tc>
        <w:tc>
          <w:tcPr>
            <w:tcW w:w="8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Column A</w:t>
            </w: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Column B</w:t>
            </w: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Column C</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Column D</w:t>
            </w:r>
          </w:p>
        </w:tc>
        <w:tc>
          <w:tcPr>
            <w:tcW w:w="180" w:type="dxa"/>
            <w:vAlign w:val="bottom"/>
          </w:tcPr>
          <w:p>
            <w:pPr>
              <w:spacing w:after="0"/>
              <w:rPr>
                <w:sz w:val="16"/>
                <w:szCs w:val="16"/>
                <w:color w:val="auto"/>
              </w:rPr>
            </w:pPr>
          </w:p>
        </w:tc>
        <w:tc>
          <w:tcPr>
            <w:tcW w:w="12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Column E</w:t>
            </w:r>
          </w:p>
        </w:tc>
        <w:tc>
          <w:tcPr>
            <w:tcW w:w="20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Column F</w:t>
            </w:r>
          </w:p>
        </w:tc>
        <w:tc>
          <w:tcPr>
            <w:tcW w:w="160" w:type="dxa"/>
            <w:vAlign w:val="bottom"/>
          </w:tcPr>
          <w:p>
            <w:pPr>
              <w:spacing w:after="0"/>
              <w:rPr>
                <w:sz w:val="16"/>
                <w:szCs w:val="16"/>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Column G</w:t>
            </w:r>
          </w:p>
        </w:tc>
        <w:tc>
          <w:tcPr>
            <w:tcW w:w="160" w:type="dxa"/>
            <w:vAlign w:val="bottom"/>
          </w:tcPr>
          <w:p>
            <w:pPr>
              <w:spacing w:after="0"/>
              <w:rPr>
                <w:sz w:val="16"/>
                <w:szCs w:val="16"/>
                <w:color w:val="auto"/>
              </w:rPr>
            </w:pPr>
          </w:p>
        </w:tc>
        <w:tc>
          <w:tcPr>
            <w:tcW w:w="860" w:type="dxa"/>
            <w:vAlign w:val="bottom"/>
          </w:tcPr>
          <w:p>
            <w:pPr>
              <w:jc w:val="center"/>
              <w:ind w:right="65"/>
              <w:spacing w:after="0"/>
              <w:rPr>
                <w:sz w:val="20"/>
                <w:szCs w:val="20"/>
                <w:color w:val="auto"/>
              </w:rPr>
            </w:pPr>
            <w:r>
              <w:rPr>
                <w:rFonts w:ascii="Arial" w:cs="Arial" w:eastAsia="Arial" w:hAnsi="Arial"/>
                <w:sz w:val="14"/>
                <w:szCs w:val="14"/>
                <w:b w:val="1"/>
                <w:bCs w:val="1"/>
                <w:color w:val="auto"/>
                <w:w w:val="96"/>
              </w:rPr>
              <w:t>Column H</w:t>
            </w:r>
          </w:p>
        </w:tc>
        <w:tc>
          <w:tcPr>
            <w:tcW w:w="0" w:type="dxa"/>
            <w:vAlign w:val="bottom"/>
          </w:tcPr>
          <w:p>
            <w:pPr>
              <w:spacing w:after="0"/>
              <w:rPr>
                <w:sz w:val="1"/>
                <w:szCs w:val="1"/>
                <w:color w:val="auto"/>
              </w:rPr>
            </w:pPr>
          </w:p>
        </w:tc>
      </w:tr>
      <w:tr>
        <w:trPr>
          <w:trHeight w:val="152"/>
        </w:trPr>
        <w:tc>
          <w:tcPr>
            <w:tcW w:w="1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65"/>
              <w:spacing w:after="0" w:line="152"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2"/>
              </w:rPr>
              <w:t>of Loans</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Periodic Payment</w:t>
            </w:r>
          </w:p>
        </w:tc>
        <w:tc>
          <w:tcPr>
            <w:tcW w:w="180" w:type="dxa"/>
            <w:vAlign w:val="bottom"/>
          </w:tcPr>
          <w:p>
            <w:pPr>
              <w:spacing w:after="0"/>
              <w:rPr>
                <w:sz w:val="12"/>
                <w:szCs w:val="12"/>
                <w:color w:val="auto"/>
              </w:rPr>
            </w:pPr>
          </w:p>
        </w:tc>
        <w:tc>
          <w:tcPr>
            <w:tcW w:w="720" w:type="dxa"/>
            <w:vAlign w:val="bottom"/>
            <w:gridSpan w:val="2"/>
            <w:vMerge w:val="restart"/>
          </w:tcPr>
          <w:p>
            <w:pPr>
              <w:jc w:val="center"/>
              <w:ind w:left="162"/>
              <w:spacing w:after="0"/>
              <w:rPr>
                <w:sz w:val="20"/>
                <w:szCs w:val="20"/>
                <w:color w:val="auto"/>
              </w:rPr>
            </w:pPr>
            <w:r>
              <w:rPr>
                <w:rFonts w:ascii="Arial" w:cs="Arial" w:eastAsia="Arial" w:hAnsi="Arial"/>
                <w:sz w:val="14"/>
                <w:szCs w:val="14"/>
                <w:b w:val="1"/>
                <w:bCs w:val="1"/>
                <w:color w:val="auto"/>
                <w:w w:val="97"/>
              </w:rPr>
              <w:t>Prior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Face Amount</w:t>
            </w: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3"/>
              </w:rPr>
              <w:t>delinquent</w:t>
            </w:r>
          </w:p>
        </w:tc>
        <w:tc>
          <w:tcPr>
            <w:tcW w:w="0" w:type="dxa"/>
            <w:vAlign w:val="bottom"/>
          </w:tcPr>
          <w:p>
            <w:pPr>
              <w:spacing w:after="0"/>
              <w:rPr>
                <w:sz w:val="1"/>
                <w:szCs w:val="1"/>
                <w:color w:val="auto"/>
              </w:rPr>
            </w:pPr>
          </w:p>
        </w:tc>
      </w:tr>
      <w:tr>
        <w:trPr>
          <w:trHeight w:val="148"/>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Lien</w:t>
            </w:r>
          </w:p>
        </w:tc>
        <w:tc>
          <w:tcPr>
            <w:tcW w:w="120" w:type="dxa"/>
            <w:vAlign w:val="bottom"/>
            <w:vMerge w:val="restart"/>
          </w:tcPr>
          <w:p>
            <w:pPr>
              <w:spacing w:after="0"/>
              <w:rPr>
                <w:sz w:val="12"/>
                <w:szCs w:val="12"/>
                <w:color w:val="auto"/>
              </w:rPr>
            </w:pPr>
          </w:p>
        </w:tc>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40" w:type="dxa"/>
            <w:vAlign w:val="bottom"/>
            <w:vMerge w:val="restart"/>
          </w:tcPr>
          <w:p>
            <w:pPr>
              <w:spacing w:after="0"/>
              <w:rPr>
                <w:sz w:val="12"/>
                <w:szCs w:val="12"/>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Maturity Date</w:t>
            </w:r>
          </w:p>
        </w:tc>
        <w:tc>
          <w:tcPr>
            <w:tcW w:w="12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8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Terms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left="182"/>
              <w:spacing w:after="0"/>
              <w:rPr>
                <w:sz w:val="20"/>
                <w:szCs w:val="20"/>
                <w:color w:val="auto"/>
              </w:rPr>
            </w:pPr>
            <w:r>
              <w:rPr>
                <w:rFonts w:ascii="Arial" w:cs="Arial" w:eastAsia="Arial" w:hAnsi="Arial"/>
                <w:sz w:val="14"/>
                <w:szCs w:val="14"/>
                <w:b w:val="1"/>
                <w:bCs w:val="1"/>
                <w:color w:val="auto"/>
                <w:w w:val="92"/>
              </w:rPr>
              <w:t>Liens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0"/>
              </w:rPr>
              <w:t>of Mortgages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of Mortgages(1)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3"/>
              </w:rPr>
              <w:t>or Interest</w:t>
            </w:r>
          </w:p>
        </w:tc>
        <w:tc>
          <w:tcPr>
            <w:tcW w:w="0" w:type="dxa"/>
            <w:vAlign w:val="bottom"/>
          </w:tcPr>
          <w:p>
            <w:pPr>
              <w:spacing w:after="0"/>
              <w:rPr>
                <w:sz w:val="1"/>
                <w:szCs w:val="1"/>
                <w:color w:val="auto"/>
              </w:rPr>
            </w:pPr>
          </w:p>
        </w:tc>
      </w:tr>
      <w:tr>
        <w:trPr>
          <w:trHeight w:val="219"/>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 on</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8% or 10%</w:t>
            </w: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only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20,286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20,286   (2)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retail buildings in</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on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monthly; balloon</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Philadelphia, PA</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timing of</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due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draws, plus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280" w:type="dxa"/>
            <w:vAlign w:val="bottom"/>
            <w:gridSpan w:val="2"/>
          </w:tcPr>
          <w:p>
            <w:pPr>
              <w:ind w:left="20"/>
              <w:spacing w:after="0"/>
              <w:rPr>
                <w:sz w:val="20"/>
                <w:szCs w:val="20"/>
                <w:color w:val="auto"/>
              </w:rPr>
            </w:pPr>
            <w:r>
              <w:rPr>
                <w:rFonts w:ascii="Arial" w:cs="Arial" w:eastAsia="Arial" w:hAnsi="Arial"/>
                <w:sz w:val="16"/>
                <w:szCs w:val="16"/>
                <w:color w:val="auto"/>
              </w:rPr>
              <w:t>10% plus</w:t>
            </w: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May 2021</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9,250</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buildings in Philadelphia,</w:t>
            </w:r>
          </w:p>
        </w:tc>
        <w:tc>
          <w:tcPr>
            <w:tcW w:w="1280" w:type="dxa"/>
            <w:vAlign w:val="bottom"/>
            <w:gridSpan w:val="2"/>
          </w:tcPr>
          <w:p>
            <w:pPr>
              <w:ind w:left="20"/>
              <w:spacing w:after="0"/>
              <w:rPr>
                <w:sz w:val="20"/>
                <w:szCs w:val="20"/>
                <w:color w:val="auto"/>
              </w:rPr>
            </w:pPr>
            <w:r>
              <w:rPr>
                <w:rFonts w:ascii="Arial" w:cs="Arial" w:eastAsia="Arial" w:hAnsi="Arial"/>
                <w:sz w:val="16"/>
                <w:szCs w:val="16"/>
                <w:color w:val="auto"/>
              </w:rPr>
              <w:t>participation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monthly;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PA</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balloon payment due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at maturity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Second Mortgage</w:t>
            </w:r>
          </w:p>
        </w:tc>
        <w:tc>
          <w:tcPr>
            <w:tcW w:w="1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August 2016</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Principal and interest;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34,000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10,691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9,737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on hotel building in San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balloon payment due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Jose, CA</w:t>
            </w: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at maturity(3)</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Mortgage on retail</w:t>
            </w:r>
          </w:p>
        </w:tc>
        <w:tc>
          <w:tcPr>
            <w:tcW w:w="1140" w:type="dxa"/>
            <w:vAlign w:val="bottom"/>
          </w:tcPr>
          <w:p>
            <w:pPr>
              <w:ind w:left="2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color w:val="auto"/>
              </w:rPr>
              <w:t>June 2015</w:t>
            </w: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Interest only; balloon</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11,715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11,715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building in Norwalk, CT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payment due at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ind w:left="20"/>
              <w:spacing w:after="0"/>
              <w:rPr>
                <w:sz w:val="20"/>
                <w:szCs w:val="20"/>
                <w:color w:val="auto"/>
              </w:rPr>
            </w:pPr>
            <w:r>
              <w:rPr>
                <w:rFonts w:ascii="Arial" w:cs="Arial" w:eastAsia="Arial" w:hAnsi="Arial"/>
                <w:sz w:val="16"/>
                <w:szCs w:val="16"/>
                <w:color w:val="auto"/>
              </w:rPr>
              <w:t>maturity</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34,000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51,942</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50,988</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Federal tax purposes, the aggregate tax basis is approximately $51.9 million as of December 31, 2014.</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mortgage is available for up to $25.0 million.</w:t>
      </w:r>
    </w:p>
    <w:p>
      <w:pPr>
        <w:spacing w:after="0" w:line="4"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This note was amended on August 4, 2006. The amended note decreased the interest from 14% to 9% per annum, and requires monthly payments of principal and interest based on 15-year amortization schedule.</w:t>
      </w:r>
    </w:p>
    <w:p>
      <w:pPr>
        <w:ind w:left="340" w:hanging="332"/>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do not hold the first mortgage loan on this property. Accordingly, the amount of the prior lien at December 31, 2014 is estimated.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6"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4"/>
        </w:trPr>
        <w:tc>
          <w:tcPr>
            <w:tcW w:w="3220" w:type="dxa"/>
            <w:vAlign w:val="bottom"/>
            <w:gridSpan w:val="2"/>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Table of Contents</w:t>
              </w:r>
            </w:hyperlink>
          </w:p>
        </w:tc>
        <w:tc>
          <w:tcPr>
            <w:tcW w:w="6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36"/>
        </w:trPr>
        <w:tc>
          <w:tcPr>
            <w:tcW w:w="122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728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rPr>
              <w:t>FEDERAL REALTY INVESTMENT TRUST</w:t>
            </w:r>
          </w:p>
        </w:tc>
        <w:tc>
          <w:tcPr>
            <w:tcW w:w="9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80" w:type="dxa"/>
            <w:vAlign w:val="bottom"/>
            <w:gridSpan w:val="2"/>
          </w:tcPr>
          <w:p>
            <w:pPr>
              <w:jc w:val="center"/>
              <w:ind w:right="2190"/>
              <w:spacing w:after="0"/>
              <w:rPr>
                <w:sz w:val="20"/>
                <w:szCs w:val="20"/>
                <w:color w:val="auto"/>
              </w:rPr>
            </w:pPr>
            <w:r>
              <w:rPr>
                <w:rFonts w:ascii="Arial" w:cs="Arial" w:eastAsia="Arial" w:hAnsi="Arial"/>
                <w:sz w:val="18"/>
                <w:szCs w:val="18"/>
                <w:b w:val="1"/>
                <w:bCs w:val="1"/>
                <w:color w:val="auto"/>
              </w:rPr>
              <w:t>SCHEDULE IV</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8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99"/>
              </w:rPr>
              <w:t>MORTGAGE LOANS ON REAL ESTATE - CONTINUED</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8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90"/>
              </w:rPr>
              <w:t>Three Years Ended December 31, 2014</w:t>
            </w:r>
          </w:p>
        </w:tc>
        <w:tc>
          <w:tcPr>
            <w:tcW w:w="9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280" w:type="dxa"/>
            <w:vAlign w:val="bottom"/>
            <w:gridSpan w:val="2"/>
          </w:tcPr>
          <w:p>
            <w:pPr>
              <w:jc w:val="center"/>
              <w:ind w:right="2190"/>
              <w:spacing w:after="0"/>
              <w:rPr>
                <w:sz w:val="20"/>
                <w:szCs w:val="20"/>
                <w:color w:val="auto"/>
              </w:rPr>
            </w:pPr>
            <w:r>
              <w:rPr>
                <w:rFonts w:ascii="Arial" w:cs="Arial" w:eastAsia="Arial" w:hAnsi="Arial"/>
                <w:sz w:val="18"/>
                <w:szCs w:val="18"/>
                <w:b w:val="1"/>
                <w:bCs w:val="1"/>
                <w:color w:val="auto"/>
                <w:w w:val="91"/>
              </w:rPr>
              <w:t>Reconciliation of Carrying Amount</w:t>
            </w:r>
          </w:p>
        </w:tc>
        <w:tc>
          <w:tcPr>
            <w:tcW w:w="920" w:type="dxa"/>
            <w:vAlign w:val="bottom"/>
          </w:tcPr>
          <w:p>
            <w:pPr>
              <w:spacing w:after="0"/>
              <w:rPr>
                <w:sz w:val="18"/>
                <w:szCs w:val="18"/>
                <w:color w:val="auto"/>
              </w:rPr>
            </w:pPr>
          </w:p>
        </w:tc>
      </w:tr>
      <w:tr>
        <w:trPr>
          <w:trHeight w:val="234"/>
        </w:trPr>
        <w:tc>
          <w:tcPr>
            <w:tcW w:w="1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28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0"/>
                <w:szCs w:val="20"/>
                <w:color w:val="auto"/>
              </w:rPr>
            </w:pPr>
          </w:p>
        </w:tc>
      </w:tr>
      <w:tr>
        <w:trPr>
          <w:trHeight w:val="378"/>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728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55,967</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Additions during period:</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Issuance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772</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55,648</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564</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55,155</w:t>
            </w:r>
          </w:p>
        </w:tc>
      </w:tr>
      <w:tr>
        <w:trPr>
          <w:trHeight w:val="243"/>
        </w:trPr>
        <w:tc>
          <w:tcPr>
            <w:tcW w:w="3220" w:type="dxa"/>
            <w:vAlign w:val="bottom"/>
            <w:gridSpan w:val="2"/>
          </w:tcPr>
          <w:p>
            <w:pPr>
              <w:ind w:left="280"/>
              <w:spacing w:after="0"/>
              <w:rPr>
                <w:sz w:val="20"/>
                <w:szCs w:val="20"/>
                <w:color w:val="auto"/>
              </w:rPr>
            </w:pPr>
            <w:r>
              <w:rPr>
                <w:rFonts w:ascii="Arial" w:cs="Arial" w:eastAsia="Arial" w:hAnsi="Arial"/>
                <w:sz w:val="18"/>
                <w:szCs w:val="18"/>
                <w:color w:val="auto"/>
              </w:rPr>
              <w:t>Deductions during period:</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w w:val="97"/>
              </w:rPr>
              <w:t>Collection and satisfaction of loans</w:t>
            </w:r>
          </w:p>
        </w:tc>
        <w:tc>
          <w:tcPr>
            <w:tcW w:w="6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(4,778)</w:t>
            </w:r>
          </w:p>
        </w:tc>
      </w:tr>
      <w:tr>
        <w:trPr>
          <w:trHeight w:val="243"/>
        </w:trPr>
        <w:tc>
          <w:tcPr>
            <w:tcW w:w="3220" w:type="dxa"/>
            <w:vAlign w:val="bottom"/>
            <w:gridSpan w:val="2"/>
          </w:tcPr>
          <w:p>
            <w:pPr>
              <w:ind w:left="500"/>
              <w:spacing w:after="0"/>
              <w:rPr>
                <w:sz w:val="20"/>
                <w:szCs w:val="20"/>
                <w:color w:val="auto"/>
              </w:rPr>
            </w:pPr>
            <w:r>
              <w:rPr>
                <w:rFonts w:ascii="Arial" w:cs="Arial" w:eastAsia="Arial" w:hAnsi="Arial"/>
                <w:sz w:val="18"/>
                <w:szCs w:val="18"/>
                <w:color w:val="auto"/>
              </w:rPr>
              <w:t>Amortization of discount</w:t>
            </w:r>
          </w:p>
        </w:tc>
        <w:tc>
          <w:tcPr>
            <w:tcW w:w="6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12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6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50,988</w:t>
            </w:r>
          </w:p>
        </w:tc>
      </w:tr>
      <w:tr>
        <w:trPr>
          <w:trHeight w:val="20"/>
        </w:trPr>
        <w:tc>
          <w:tcPr>
            <w:tcW w:w="1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50"/>
        </w:trPr>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80" w:type="dxa"/>
            <w:vAlign w:val="bottom"/>
            <w:gridSpan w:val="2"/>
          </w:tcPr>
          <w:p>
            <w:pPr>
              <w:jc w:val="center"/>
              <w:ind w:right="2210"/>
              <w:spacing w:after="0"/>
              <w:rPr>
                <w:sz w:val="20"/>
                <w:szCs w:val="20"/>
                <w:color w:val="auto"/>
              </w:rPr>
            </w:pPr>
            <w:r>
              <w:rPr>
                <w:rFonts w:ascii="Arial" w:cs="Arial" w:eastAsia="Arial" w:hAnsi="Arial"/>
                <w:sz w:val="18"/>
                <w:szCs w:val="18"/>
                <w:color w:val="auto"/>
                <w:w w:val="91"/>
              </w:rPr>
              <w:t>F-38</w:t>
            </w:r>
          </w:p>
        </w:tc>
        <w:tc>
          <w:tcPr>
            <w:tcW w:w="9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6"/>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498"/>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Indenture dated September 1, 1998 related to the Trust’s 5.65% Notes due 2016; 6.20% Notes due 2017; 5.95% Notes due 2014 and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5.90% Notes due 2020; 3.00% Notes due 2022; 2.75% Notes due 2023; 3.95% Notes due 2024; 4.50% Notes due 2044 (previously filed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Exhibit 4(a) to 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of 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 Amendment to Executive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filed as Exhibit 10.12 to the Trust’s Annual Report on Form 10-K for the year ended December 31, 2004 (File No. 1-07533) (the “2004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 Health Coverage Continuation Agreement between Federal Realty Investment Trust and Donald C. Wood dated February 16, 2005</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(previously 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 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as Exhibit 10.35 to the Trust's Annual Report on Form 10-K for the year ended December 31, 2010 (File No. 1-07533) (the "2010 Form 10-K")</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6" w:right="239" w:bottom="1440" w:gutter="0" w:footer="0" w:header="0"/>
          <w:type w:val="continuous"/>
        </w:sectPr>
      </w:pPr>
    </w:p>
    <w:bookmarkStart w:id="93" w:name="page94"/>
    <w:bookmarkEnd w:id="93"/>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w w:val="93"/>
              </w:rPr>
              <w:t>10.11</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Amended and Restated 2001 Long-Term Incentive Plan (previously filed as Exhibit 10.34 to the Trust’s Quarterly Report on Form 10-Q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Executive Agreement between the Trust and Donald C. Wood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10.27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 Second Amendment to Severance Agreement between the Trust and Dawn M. Becker dated January 1, 2009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10.30 to the Trust’s 2008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525"/>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10.23</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10.24</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 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10.25</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jc w:val="right"/>
              <w:ind w:right="392"/>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permitted assignees under Section 12.6., as Lenders, PNC Bank, National Association, as Administrative Agent, Capital One, N.A.,</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6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54">
        <w:r>
          <w:rPr>
            <w:rFonts w:ascii="Arial" w:cs="Arial" w:eastAsia="Arial" w:hAnsi="Arial"/>
            <w:sz w:val="16"/>
            <w:szCs w:val="16"/>
            <w:b w:val="1"/>
            <w:bCs w:val="1"/>
            <w:u w:val="single" w:color="auto"/>
            <w:color w:val="0000EE"/>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6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to the Credit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First Amendment to the Term Loan Agreement, dated as of April 22, 2013, by and among Federal Realty Investment Trust, each of the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Lenders party thereto, and PNC Bank, National Association, as Administrative Agent (previously filed as Exhibit 10.40 to the Trust's Quarterly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Federal Realty Investment Trust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Grant Thornton LLP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1"/>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80" w:hanging="1045"/>
        <w:spacing w:after="0" w:line="25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Annual Report on Form 10-K for the year ended December 31, 2014,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required to be filed as an exhibit pursuant to Item 15(b) of Form 10-K.</w:t>
      </w:r>
    </w:p>
    <w:p>
      <w:pPr>
        <w:spacing w:after="0" w:line="9" w:lineRule="exact"/>
        <w:rPr>
          <w:sz w:val="20"/>
          <w:szCs w:val="20"/>
          <w:color w:val="auto"/>
        </w:rPr>
      </w:pPr>
    </w:p>
    <w:p>
      <w:pPr>
        <w:ind w:right="100" w:firstLine="8"/>
        <w:spacing w:after="0" w:line="260" w:lineRule="auto"/>
        <w:tabs>
          <w:tab w:leader="none" w:pos="2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Pursuant to Regulation S-K Item 601(b)(4)(iii), the Trust by this filing agrees, upon request, to furnish to the Securities and Exchange Commission a copy of other instruments defining the rights of holders of long-term debt of the Trust.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8340" w:type="dxa"/>
            <w:vAlign w:val="bottom"/>
            <w:gridSpan w:val="3"/>
          </w:tcPr>
          <w:p>
            <w:pPr>
              <w:spacing w:after="0"/>
              <w:rPr>
                <w:sz w:val="20"/>
                <w:szCs w:val="20"/>
                <w:color w:val="auto"/>
              </w:rPr>
            </w:pPr>
            <w:r>
              <w:rPr>
                <w:rFonts w:ascii="Arial" w:cs="Arial" w:eastAsia="Arial" w:hAnsi="Arial"/>
                <w:sz w:val="18"/>
                <w:szCs w:val="18"/>
                <w:b w:val="1"/>
                <w:bCs w:val="1"/>
                <w:color w:val="auto"/>
              </w:rPr>
              <w:t>FEDERAL REALTY INVESTMENT TRUST AND SUBSIDIARIES</w:t>
            </w:r>
          </w:p>
        </w:tc>
      </w:tr>
      <w:tr>
        <w:trPr>
          <w:trHeight w:val="573"/>
        </w:trPr>
        <w:tc>
          <w:tcPr>
            <w:tcW w:w="308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3"/>
              </w:rPr>
              <w:t>STATE OF INCORPORATION OR</w:t>
            </w:r>
          </w:p>
        </w:tc>
      </w:tr>
      <w:tr>
        <w:trPr>
          <w:trHeight w:val="230"/>
        </w:trPr>
        <w:tc>
          <w:tcPr>
            <w:tcW w:w="5920" w:type="dxa"/>
            <w:vAlign w:val="bottom"/>
            <w:gridSpan w:val="2"/>
          </w:tcPr>
          <w:p>
            <w:pPr>
              <w:ind w:left="40"/>
              <w:spacing w:after="0"/>
              <w:rPr>
                <w:sz w:val="20"/>
                <w:szCs w:val="20"/>
                <w:color w:val="auto"/>
              </w:rPr>
            </w:pPr>
            <w:r>
              <w:rPr>
                <w:rFonts w:ascii="Arial" w:cs="Arial" w:eastAsia="Arial" w:hAnsi="Arial"/>
                <w:sz w:val="18"/>
                <w:szCs w:val="18"/>
                <w:color w:val="auto"/>
              </w:rPr>
              <w:t>NAME OF SUBSIDIARY</w:t>
            </w:r>
          </w:p>
        </w:tc>
        <w:tc>
          <w:tcPr>
            <w:tcW w:w="2440" w:type="dxa"/>
            <w:vAlign w:val="bottom"/>
          </w:tcPr>
          <w:p>
            <w:pPr>
              <w:spacing w:after="0"/>
              <w:rPr>
                <w:sz w:val="20"/>
                <w:szCs w:val="20"/>
                <w:color w:val="auto"/>
              </w:rPr>
            </w:pPr>
          </w:p>
        </w:tc>
        <w:tc>
          <w:tcPr>
            <w:tcW w:w="3060" w:type="dxa"/>
            <w:vAlign w:val="bottom"/>
          </w:tcPr>
          <w:p>
            <w:pPr>
              <w:jc w:val="center"/>
              <w:ind w:right="150"/>
              <w:spacing w:after="0"/>
              <w:rPr>
                <w:sz w:val="20"/>
                <w:szCs w:val="20"/>
                <w:color w:val="auto"/>
              </w:rPr>
            </w:pPr>
            <w:r>
              <w:rPr>
                <w:rFonts w:ascii="Arial" w:cs="Arial" w:eastAsia="Arial" w:hAnsi="Arial"/>
                <w:sz w:val="18"/>
                <w:szCs w:val="18"/>
                <w:color w:val="auto"/>
                <w:w w:val="97"/>
              </w:rPr>
              <w:t>ORGANIZATION</w:t>
            </w:r>
          </w:p>
        </w:tc>
      </w:tr>
      <w:tr>
        <w:trPr>
          <w:trHeight w:val="27"/>
        </w:trPr>
        <w:tc>
          <w:tcPr>
            <w:tcW w:w="3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524"/>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Associates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Andorra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Governor Plaza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Shopping Center Associates</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Pennsylvania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Berman Enterprises II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Escondido Promenade,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California</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Leasing &amp; Development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Santana Row TRS,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Congressional Plaza Associates,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Pike 7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Federal/LPF GP,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FRLP,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Partners,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East Bay Bridge,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East Bay Bridge Retail,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Management Services,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FRIT Solar,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Santana Row ROF,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Mercer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Westgate Mall,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Assembly Square,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Crow Canyon,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Linden Square,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Chelsea Commons I,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White Marsh,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Cordon Fairfield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Campbell-Philadelphia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Shoppes at 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Properties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Nottingham Square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Limited Partnership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White Marsh Plaza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Byron Station Limited Partnership, LLLP</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The Avenue at White Marsh Business Trust</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NVI-Avenue,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Retail Funding Affiliates,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Maryland</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Shoppers World,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Florida,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LLC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FR Rollingwood,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Boston,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r>
        <w:trPr>
          <w:trHeight w:val="283"/>
        </w:trPr>
        <w:tc>
          <w:tcPr>
            <w:tcW w:w="5920" w:type="dxa"/>
            <w:vAlign w:val="bottom"/>
            <w:gridSpan w:val="2"/>
          </w:tcPr>
          <w:p>
            <w:pPr>
              <w:ind w:left="40"/>
              <w:spacing w:after="0"/>
              <w:rPr>
                <w:sz w:val="20"/>
                <w:szCs w:val="20"/>
                <w:color w:val="auto"/>
              </w:rPr>
            </w:pPr>
            <w:r>
              <w:rPr>
                <w:rFonts w:ascii="Arial" w:cs="Arial" w:eastAsia="Arial" w:hAnsi="Arial"/>
                <w:sz w:val="20"/>
                <w:szCs w:val="20"/>
                <w:color w:val="auto"/>
              </w:rPr>
              <w:t>Federal Realty West Coast, Inc.</w:t>
            </w:r>
          </w:p>
        </w:tc>
        <w:tc>
          <w:tcPr>
            <w:tcW w:w="5500" w:type="dxa"/>
            <w:vAlign w:val="bottom"/>
            <w:gridSpan w:val="2"/>
          </w:tcPr>
          <w:p>
            <w:pPr>
              <w:ind w:left="22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742" w:right="239" w:bottom="0" w:gutter="0" w:footer="0" w:header="0"/>
        </w:sectPr>
      </w:pPr>
    </w:p>
    <w:bookmarkStart w:id="96" w:name="page97"/>
    <w:bookmarkEnd w:id="96"/>
    <w:p>
      <w:pPr>
        <w:spacing w:after="0"/>
        <w:tabs>
          <w:tab w:leader="none" w:pos="8080" w:val="left"/>
        </w:tabs>
        <w:rPr>
          <w:sz w:val="20"/>
          <w:szCs w:val="20"/>
          <w:color w:val="auto"/>
        </w:rPr>
      </w:pPr>
      <w:r>
        <w:rPr>
          <w:rFonts w:ascii="Arial" w:cs="Arial" w:eastAsia="Arial" w:hAnsi="Arial"/>
          <w:sz w:val="20"/>
          <w:szCs w:val="20"/>
          <w:color w:val="auto"/>
        </w:rPr>
        <w:t>FR Montrose Crossing, Inc.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0179"/>
          </w:cols>
          <w:pgMar w:left="280" w:top="122" w:right="1440"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FR Montrose Crossing,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Montrose Crossing Borrower,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FRIT CA Operations,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Huntington Square,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Darien,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Old Town,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Forest Hills 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GP,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II,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3,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4,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6,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7,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West 10,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Street Retail San Antonio,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San Antonio,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Texas,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FR Sturtevant Street,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Sturtevant Street,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B5,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B6,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B7,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B8,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 Assembly Row B9,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Santana Row Services,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SRI/Continental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CCA Sepulveda,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Rosecrans-Sepulveda Partners 3,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PES Partners,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Route 35 Shrewsbury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Shrewsbury Commons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Sea Girt L.P.</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35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Merritt Shrewsbury Commons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Cole Grove West,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508 Broad Street,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FR San Antonio Center,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San Antonio Center II,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Pike &amp; Rose Condominium, Inc.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JV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Owner LLC</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PNR Hotel XXVI Operator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California</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New Jersey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Washington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7380" w:space="720"/>
            <w:col w:w="2079"/>
          </w:cols>
          <w:pgMar w:left="280" w:top="743"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have issued our reports dated February 10, 2015, with respect to the consolidated financial statements, schedules, and internal control over financial reporting included in the Annual Report of Federal Realty Investment Trust on Form 10-K for the year ended December 31, 2014. We hereby consent to the incorporation by reference of said reports in the Registration Statements of Federal Realty Investment Trust on Form S-3 (File No. 333-199850 effective 11/4/2014, File No. 333-187882 effective 4/12/2013, File No. 333-181236 effective 5/8/2012, File No. 333-181238 effective 5/8/2012, File No. 333-160009 effective 6/16/2009, File No. 333-135159 effective 6/20/2006, File No. 333-124195 effective 4/20/2005, File No. 333-100819 effective 10/29/2002 and File No. 033-63687 effective 10/25/1995) and on Form S-8 (File No. 333-166531 effective 5/5/2010, File No. 333-147080 effective 11/01/2007, File No. 333-147081 effective 11/01/2007 and File No. 333-60364 effective 05/07/2001).</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10, 2015</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880" w:hanging="467"/>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10,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89" w:lineRule="exact"/>
        <w:rPr>
          <w:rFonts w:ascii="Arial" w:cs="Arial" w:eastAsia="Arial" w:hAnsi="Arial"/>
          <w:sz w:val="18"/>
          <w:szCs w:val="18"/>
          <w:color w:val="auto"/>
        </w:rPr>
      </w:pPr>
    </w:p>
    <w:p>
      <w:pPr>
        <w:jc w:val="both"/>
        <w:ind w:left="880" w:right="80" w:hanging="467"/>
        <w:spacing w:after="0" w:line="26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8"/>
          <w:szCs w:val="18"/>
          <w:color w:val="auto"/>
        </w:rPr>
      </w:pPr>
    </w:p>
    <w:p>
      <w:pPr>
        <w:ind w:left="880" w:right="60" w:hanging="467"/>
        <w:spacing w:after="0" w:line="307"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Arial" w:cs="Arial" w:eastAsia="Arial" w:hAnsi="Arial"/>
          <w:sz w:val="17"/>
          <w:szCs w:val="17"/>
          <w:color w:val="auto"/>
        </w:rPr>
      </w:pPr>
    </w:p>
    <w:p>
      <w:pPr>
        <w:ind w:left="880" w:right="80" w:hanging="467"/>
        <w:spacing w:after="0" w:line="26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8"/>
          <w:szCs w:val="18"/>
          <w:color w:val="auto"/>
        </w:rPr>
      </w:pPr>
    </w:p>
    <w:p>
      <w:pPr>
        <w:ind w:left="1420" w:right="20" w:hanging="441"/>
        <w:spacing w:after="0" w:line="263"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8"/>
          <w:szCs w:val="18"/>
          <w:color w:val="auto"/>
        </w:rPr>
      </w:pPr>
    </w:p>
    <w:p>
      <w:pPr>
        <w:ind w:left="1420" w:right="120" w:hanging="441"/>
        <w:spacing w:after="0" w:line="263"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8"/>
          <w:szCs w:val="18"/>
          <w:color w:val="auto"/>
        </w:rPr>
      </w:pPr>
    </w:p>
    <w:p>
      <w:pPr>
        <w:ind w:left="1420" w:right="280" w:hanging="441"/>
        <w:spacing w:after="0" w:line="334" w:lineRule="auto"/>
        <w:tabs>
          <w:tab w:leader="none" w:pos="14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20" w:right="340" w:hanging="441"/>
        <w:spacing w:after="0" w:line="263"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8"/>
          <w:szCs w:val="18"/>
          <w:color w:val="auto"/>
        </w:rPr>
      </w:pPr>
    </w:p>
    <w:p>
      <w:pPr>
        <w:ind w:left="880" w:right="260" w:hanging="467"/>
        <w:spacing w:after="0" w:line="334" w:lineRule="auto"/>
        <w:tabs>
          <w:tab w:leader="none" w:pos="8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ind w:left="1420" w:right="580" w:hanging="441"/>
        <w:spacing w:after="0" w:line="334" w:lineRule="auto"/>
        <w:tabs>
          <w:tab w:leader="none" w:pos="142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420" w:right="280" w:hanging="441"/>
        <w:spacing w:after="0" w:line="277" w:lineRule="auto"/>
        <w:tabs>
          <w:tab w:leader="none" w:pos="1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February 10,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60" w:firstLine="432"/>
        <w:spacing w:after="0" w:line="263"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2014 (the “Report”). The undersigned hereby certifies, to the best of his knowledge, that:</w:t>
      </w:r>
    </w:p>
    <w:p>
      <w:pPr>
        <w:spacing w:after="0" w:line="75" w:lineRule="exact"/>
        <w:rPr>
          <w:sz w:val="20"/>
          <w:szCs w:val="20"/>
          <w:color w:val="auto"/>
        </w:rPr>
      </w:pPr>
    </w:p>
    <w:p>
      <w:pPr>
        <w:ind w:left="1300" w:hanging="887"/>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February 10,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jc w:val="both"/>
        <w:ind w:right="120" w:firstLine="432"/>
        <w:spacing w:after="0" w:line="311"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Annual Report on Form 10-K for the period ended December 31, 2014 (the “Report”). The undersigned hereby certifies, to the best of his knowledge, that:</w:t>
      </w:r>
    </w:p>
    <w:p>
      <w:pPr>
        <w:spacing w:after="0" w:line="40" w:lineRule="exact"/>
        <w:rPr>
          <w:sz w:val="20"/>
          <w:szCs w:val="20"/>
          <w:color w:val="auto"/>
        </w:rPr>
      </w:pPr>
    </w:p>
    <w:p>
      <w:pPr>
        <w:ind w:left="1300" w:hanging="887"/>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300" w:right="520" w:hanging="887"/>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2"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February 10,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31750</wp:posOffset>
            </wp:positionV>
            <wp:extent cx="3546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46475" cy="8255"/>
                    </a:xfrm>
                    <a:prstGeom prst="rect">
                      <a:avLst/>
                    </a:prstGeom>
                    <a:noFill/>
                  </pic:spPr>
                </pic:pic>
              </a:graphicData>
            </a:graphic>
          </wp:anchor>
        </w:drawing>
      </w:r>
    </w:p>
    <w:p>
      <w:pPr>
        <w:spacing w:after="0" w:line="5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4"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lvl w:ilvl="1">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1)"/>
      <w:numFmt w:val="decimal"/>
      <w:start w:val="2"/>
    </w:lvl>
  </w:abstractNum>
  <w:abstractNum w:abstractNumId="28">
    <w:nsid w:val="749ABB43"/>
    <w:multiLevelType w:val="hybridMultilevel"/>
    <w:lvl w:ilvl="0">
      <w:lvlJc w:val="left"/>
      <w:lvlText w:val="(%1)"/>
      <w:numFmt w:val="decimal"/>
      <w:start w:val="3"/>
    </w:lvl>
  </w:abstractNum>
  <w:abstractNum w:abstractNumId="29">
    <w:nsid w:val="3DC240FB"/>
    <w:multiLevelType w:val="hybridMultilevel"/>
    <w:lvl w:ilvl="0">
      <w:lvlJc w:val="left"/>
      <w:lvlText w:val="(%1)"/>
      <w:numFmt w:val="decimal"/>
      <w:start w:val="4"/>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
      <w:numFmt w:val="bullet"/>
      <w:start w:val="1"/>
    </w:lvl>
  </w:abstractNum>
  <w:abstractNum w:abstractNumId="56">
    <w:nsid w:val="310C50B3"/>
    <w:multiLevelType w:val="hybridMultilevel"/>
    <w:lvl w:ilvl="0">
      <w:lvlJc w:val="left"/>
      <w:lvlText w:val="(%1)"/>
      <w:numFmt w:val="lowerLetter"/>
      <w:start w:val="2"/>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decimal"/>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1"/>
      <w:numFmt w:val="decimal"/>
      <w:start w:val="10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2019-12-29T19:14:13Z</dcterms:created>
  <dcterms:modified xsi:type="dcterms:W3CDTF">2019-12-29T19:14:13Z</dcterms:modified>
</cp:coreProperties>
</file>