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540"/>
        <w:spacing w:after="0" w:line="207" w:lineRule="exact"/>
        <w:tabs>
          <w:tab w:leader="none" w:pos="5000" w:val="left"/>
          <w:tab w:leader="none" w:pos="7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right="262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November 2, 2006 was 55,288,507.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280" w:type="dxa"/>
            <w:vAlign w:val="bottom"/>
            <w:gridSpan w:val="11"/>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48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48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September 30, 2006 (unaudited) and December 31, 2005</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12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 (unaudited) nine months ended September 30, 2006 and 2005</w:t>
              </w:r>
            </w:hyperlink>
          </w:p>
        </w:tc>
        <w:tc>
          <w:tcPr>
            <w:tcW w:w="236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 w:type="dxa"/>
            <w:vAlign w:val="bottom"/>
          </w:tcPr>
          <w:p>
            <w:pPr>
              <w:spacing w:after="0"/>
              <w:rPr>
                <w:sz w:val="17"/>
                <w:szCs w:val="17"/>
                <w:color w:val="auto"/>
              </w:rPr>
            </w:pPr>
          </w:p>
        </w:tc>
        <w:tc>
          <w:tcPr>
            <w:tcW w:w="948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three months ended September 30, 2006 and 2005</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Common Shareholders’ Equity (unaudited) nine months ended September 30, 2006 and 2005</w:t>
              </w:r>
            </w:hyperlink>
          </w:p>
        </w:tc>
        <w:tc>
          <w:tcPr>
            <w:tcW w:w="9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Pr>
          <w:p>
            <w:pPr>
              <w:spacing w:after="0"/>
              <w:rPr>
                <w:sz w:val="17"/>
                <w:szCs w:val="17"/>
                <w:color w:val="auto"/>
              </w:rPr>
            </w:pPr>
          </w:p>
        </w:tc>
        <w:tc>
          <w:tcPr>
            <w:tcW w:w="948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nine months ended September 30, 2006 and 2005</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8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w:t>
              </w:r>
            </w:hyperlink>
          </w:p>
        </w:tc>
        <w:tc>
          <w:tcPr>
            <w:tcW w:w="4080" w:type="dxa"/>
            <w:vAlign w:val="bottom"/>
            <w:tcBorders>
              <w:top w:val="single" w:sz="8" w:color="0000EE"/>
            </w:tcBorders>
            <w:gridSpan w:val="7"/>
          </w:tcPr>
          <w:p>
            <w:pPr>
              <w:spacing w:after="0"/>
              <w:rPr>
                <w:sz w:val="17"/>
                <w:szCs w:val="17"/>
                <w:color w:val="auto"/>
              </w:rPr>
            </w:pPr>
          </w:p>
        </w:tc>
        <w:tc>
          <w:tcPr>
            <w:tcW w:w="23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18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48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2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OTHER INFORMATION</w:t>
              </w:r>
            </w:hyperlink>
          </w:p>
        </w:tc>
        <w:tc>
          <w:tcPr>
            <w:tcW w:w="7640" w:type="dxa"/>
            <w:vAlign w:val="bottom"/>
            <w:gridSpan w:val="12"/>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Legal Proceedings</w:t>
              </w:r>
            </w:hyperlink>
          </w:p>
        </w:tc>
        <w:tc>
          <w:tcPr>
            <w:tcW w:w="818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Unregistered Sales of Equity Securities and Use of Proceeds</w:t>
              </w:r>
            </w:hyperlink>
          </w:p>
        </w:tc>
        <w:tc>
          <w:tcPr>
            <w:tcW w:w="52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4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Submission of Matters to a Vote of Security Holders</w:t>
              </w:r>
            </w:hyperlink>
          </w:p>
        </w:tc>
        <w:tc>
          <w:tcPr>
            <w:tcW w:w="580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48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820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900" w:type="dxa"/>
            <w:vAlign w:val="bottom"/>
            <w:gridSpan w:val="1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1026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760" w:type="dxa"/>
            <w:vAlign w:val="bottom"/>
            <w:gridSpan w:val="14"/>
          </w:tcPr>
          <w:p>
            <w:pPr>
              <w:jc w:val="right"/>
              <w:ind w:right="10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balance sheet as of December 31, 2005,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nine and three months ended September 30, 2006 are not necessarily indicative of the results that may be expected for the full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(In thousands,</w:t>
            </w:r>
          </w:p>
        </w:tc>
        <w:tc>
          <w:tcPr>
            <w:tcW w:w="1640" w:type="dxa"/>
            <w:vAlign w:val="bottom"/>
            <w:gridSpan w:val="3"/>
          </w:tcPr>
          <w:p>
            <w:pPr>
              <w:jc w:val="right"/>
              <w:ind w:right="173"/>
              <w:spacing w:after="0" w:line="129" w:lineRule="exact"/>
              <w:rPr>
                <w:sz w:val="20"/>
                <w:szCs w:val="20"/>
                <w:color w:val="auto"/>
              </w:rPr>
            </w:pPr>
            <w:r>
              <w:rPr>
                <w:rFonts w:ascii="Arial" w:cs="Arial" w:eastAsia="Arial" w:hAnsi="Arial"/>
                <w:sz w:val="14"/>
                <w:szCs w:val="14"/>
                <w:b w:val="1"/>
                <w:bCs w:val="1"/>
                <w:color w:val="auto"/>
                <w:w w:val="91"/>
              </w:rPr>
              <w:t>except per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3,088,361</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(718,006)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2,370,355</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$7,001 and $7,592, respectively</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2,640,122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287,035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Notes payable, including revolving credit facility</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1,696,881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Commitments and contingencies (Note F)</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Preferred stock, authorized 15,000,000 shares, $.01 par:</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8.5% Series B Cumulative Redeemable Preferred Shares, (stated at liquidation preference $25 per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 5,400,000 shares</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Common shares, $.01 par, 100,000,000 shares authorized, 56,761,321 and 54,371,057 issued,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8"/>
                <w:szCs w:val="18"/>
                <w:color w:val="auto"/>
              </w:rPr>
            </w:pPr>
          </w:p>
        </w:tc>
        <w:tc>
          <w:tcPr>
            <w:tcW w:w="1540" w:type="dxa"/>
            <w:vAlign w:val="bottom"/>
            <w:gridSpan w:val="2"/>
          </w:tcPr>
          <w:p>
            <w:pPr>
              <w:jc w:val="right"/>
              <w:ind w:right="492"/>
              <w:spacing w:after="0"/>
              <w:rPr>
                <w:sz w:val="20"/>
                <w:szCs w:val="20"/>
                <w:color w:val="auto"/>
              </w:rPr>
            </w:pPr>
            <w:r>
              <w:rPr>
                <w:rFonts w:ascii="Arial" w:cs="Arial" w:eastAsia="Arial" w:hAnsi="Arial"/>
                <w:sz w:val="18"/>
                <w:szCs w:val="18"/>
                <w:color w:val="auto"/>
              </w:rPr>
              <w:t>(453,409)</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1,480,891 and 1,480,360, respectively</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(28,807)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Deferred compensation on unvested shares</w:t>
            </w:r>
          </w:p>
        </w:tc>
        <w:tc>
          <w:tcPr>
            <w:tcW w:w="80" w:type="dxa"/>
            <w:vAlign w:val="bottom"/>
          </w:tcPr>
          <w:p>
            <w:pPr>
              <w:spacing w:after="0"/>
              <w:rPr>
                <w:sz w:val="18"/>
                <w:szCs w:val="18"/>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9"/>
                <w:szCs w:val="19"/>
                <w:color w:val="auto"/>
              </w:rPr>
            </w:pP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924,597</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2,640,122</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321,009</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290,317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330,530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63,156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32,785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15,747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2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146,786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Interest–rate swap and other interest income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(75,183)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94,271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85,664</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1.17</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1.16</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1.60</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110,511</w:t>
            </w:r>
          </w:p>
        </w:tc>
        <w:tc>
          <w:tcPr>
            <w:tcW w:w="3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EXPENSES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2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62,779</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50,626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Interest–rate swap and other interest income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(26,149)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(1,086)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25,082</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(2,869)</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9"/>
              </w:rPr>
              <w:t>Nine Months Ended September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1"/>
                <w:szCs w:val="11"/>
                <w:color w:val="auto"/>
              </w:rPr>
            </w:pPr>
          </w:p>
        </w:tc>
        <w:tc>
          <w:tcPr>
            <w:tcW w:w="19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1"/>
                <w:szCs w:val="11"/>
                <w:color w:val="auto"/>
              </w:rPr>
            </w:pPr>
          </w:p>
        </w:tc>
        <w:tc>
          <w:tcPr>
            <w:tcW w:w="8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280" w:type="dxa"/>
            <w:vAlign w:val="bottom"/>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restart"/>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Paid-in</w:t>
            </w:r>
          </w:p>
        </w:tc>
        <w:tc>
          <w:tcPr>
            <w:tcW w:w="19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48"/>
        </w:trPr>
        <w:tc>
          <w:tcPr>
            <w:tcW w:w="52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7"/>
              </w:rPr>
              <w:t>Par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except share data)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54,371,057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8"/>
                <w:szCs w:val="18"/>
                <w:color w:val="auto"/>
              </w:rPr>
              <w:t>$1,114,732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53,616,827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$1,108,213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(6,416)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233,068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8"/>
                <w:szCs w:val="18"/>
                <w:color w:val="auto"/>
              </w:rPr>
              <w:t>7,555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269,718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under dividend reinvestment plan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2,371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Conversion and redemption of OP units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37,216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8"/>
                <w:szCs w:val="18"/>
                <w:color w:val="auto"/>
              </w:rPr>
              <w:t>615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203,140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common shares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Share-based compensation expense (SFAS No. 123 (R))</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82,749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8"/>
                <w:szCs w:val="18"/>
                <w:color w:val="auto"/>
              </w:rPr>
              <w:t>4,789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Deferred stock compensation associated with variable accounting</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(APB No. 25)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Issuance of shares in public offering</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2,002,670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8"/>
                <w:szCs w:val="18"/>
                <w:color w:val="auto"/>
              </w:rPr>
              <w:t>149,195</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56,761,321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1,272,841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54,212,112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1,109,819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Accumulated dividends in excess of net income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(437,817)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(416,026)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(101,256)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Dividends declared to preferred shareholders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(8,607)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(453,409)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(430,150)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Treasury shares, at cost</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(1,480,360)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(28,794)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(1,480,201)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Unvested shares forfeited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(1,481,194)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(28,807)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(1,480,359)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Deferred compensation on unvested shares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net of forfeitures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Vesting of shares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Notes receivable from issuance of common shares</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Loans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Change due to recognizing gain on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valuation on interest rate swaps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Change due to termination of hedge relationship (included in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660"/>
              <w:spacing w:after="0"/>
              <w:rPr>
                <w:sz w:val="20"/>
                <w:szCs w:val="20"/>
                <w:color w:val="auto"/>
              </w:rPr>
            </w:pPr>
            <w:r>
              <w:rPr>
                <w:rFonts w:ascii="Arial" w:cs="Arial" w:eastAsia="Arial" w:hAnsi="Arial"/>
                <w:sz w:val="18"/>
                <w:szCs w:val="18"/>
                <w:color w:val="auto"/>
              </w:rPr>
              <w:t>income)</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Adjustments to unrealized gains on securities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unrealized gains on interest-rate swap</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94,271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(23,866)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Increase in accounts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Decrease in accounts payable, security deposits and prepaid rent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140,455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(224,274)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 development and redevelopment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(62,450)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Capital expenditures - 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(17,408)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Leasing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(Issuance) repayment of mortgage and other notes receivable,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(233,282)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revolving credit facility and bridge loan, net of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Issuance of senior debentures, net of costs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376,214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debentures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(40,500)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(254,022)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156,955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(105,079)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minority interests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150,612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(47,054)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development and redevelopment of retail and mixed-use properties. Our properties are located primarily in densely populated, affluent communities with relatively high barriers to entry in strategic metropolitan markets in the Mid-Atlantic and Northeast regions of the United States, as well as in California.</w:t>
      </w:r>
    </w:p>
    <w:p>
      <w:pPr>
        <w:spacing w:after="0" w:line="10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not expected to be 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elected to treat certain of our subsidiaries as taxable REIT subsidiaries, each of which we refer to as a TRS. In general, a TRS may engage in any real estate business and certain non-real estate businesses, subject to certain limitations under the Internal Revenue Code of 1986 (the “Code”). A TRS is subject to federal and state income taxes. The sales of condominiums at Santana Row, which began in August 2005, were conducted through a TRS. Other than the sales of these condominiums,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Change in Accounting Principle</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January 1, 2006, we accounted for stock based compensation under the recognition and measurement provisions of Accounting Principle Board Opinion (“APB”) No. 25, “Accounting for Stock Issued to Employees,” and related interpretations, as permitted by Financial Accounting Standard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 Prior to January 1, 2006, we used the Black-Scholes model to value stock options and we intend to continue to use this model to value stock options issued subsequent to January 1, 2006.</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On January 1, 2006, we recorded the cumulative effect of adopting SFAS No. 123(R). This cumulative effect resulted in decreasing accrued liabilities by $3.3 million and increasing shareholder equity by $3.3 million. These balance sheet changes related to deferred compensation on unvested shares. Under SFAS No. 123(R), deferred compensation is no longer recorded at the time unvested shares are issued. Share-based compensation expense is now recorded over the requisite service period with an offsetting credit to equity (generally additional paid-in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Subsequent to the Adoption of SFAS No. 123(R)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share-based compensation expense included in net income for the nine and three months ended September 30, 2006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Nine Months</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9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9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5"/>
        </w:trPr>
        <w:tc>
          <w:tcPr>
            <w:tcW w:w="9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2"/>
        </w:trPr>
        <w:tc>
          <w:tcPr>
            <w:tcW w:w="9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3,977</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w:t>
            </w:r>
          </w:p>
        </w:tc>
        <w:tc>
          <w:tcPr>
            <w:tcW w:w="6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Share-based compensation expensed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6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we had not adopted SFAS No. 123(R), our net income for the nine and three months ended September 30, 2006 would have excluded share-based compensation related to options of $0.8 million and $0.3 million, respectively, and included variable stock compensation related to our performance shares of $0.9 million and $0.4 million, respectively. Under SFAS No. 123(R), the compensation associated with our unvested performance shares is now fixed at their grant-date fair value. Accordingly, if we had not adopted SFAS No. 123(R), our income from continuing operations, net income, basic earnings per share and dilutive earnings per share for the nine and three months ended September 30, 2006 would not have been materially different. While there are certain differences between SFAS No. 123 and 123(R), we believe the pro forma disclosures under SFAS No. 123 presented below approximate the effect of SFAS No. 123(R) for the nine and three months ended September 30, 2005.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 for Period Prior to Adoption of SFAS No. 123(R)</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to our stock based compensation for the nine and three months ended September 30,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4"/>
          </w:tcPr>
          <w:p>
            <w:pPr>
              <w:ind w:left="560"/>
              <w:spacing w:after="0" w:line="130" w:lineRule="exact"/>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Add: stock-based employee compensation cost included in net income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employee compensation cost under the fair value method for all rewards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Pro forma net income</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78,989</w:t>
            </w:r>
          </w:p>
        </w:tc>
        <w:tc>
          <w:tcPr>
            <w:tcW w:w="34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Basic, as reported</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pro forma</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20" w:type="dxa"/>
            <w:vAlign w:val="bottom"/>
          </w:tcPr>
          <w:p>
            <w:pPr>
              <w:ind w:left="440"/>
              <w:spacing w:after="0"/>
              <w:rPr>
                <w:sz w:val="20"/>
                <w:szCs w:val="20"/>
                <w:color w:val="auto"/>
              </w:rPr>
            </w:pPr>
            <w:r>
              <w:rPr>
                <w:rFonts w:ascii="Arial" w:cs="Arial" w:eastAsia="Arial" w:hAnsi="Arial"/>
                <w:sz w:val="18"/>
                <w:szCs w:val="18"/>
                <w:color w:val="auto"/>
              </w:rPr>
              <w:t>Diluted, as reported</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pro forma</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820" w:type="dxa"/>
            <w:vAlign w:val="bottom"/>
          </w:tcPr>
          <w:p>
            <w:pPr>
              <w:ind w:left="5620"/>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70,741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62,499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25,082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62,134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53,892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16,985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85,664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70,877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22,115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52,923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52,443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53,187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dilutive (1)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52,982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53,676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operating partnership units is anti-dilutive for the periods presented. Accordingly, operating partnership units have been excluded from the weighted average common shares used to compute diluted EPS.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Supplemental Disclosures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costs incurred</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77,560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(2,377)</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75,183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Cash paid for interest</w:t>
            </w: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3"/>
            <w:vMerge w:val="continue"/>
          </w:tcPr>
          <w:p>
            <w:pPr>
              <w:spacing w:after="0"/>
              <w:rPr>
                <w:sz w:val="18"/>
                <w:szCs w:val="18"/>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65,645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59,524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for income taxes for the nine months ended September 30, 2006 includes $3.2 million related to the sales of condominiums at Santana Row which were conducted through a TRS.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an interpretation of FASB Statement No. 109, “Accounting for Income Taxes.” FIN 48 was issued to reduce the diversity in practice associated with certain aspects of recognition, disclosure and measurement related to accounting for uncertain income tax positions. We are required to adopt FIN 48 effective January 1, 2007. We are in the process of evaluating the impact of FIN 48.</w:t>
      </w:r>
    </w:p>
    <w:p>
      <w:pPr>
        <w:spacing w:after="0" w:line="14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September 2006, the Securities and Exchange Commission (SEC) issued Staff Accounting Bulletin No. 108 (“SAB 108”), “Considering the Effects of Prior Year Misstatements in Current Year Financial Statements.” SAB 108 was issued to provide consistency between how registrants quantify financial statement misstatements. Historically, there have been two widely-used methods for quantifying the effects of financial statement misstatements. These methods are commonly referred to as the “roll-over” method and the “iron curtain” method. The roll-over method quantifies the amount by which the current income statement is misstated. The iron curtain method quantifies the error as the cumulative amount by which the current year balance sheet is misstated.</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SAB 108 establishes an approach that requires quantification of financial statement misstatements based on the effects of the misstatement on each the income statement, balance sheet and the related disclosures. This approach is commonly referred to as the “dual approach.” We are required to adopt SAB 108 during the fourth quarter of 2006 in connection with the preparation of our annual financial statements for the year ending December 31, 2006. We do not expect SAB 108 to have a material impact to our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REAL ESTATE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nine months ended September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30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2720" w:type="dxa"/>
            <w:vAlign w:val="bottom"/>
          </w:tcPr>
          <w:p>
            <w:pPr>
              <w:ind w:left="1100"/>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2600" w:type="dxa"/>
            <w:vAlign w:val="bottom"/>
          </w:tcPr>
          <w:p>
            <w:pPr>
              <w:ind w:left="1000"/>
              <w:spacing w:after="0"/>
              <w:rPr>
                <w:sz w:val="20"/>
                <w:szCs w:val="20"/>
                <w:color w:val="auto"/>
              </w:rPr>
            </w:pPr>
            <w:r>
              <w:rPr>
                <w:rFonts w:ascii="Arial" w:cs="Arial" w:eastAsia="Arial" w:hAnsi="Arial"/>
                <w:sz w:val="14"/>
                <w:szCs w:val="14"/>
                <w:b w:val="1"/>
                <w:bCs w:val="1"/>
                <w:color w:val="auto"/>
              </w:rPr>
              <w:t>City, State</w:t>
            </w:r>
          </w:p>
        </w:tc>
        <w:tc>
          <w:tcPr>
            <w:tcW w:w="3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Leasable Area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Price (1)</w:t>
            </w:r>
          </w:p>
        </w:tc>
      </w:tr>
      <w:tr>
        <w:trPr>
          <w:trHeight w:val="149"/>
        </w:trPr>
        <w:tc>
          <w:tcPr>
            <w:tcW w:w="3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4900 Hampden Lane</w:t>
            </w: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Bethesda, MD</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January 27,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7770 Richmond Hwy</w:t>
            </w:r>
          </w:p>
        </w:tc>
        <w:tc>
          <w:tcPr>
            <w:tcW w:w="2900" w:type="dxa"/>
            <w:vAlign w:val="bottom"/>
            <w:gridSpan w:val="2"/>
          </w:tcPr>
          <w:p>
            <w:pPr>
              <w:ind w:left="300"/>
              <w:spacing w:after="0"/>
              <w:rPr>
                <w:sz w:val="20"/>
                <w:szCs w:val="20"/>
                <w:color w:val="auto"/>
              </w:rPr>
            </w:pPr>
            <w:r>
              <w:rPr>
                <w:rFonts w:ascii="Arial" w:cs="Arial" w:eastAsia="Arial" w:hAnsi="Arial"/>
                <w:sz w:val="18"/>
                <w:szCs w:val="18"/>
                <w:color w:val="auto"/>
              </w:rPr>
              <w:t>Alexandria, VA</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60,000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June 29,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Town Center of New Britain</w:t>
            </w: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New Britain, PA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Key Road Plaza</w:t>
            </w:r>
          </w:p>
        </w:tc>
        <w:tc>
          <w:tcPr>
            <w:tcW w:w="2900" w:type="dxa"/>
            <w:vAlign w:val="bottom"/>
            <w:gridSpan w:val="2"/>
          </w:tcPr>
          <w:p>
            <w:pPr>
              <w:ind w:left="300"/>
              <w:spacing w:after="0"/>
              <w:rPr>
                <w:sz w:val="20"/>
                <w:szCs w:val="20"/>
                <w:color w:val="auto"/>
              </w:rPr>
            </w:pPr>
            <w:r>
              <w:rPr>
                <w:rFonts w:ascii="Arial" w:cs="Arial" w:eastAsia="Arial" w:hAnsi="Arial"/>
                <w:sz w:val="18"/>
                <w:szCs w:val="18"/>
                <w:color w:val="auto"/>
              </w:rPr>
              <w:t>Keene, NH</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76,000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Riverside Plaza</w:t>
            </w: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Keene, NH</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Bath Shopping Center</w:t>
            </w:r>
          </w:p>
        </w:tc>
        <w:tc>
          <w:tcPr>
            <w:tcW w:w="2900" w:type="dxa"/>
            <w:vAlign w:val="bottom"/>
            <w:gridSpan w:val="2"/>
          </w:tcPr>
          <w:p>
            <w:pPr>
              <w:ind w:left="300"/>
              <w:spacing w:after="0"/>
              <w:rPr>
                <w:sz w:val="20"/>
                <w:szCs w:val="20"/>
                <w:color w:val="auto"/>
              </w:rPr>
            </w:pPr>
            <w:r>
              <w:rPr>
                <w:rFonts w:ascii="Arial" w:cs="Arial" w:eastAsia="Arial" w:hAnsi="Arial"/>
                <w:sz w:val="18"/>
                <w:szCs w:val="18"/>
                <w:color w:val="auto"/>
              </w:rPr>
              <w:t>Bath, ME</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101,000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22.8(3)</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Linden Square</w:t>
            </w: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Wellesley, MA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261,000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North Dartmouth</w:t>
            </w:r>
          </w:p>
        </w:tc>
        <w:tc>
          <w:tcPr>
            <w:tcW w:w="2900" w:type="dxa"/>
            <w:vAlign w:val="bottom"/>
            <w:gridSpan w:val="2"/>
          </w:tcPr>
          <w:p>
            <w:pPr>
              <w:ind w:left="300"/>
              <w:spacing w:after="0"/>
              <w:rPr>
                <w:sz w:val="20"/>
                <w:szCs w:val="20"/>
                <w:color w:val="auto"/>
              </w:rPr>
            </w:pPr>
            <w:r>
              <w:rPr>
                <w:rFonts w:ascii="Arial" w:cs="Arial" w:eastAsia="Arial" w:hAnsi="Arial"/>
                <w:sz w:val="18"/>
                <w:szCs w:val="18"/>
                <w:color w:val="auto"/>
              </w:rPr>
              <w:t>North Dartmouth, MA</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183,000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August 25,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Chelsea Commons</w:t>
            </w: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Chelsea, MA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September 13,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Rockville Town Square</w:t>
            </w:r>
          </w:p>
        </w:tc>
        <w:tc>
          <w:tcPr>
            <w:tcW w:w="2900" w:type="dxa"/>
            <w:vAlign w:val="bottom"/>
            <w:gridSpan w:val="2"/>
          </w:tcPr>
          <w:p>
            <w:pPr>
              <w:ind w:left="300"/>
              <w:spacing w:after="0"/>
              <w:rPr>
                <w:sz w:val="20"/>
                <w:szCs w:val="20"/>
                <w:color w:val="auto"/>
              </w:rPr>
            </w:pPr>
            <w:r>
              <w:rPr>
                <w:rFonts w:ascii="Arial" w:cs="Arial" w:eastAsia="Arial" w:hAnsi="Arial"/>
                <w:sz w:val="18"/>
                <w:szCs w:val="18"/>
                <w:color w:val="auto"/>
              </w:rPr>
              <w:t>Rockville, MD</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53,000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not specifically noted, the net assets acquired that were allocated to other assets for “above market leases” and liabilities for “below market leases” were not significant.</w:t>
      </w:r>
    </w:p>
    <w:p>
      <w:pPr>
        <w:ind w:left="460" w:right="2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$0.4 million and $3.9 million of the net assets acquired were allocated to other assets for “above market leases” and liabilities for “below market leases,” respectively.</w:t>
      </w: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$2.2 million of the net assets acquired were allocated to other assets for “above market leases.” Purchase price includes the assumption of debt with a fair value of approximately $11.1 million.</w:t>
      </w:r>
    </w:p>
    <w:p>
      <w:pPr>
        <w:ind w:left="460" w:right="2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$2.2 million and $1.1 million of the net assets acquired were allocated to other assets for “above market leases” and liabilities for “below market leases,” respectively.</w:t>
      </w:r>
    </w:p>
    <w:p>
      <w:pPr>
        <w:ind w:left="460" w:right="24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Approximately $2.5 million and $0.1 million of the net assets acquired were allocated to other assets for “above market leases” and liabilities for “below market leases,” respectively. Purchase price includes the assumption of debt with a fair value of approximately $8.0 million.</w:t>
      </w:r>
    </w:p>
    <w:p>
      <w:pPr>
        <w:spacing w:after="0" w:line="1"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price was for one retail condominium unit of the project. We intend to acquire additional retail condominium units totaling approximately 135,000 square feet over the next several months to complete the project.</w:t>
      </w:r>
    </w:p>
    <w:p>
      <w:pPr>
        <w:spacing w:after="0" w:line="13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October 16, 2006, we acquired the leasehold interest in Melville Mall, a 247,700 square feet shopping center located in Huntington, New York,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forgiveness of the second mortgage. As a result of these transactions, we control this property and retain substantially all of the economic benefits and risks associated with it. Accordingly, beginning October 16, 2006, we will consolidate this property and its operations.</w:t>
      </w:r>
    </w:p>
    <w:p>
      <w:pPr>
        <w:sectPr>
          <w:pgSz w:w="11900" w:h="16838" w:orient="portrait"/>
          <w:cols w:equalWidth="0" w:num="1">
            <w:col w:w="11420"/>
          </w:cols>
          <w:pgMar w:left="240" w:top="459"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31"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dispositions made by us and our consolidated affiliates during the nine months ended September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33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City, State</w:t>
            </w:r>
          </w:p>
        </w:tc>
        <w:tc>
          <w:tcPr>
            <w:tcW w:w="30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300" w:type="dxa"/>
            <w:vAlign w:val="bottom"/>
          </w:tcPr>
          <w:p>
            <w:pPr>
              <w:spacing w:after="0"/>
              <w:rPr>
                <w:sz w:val="13"/>
                <w:szCs w:val="13"/>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Sales Price</w:t>
            </w:r>
          </w:p>
        </w:tc>
        <w:tc>
          <w:tcPr>
            <w:tcW w:w="320" w:type="dxa"/>
            <w:vAlign w:val="bottom"/>
          </w:tcPr>
          <w:p>
            <w:pPr>
              <w:spacing w:after="0"/>
              <w:rPr>
                <w:sz w:val="13"/>
                <w:szCs w:val="13"/>
                <w:color w:val="auto"/>
              </w:rPr>
            </w:pPr>
          </w:p>
        </w:tc>
        <w:tc>
          <w:tcPr>
            <w:tcW w:w="620" w:type="dxa"/>
            <w:vAlign w:val="bottom"/>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49"/>
        </w:trPr>
        <w:tc>
          <w:tcPr>
            <w:tcW w:w="3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square feet)</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(In</w:t>
            </w:r>
          </w:p>
        </w:tc>
        <w:tc>
          <w:tcPr>
            <w:tcW w:w="320" w:type="dxa"/>
            <w:vAlign w:val="bottom"/>
          </w:tcPr>
          <w:p>
            <w:pPr>
              <w:spacing w:after="0"/>
              <w:rPr>
                <w:sz w:val="20"/>
                <w:szCs w:val="20"/>
                <w:color w:val="auto"/>
              </w:rPr>
            </w:pPr>
            <w:r>
              <w:rPr>
                <w:rFonts w:ascii="Arial" w:cs="Arial" w:eastAsia="Arial" w:hAnsi="Arial"/>
                <w:sz w:val="10"/>
                <w:szCs w:val="10"/>
                <w:b w:val="1"/>
                <w:bCs w:val="1"/>
                <w:color w:val="auto"/>
                <w:w w:val="72"/>
              </w:rPr>
              <w:t>millions)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3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Condominiums at Santana Row (89 units) (1)</w:t>
            </w:r>
          </w:p>
        </w:tc>
        <w:tc>
          <w:tcPr>
            <w:tcW w:w="1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San Jose, CA</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64.1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16.4(2)</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June 5, 2006</w:t>
            </w:r>
          </w:p>
        </w:tc>
        <w:tc>
          <w:tcPr>
            <w:tcW w:w="3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Greenlawn Plaza</w:t>
            </w: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w w:val="91"/>
              </w:rPr>
              <w:t>Huntington, NY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w w:val="79"/>
              </w:rPr>
              <w:t>20.4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September 30, 2006, we had sold all of the 219 condominium units we currently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of $16.4 million is net of $2.2 million in taxes.</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property was contributed to our real estate partnership in which we own a 30% interest. Accordingly, we recognized a partial gain of $7.4 million on this sale related to the 70% equity interest contributed.</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 Claims are directly charged to the reserves as they arise.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third quarter of 2006, when we closed on the sale of the last unit, we reassessed and increased our warranty reserve by $2.5 million. This increase reduced our gain on sale of condominium units. The warranty reserve is included in accounts payable and accrued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MORTGAGE NOTE RECEIVABLE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4, 2006, we amended the $17.7 million second mortgage note receivable which is secured by a hotel in San Jose, California. The amended note decreased the interest from 14% to 9% per annum, requires monthly payments of principal and interest based on a 15-year amortization schedule and matures on August 20,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REAL ESTATE PARTNERSHIP</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and Clarion both hold a 0.1% general partner interest in the Partnership, and our remaining interests in the Partnership are held in the form of limited partner interests. The Partnership plans to acquire up to $350.0 million of stabilized, supermarket-anchored shopping centers in the Trust’s East and West regions. Federal Realty and Clarion have committed to contribute to the Partnership up to $37.0 million and $86.0 million, respectively, of equity capital to acquire properties. No assurances can be made that we will identify properties that meet the acquisition requirements of the Partnership. We are the manager of the Partnership and its properties, earning fees for acquisitions, dispositions, management, leasing, and financing. We also have the opportunity to receive performance-based earnings through our Partnership interest. As of September 30, 2006, we have made total cumulative contributions of $14.4 million and received total distributions of $1.6 million. We account for our interest in the Partnership using the equity method.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42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91"/>
              </w:rPr>
              <w:t>Nine Months Ended</w:t>
            </w:r>
          </w:p>
        </w:tc>
        <w:tc>
          <w:tcPr>
            <w:tcW w:w="10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4"/>
          </w:tcPr>
          <w:p>
            <w:pPr>
              <w:jc w:val="center"/>
              <w:ind w:right="137"/>
              <w:spacing w:after="0" w:line="142" w:lineRule="exact"/>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7,489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w w:val="93"/>
              </w:rPr>
              <w:t>6,181</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3,139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w w:val="93"/>
              </w:rPr>
              <w:t>1,569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3"/>
              </w:rPr>
              <w:t>1,598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w w:val="93"/>
              </w:rPr>
              <w:t>1,849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3"/>
              </w:rPr>
              <w:t>5,016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w w:val="93"/>
              </w:rPr>
              <w:t>1,165</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349</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9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Real estate,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w w:val="98"/>
              </w:rPr>
              <w:t>124,403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2,094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130,922</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rPr>
              <w:t>77,425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6,988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Partners’ capital</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46,509</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130,922</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rPr>
              <w:t>23,228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10,581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mortgage notes totaling $36.7 million at September 30, 2006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the Partnership, which is an unconsolidated subsidiary,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30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14"/>
                <w:szCs w:val="14"/>
                <w:color w:val="auto"/>
              </w:rPr>
            </w:pPr>
          </w:p>
        </w:tc>
        <w:tc>
          <w:tcPr>
            <w:tcW w:w="2720" w:type="dxa"/>
            <w:vAlign w:val="bottom"/>
          </w:tcPr>
          <w:p>
            <w:pPr>
              <w:ind w:left="106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4"/>
              </w:rPr>
              <w:t>Leasable Areda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r>
      <w:tr>
        <w:trPr>
          <w:trHeight w:val="149"/>
        </w:trPr>
        <w:tc>
          <w:tcPr>
            <w:tcW w:w="3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(In square feet)</w:t>
            </w:r>
          </w:p>
        </w:tc>
        <w:tc>
          <w:tcPr>
            <w:tcW w:w="32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June 5, 2006</w:t>
            </w: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Greenlawn Plaza (1)</w:t>
            </w:r>
          </w:p>
        </w:tc>
        <w:tc>
          <w:tcPr>
            <w:tcW w:w="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Huntington, NY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June 8, 2006</w:t>
            </w:r>
          </w:p>
        </w:tc>
        <w:tc>
          <w:tcPr>
            <w:tcW w:w="3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Barcroft Plaza</w:t>
            </w:r>
          </w:p>
        </w:tc>
        <w:tc>
          <w:tcPr>
            <w:tcW w:w="3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Falls Church, VA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property was acquired from the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DEBT</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March 10, 2006, we repaid our 6.99% medium term notes with a principal amount of $40.5 million. These notes were repaid with funds borrowed on our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mature on January 15, 2017 and bear interest at 6.2%. Our net proceeds from these note offerings after issuance discounts and underwriting fees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$247.9 million. These proceeds, along with $2.4 million borrowed on our revolving credit facility, were used to repay all the principal of our $150.0 million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term loan due October 2008 and $100.0 million three-year term loan due October 2006 and $0.3 million of related accrued interest on July 17, 2006.</w:t>
      </w:r>
    </w:p>
    <w:p>
      <w:pPr>
        <w:spacing w:after="0" w:line="18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order to hedge our exposure to interest rate fluctuations on the $150.0 million five-year term loan due October 2008, we entered into an interest rate swap in January 2004,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$1.2 million included in accumulated other comprehensive income was recognized into earnings.</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July 28, 2006, we replaced our revolving credit facility with a new $300.0 million unsecured revolving credit facility. This new revolving credit facility matures on July 27, 2010, subject to a one-year extension at our option, and initially bears interest at LIBOR plus 42.5 basis points. The spread over LIBOR is subject to adjustment based on our credit rating.</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the acquisitions of Bath Shopping Center and Chelsea Commons on August 24, 2006 and August 25, 2006, respectively, we assumed two mortgage notes, one in connection with each property, with fair values of approximately $11.1 million and $8.0 million, respectively. The Bath Shopping Center and Chelsea Commons mortgages mature on July 1, 2028 and January 15, 2031, respectively, and bear interest at 7.13% and 5.36%, respectively. Both notes require monthly payments of principal and interest.</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24, 2006, we entered into a $150 million unsecured credit agreement (the “Bridge Loan”) bearing interest at LIBOR plus 42.5 basis points and maturing on December 29, 2006. The Bridge Loan was used to provide interim financing for the acquisition of properties and was fully repaid on September 19, 2006, using the proceeds from the issuance of common stock.</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September 28, 2006, we reopened the 6.0% and 6.2% fixed rate notes that were initially issued on July 17, 2006. We issued an additional $55.0 million of fixed rate notes, which mature on July 15, 2012 and bear interest at 6.0%, and an additional $70.0 million of fixed rate notes, which mature on January 15, 2017, and bear interest at 6.2%. The additional note issuances are fully fungible, rank equally with and form a single issue and series with the initial notes issued on July 17, 2006. Our net proceeds from September 2006 note offerings after issuance premiums, underwriting fees and accrued interest were $130.1 million. These proceeds were used to reduce the borrowings under our unsecured credit facility and for general corporate purposes.</w:t>
      </w:r>
    </w:p>
    <w:p>
      <w:pPr>
        <w:spacing w:after="0" w:line="1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During the nine and three months ended September 30, 2006, the maximum amount of borrowings outstanding under our revolving credit facility was $246.0 million and the average amount of borrowings outstanding was $107.4 million and $128.5 million, respectively. Our revolving credit facility had a weighed average interest rate, before amortization of debt fees, of 5.48% and 5.81% for the nine and three months ended September 30, 2006, respectively.</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At September 30, 2006,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one tenant related matter at Brunswick Shopping Center expected to go to trial in 2006. Based on the facts of this matter and advice from our legal counsel, we believe that we will prevail. If, however, we are unsuccessful in our defense of this matter, there is a possibility that there will be a material adverse impact on our net income.</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We have filed a motion for judgment as a matter of law or, in the alternative, for a new trial. We are also requesting that the court certify the case for immediate appeal in the event the motion for judgment as a matter of law and motion for a new trial are denied. A hearing on these motions was held in September 2006. The court has not yet ruled on either of these motions. If our motions are denied and we are not successful in having the jury verdict reversed by an immediate appeal, the case will proceed to a trial on the issue of damages which will not occur for at least nine months. The complaint did not specify the amount of damages claimed and we cannot make a reasonable estimate of potential damages until experts are retained and additional discovery is completed on the damages issue. If we are not successful in overturning the jury verdict, there likely will be a material adverse impact on our net income in the period in which we would pay the damages awarded.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September 19, 2006, we issued 2.0 million common shares at $74.51 per share (after deducting underwriting discounts and fees) netting approximately $149.2 million in cash proceeds before other expenses of the offering. The proceeds were used on an interim basis to repay debt from the acquisition of three properties in New England and for general corporate purposes. Ultimately, the proceeds will be used to redeem our currently outstanding Series B preferred shares on November 27, 2006 at a redemption price of $25.00 per share, plus accrued and unpaid dividends through the redemption date of approximately $0.16 per share, for an aggregate redemption price of approximately $25.16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5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spacing w:after="0"/>
              <w:rPr>
                <w:sz w:val="20"/>
                <w:szCs w:val="20"/>
                <w:color w:val="auto"/>
              </w:rPr>
            </w:pPr>
            <w:r>
              <w:rPr>
                <w:rFonts w:ascii="Arial" w:cs="Arial" w:eastAsia="Arial" w:hAnsi="Arial"/>
                <w:sz w:val="12"/>
                <w:szCs w:val="12"/>
                <w:b w:val="1"/>
                <w:bCs w:val="1"/>
                <w:color w:val="auto"/>
                <w:w w:val="77"/>
              </w:rPr>
              <w:t>thousands)</w:t>
            </w: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$ 1.885(1)</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$1.865(1)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$ 1.615</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$1.565</w:t>
            </w:r>
          </w:p>
        </w:tc>
        <w:tc>
          <w:tcPr>
            <w:tcW w:w="20" w:type="dxa"/>
            <w:vAlign w:val="bottom"/>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8.5% Series B Cumulative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$ 1.593</w:t>
            </w:r>
          </w:p>
        </w:tc>
        <w:tc>
          <w:tcPr>
            <w:tcW w:w="5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$1.593</w:t>
            </w:r>
          </w:p>
        </w:tc>
        <w:tc>
          <w:tcPr>
            <w:tcW w:w="5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83"/>
              </w:rPr>
              <w:t>$ 1.593</w:t>
            </w:r>
          </w:p>
        </w:tc>
        <w:tc>
          <w:tcPr>
            <w:tcW w:w="300" w:type="dxa"/>
            <w:vAlign w:val="bottom"/>
          </w:tcPr>
          <w:p>
            <w:pPr>
              <w:spacing w:after="0"/>
              <w:rPr>
                <w:sz w:val="19"/>
                <w:szCs w:val="19"/>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0"/>
              </w:rPr>
              <w:t>$1.593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regular dividend declared and paid of $1.685 and $1.665, respectively and special dividend of $0.200 resulting from the sales of condominiums at Santana Row.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0" w:type="dxa"/>
            <w:vAlign w:val="bottom"/>
            <w:gridSpan w:val="3"/>
          </w:tcPr>
          <w:p>
            <w:pPr>
              <w:jc w:val="right"/>
              <w:ind w:right="32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center"/>
              <w:ind w:right="319"/>
              <w:spacing w:after="0"/>
              <w:rPr>
                <w:sz w:val="20"/>
                <w:szCs w:val="20"/>
                <w:color w:val="auto"/>
              </w:rPr>
            </w:pPr>
            <w:r>
              <w:rPr>
                <w:rFonts w:ascii="Arial" w:cs="Arial" w:eastAsia="Arial" w:hAnsi="Arial"/>
                <w:sz w:val="12"/>
                <w:szCs w:val="12"/>
                <w:b w:val="1"/>
                <w:bCs w:val="1"/>
                <w:color w:val="auto"/>
                <w:w w:val="74"/>
              </w:rPr>
              <w:t>thousands)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4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Retail and commercial</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$ 241,944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$ 220,976</w:t>
            </w:r>
          </w:p>
        </w:tc>
        <w:tc>
          <w:tcPr>
            <w:tcW w:w="320" w:type="dxa"/>
            <w:vAlign w:val="bottom"/>
            <w:gridSpan w:val="2"/>
          </w:tcPr>
          <w:p>
            <w:pPr>
              <w:jc w:val="center"/>
              <w:ind w:left="10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82,671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Cost reimbursement</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60,926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55,812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21,213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4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$ 290,317</w:t>
            </w:r>
          </w:p>
        </w:tc>
        <w:tc>
          <w:tcPr>
            <w:tcW w:w="320" w:type="dxa"/>
            <w:vAlign w:val="bottom"/>
            <w:gridSpan w:val="2"/>
            <w:shd w:val="clear" w:color="auto" w:fill="CCEEFF"/>
          </w:tcPr>
          <w:p>
            <w:pPr>
              <w:jc w:val="center"/>
              <w:ind w:left="10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110,511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280" w:type="dxa"/>
            <w:vAlign w:val="bottom"/>
            <w:vMerge w:val="restart"/>
          </w:tcPr>
          <w:p>
            <w:pPr>
              <w:jc w:val="right"/>
              <w:ind w:right="2212"/>
              <w:spacing w:after="0"/>
              <w:rPr>
                <w:sz w:val="20"/>
                <w:szCs w:val="20"/>
                <w:color w:val="auto"/>
              </w:rPr>
            </w:pPr>
            <w:r>
              <w:rPr>
                <w:rFonts w:ascii="Arial" w:cs="Arial" w:eastAsia="Arial" w:hAnsi="Arial"/>
                <w:sz w:val="18"/>
                <w:szCs w:val="18"/>
                <w:color w:val="auto"/>
              </w:rPr>
              <w:t>16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Minimum rents include $4.8 million and $4.4 million for the nine months ended September 30, 2006 and 2005, respectively, and $1.6 million and $1.2 million for the three months ended September 30, 2006 and 2005, respectively, to recognize minimum rents on a straight-line basis. In addition, minimum rents include $1.6 million and $1.2 million for the nine months ended September 30, 2006 and 2005, respectively, and $0.6 million and $0.4 million for the three months ended September 30, 2006 and 2005, respectively, to recognize income from the amortization of in-place leases in accordance with SFAS No. 141. Residential minimum rents consist of the entire rental amounts at Rollingwood Apartments, the Crest at Congressional Plaza Apartments and residential units at Santana Row excluding those units sold as condominiums and included in discontinued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SHARE-BASED COMPENSATION PLANS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September 30, 2006, we have grants outstanding under two share-based compensation plans. Our 1993 Long Term Incentive Plan (‘the 1993 Plan”) authorized the grant of share options, common shares and other share-based awards for up to 5.5 million shares of common stock. The 1993 Plan expired in May 2003. In May 2001, our shareholders approved our 2001 Long Term Incentive Plan (“the 2001 Plan”) which authorized the grant of an additional 1,750,000 shares for share options, common shares and other share-based awards.</w:t>
      </w:r>
    </w:p>
    <w:p>
      <w:pPr>
        <w:spacing w:after="0" w:line="14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Option awards under the 2001 Plan and the 1993 Plan are required to have an exercise price at least equal to the closing trading price of our common shares on the date of grant. Options and share awards under these plans 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w:t>
      </w:r>
    </w:p>
    <w:p>
      <w:pPr>
        <w:spacing w:after="0" w:line="11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September 30, 2006</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240" w:type="dxa"/>
            <w:vAlign w:val="bottom"/>
            <w:gridSpan w:val="4"/>
          </w:tcPr>
          <w:p>
            <w:pPr>
              <w:spacing w:after="0"/>
              <w:rPr>
                <w:sz w:val="20"/>
                <w:szCs w:val="20"/>
                <w:color w:val="auto"/>
              </w:rPr>
            </w:pPr>
            <w:r>
              <w:rPr>
                <w:rFonts w:ascii="Arial" w:cs="Arial" w:eastAsia="Arial" w:hAnsi="Arial"/>
                <w:sz w:val="18"/>
                <w:szCs w:val="18"/>
                <w:color w:val="auto"/>
                <w:w w:val="98"/>
              </w:rPr>
              <w:t>The following table provides a summary of option activity for the nine months ended September 30, 2006: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Under</w:t>
            </w: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958,455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340,114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68.06</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(233,038)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Forfeited or expired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(137,835)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35.46</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927,696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455,926</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25.76</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weighted-average grant-date fair value of options granted during the nine months ended September 30, 2006 was $7.84 per share. The total intrinsic value of options exercised during the nine months ended September 30, 2006 was $9.3 million. The total cash received from options exercised during the nine months ended September 30, 2006 was $7.6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share activity for the nine months ended September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227,407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82,749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(100,848)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2006</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208,917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vesting-date fair value of shares vested during the nine months ended September 30, 2006 was $6.8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2006, there was $9.9 million of total unrecognized compensation cost related to unvested share-based compensation arrangements (i.e.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options and unvested shares) granted under our plans. This cost is expected to be recognized over the next 4.4 years with a weighted-average period of 1.2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rPr>
              <w:t>Nine Months Ended September 30, 2006</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249,111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71,898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(19,371)</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(21,353)</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Income from continuing operations and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135,800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28,893</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(90,469)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28,893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(70,422)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 assets at end of period</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vMerge w:val="continue"/>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1,629,636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875,512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134,974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2,640,122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rPr>
              <w:t>Nine Months Ended September 30, 2005</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229,221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61,096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(18,910)</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43,765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(18,087)</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(65,554)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121,382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(80,605)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121,382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(67,623)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1,348,641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879,588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2,303,072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0" w:type="dxa"/>
            <w:vAlign w:val="bottom"/>
            <w:vMerge w:val="restart"/>
          </w:tcPr>
          <w:p>
            <w:pPr>
              <w:jc w:val="right"/>
              <w:ind w:right="167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rPr>
              <w:t>Three Months Ended September 30, 2006</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24,069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Rental expenses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(20,826)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21"/>
        </w:trPr>
        <w:tc>
          <w:tcPr>
            <w:tcW w:w="50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(26,149)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440"/>
              <w:spacing w:after="0"/>
              <w:rPr>
                <w:sz w:val="20"/>
                <w:szCs w:val="20"/>
                <w:color w:val="auto"/>
              </w:rPr>
            </w:pPr>
            <w:r>
              <w:rPr>
                <w:rFonts w:ascii="Arial" w:cs="Arial" w:eastAsia="Arial" w:hAnsi="Arial"/>
                <w:sz w:val="18"/>
                <w:szCs w:val="18"/>
                <w:color w:val="auto"/>
              </w:rPr>
              <w:t>Income from continuing operations and minority interests</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9,604</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(31,299)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47,863</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9,604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(32,483)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1,629,636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875,512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134,974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2,640,122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2005</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20,495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Rental expenses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(19,746)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1"/>
        </w:trPr>
        <w:tc>
          <w:tcPr>
            <w:tcW w:w="50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(22,093)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real estate partnership</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8"/>
                <w:szCs w:val="18"/>
                <w:color w:val="auto"/>
              </w:rPr>
              <w:t>Income from continuing operations and minority interests</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(26,105)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39,771</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8,805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(17,896)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1,348,641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879,588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2,303,072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500" w:type="dxa"/>
            <w:vAlign w:val="bottom"/>
            <w:vMerge w:val="restart"/>
          </w:tcPr>
          <w:p>
            <w:pPr>
              <w:jc w:val="right"/>
              <w:ind w:right="167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2005 filed with the Securities and Exchange Commission on March 3, 2006 and amended on March 10, 2006.</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2005, as amended,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an equity real estate investment trust (“REIT”) specializing in the ownership, management, development and redevelopment of high quality retail and mixed-use properties. As of September 30, 2006, we owned or had a majority interest in 111 community and neighborhood shopping centers and mixed-use properties comprising approximately 18.6 million square feet, located primarily in densely populated, affluent communities with relatively high barriers to entry throughout the Northeast and Mid-Atlantic United States, as well as in California, and one apartment complex in Maryland. In total, the 111 commercial properties were 97.3% leased at September 30, 2006. A joint venture in which we own a 30% interest owned six neighborhood shopping centers totaling approximately 0.7 million square feet as of September 30, 2006. In total, the joint venture properties in which we own an interest were 98.1% leased at September 30, 2006. We have paid quarterly dividends to our shareholders continuously since our founding in 1962 and have increased our dividends per common share for 39 consecutive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nine months ended September 30,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Purchase</w:t>
            </w:r>
          </w:p>
        </w:tc>
      </w:tr>
      <w:tr>
        <w:trPr>
          <w:trHeight w:val="168"/>
        </w:trPr>
        <w:tc>
          <w:tcPr>
            <w:tcW w:w="304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2720" w:type="dxa"/>
            <w:vAlign w:val="bottom"/>
          </w:tcPr>
          <w:p>
            <w:pPr>
              <w:ind w:left="1100"/>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2640" w:type="dxa"/>
            <w:vAlign w:val="bottom"/>
          </w:tcPr>
          <w:p>
            <w:pPr>
              <w:ind w:left="1020"/>
              <w:spacing w:after="0"/>
              <w:rPr>
                <w:sz w:val="20"/>
                <w:szCs w:val="20"/>
                <w:color w:val="auto"/>
              </w:rPr>
            </w:pPr>
            <w:r>
              <w:rPr>
                <w:rFonts w:ascii="Arial" w:cs="Arial" w:eastAsia="Arial" w:hAnsi="Arial"/>
                <w:sz w:val="14"/>
                <w:szCs w:val="14"/>
                <w:b w:val="1"/>
                <w:bCs w:val="1"/>
                <w:color w:val="auto"/>
              </w:rPr>
              <w:t>City, State</w:t>
            </w:r>
          </w:p>
        </w:tc>
        <w:tc>
          <w:tcPr>
            <w:tcW w:w="3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Leasable Area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Price (1)</w:t>
            </w:r>
          </w:p>
        </w:tc>
      </w:tr>
      <w:tr>
        <w:trPr>
          <w:trHeight w:val="149"/>
        </w:trPr>
        <w:tc>
          <w:tcPr>
            <w:tcW w:w="3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12"/>
                <w:szCs w:val="1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4900 Hampden Lane</w:t>
            </w: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Bethesda, MD</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January 27,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7770 Richmond Hwy</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Alexandria, VA</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60,000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June 29,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Town Center of New Britain</w:t>
            </w: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New Britain, PA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Key Road Plaza</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Keene, NH</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76,000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Riverside Plaza</w:t>
            </w: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Keene, NH</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Bath Shopping Center</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Bath, ME</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101,000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22.8(3)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Linden Square</w:t>
            </w: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Wellesley, MA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261,000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August 24,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North Dartmouth</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North Dartmouth, MA</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183,000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August 25, 2006</w:t>
            </w: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Chelsea Commons</w:t>
            </w: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Chelsea, MA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September 13, 2006</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Rockville Town Square</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Rockville, MD</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53,000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not specifically noted, the net assets acquired that were allocated to other assets for “above market leases” and liabilities for “below market leases” were not significant.</w:t>
      </w:r>
    </w:p>
    <w:p>
      <w:pPr>
        <w:ind w:left="460" w:right="2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$0.4 million and $3.9 million of the net assets acquired were allocated to other assets for “above market leases” and liabilities for “below market leases,” respectively.</w:t>
      </w: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$2.2 million of the net assets acquired were allocated to other assets for “above market leases.” Purchase price includes the assumption of debt with a fair value of approximately $11.1 million.</w:t>
      </w:r>
    </w:p>
    <w:p>
      <w:pPr>
        <w:ind w:left="460" w:right="2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$2.2 million and $1.1 million of the net assets acquired were allocated to other assets for “above market leases” and liabilities for “below market leases,”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Approximately $2.5 million and $0.1 million of the net assets acquired were allocated to other assets for “above market leases” and liabilities for “below market leases,” respectively. Purchase price includes the assumption of debt with a fair value of approximately $8.0 million.</w:t>
      </w:r>
    </w:p>
    <w:p>
      <w:pPr>
        <w:ind w:lef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price was for one retail condominium unit of the project. We intend to acquire additional retail condominium units totaling approximately 135,000 square feet over the next several months to complete the project.</w:t>
      </w:r>
    </w:p>
    <w:p>
      <w:pPr>
        <w:spacing w:after="0" w:line="13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October 16, 2006, we acquired the leasehold interest in Melville Mall, a 247,700 square feet shopping center located in Huntington, New York,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forgiveness of the second mortgage. As a result of these transactions, we control this property and retain substantially all of the economic benefits and risks associated with it. Accordingly, beginning October 16, 2006, we will consolidate this property and its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our unconsolidated real estate partnership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5"/>
              </w:rPr>
              <w:t>Purchase</w:t>
            </w:r>
          </w:p>
        </w:tc>
      </w:tr>
      <w:tr>
        <w:trPr>
          <w:trHeight w:val="168"/>
        </w:trPr>
        <w:tc>
          <w:tcPr>
            <w:tcW w:w="25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3620" w:type="dxa"/>
            <w:vAlign w:val="bottom"/>
          </w:tcPr>
          <w:p>
            <w:pPr>
              <w:ind w:left="156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Arial" w:cs="Arial" w:eastAsia="Arial" w:hAnsi="Arial"/>
                <w:sz w:val="14"/>
                <w:szCs w:val="14"/>
                <w:b w:val="1"/>
                <w:bCs w:val="1"/>
                <w:color w:val="auto"/>
              </w:rPr>
              <w:t>City, State</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7"/>
              </w:rPr>
              <w:t>Price</w:t>
            </w:r>
          </w:p>
        </w:tc>
      </w:tr>
      <w:tr>
        <w:trPr>
          <w:trHeight w:val="149"/>
        </w:trPr>
        <w:tc>
          <w:tcPr>
            <w:tcW w:w="2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1100" w:type="dxa"/>
            <w:vAlign w:val="bottom"/>
          </w:tcPr>
          <w:p>
            <w:pPr>
              <w:spacing w:after="0"/>
              <w:rPr>
                <w:sz w:val="12"/>
                <w:szCs w:val="1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June 5, 2006</w:t>
            </w: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Greenlawn Plaza (1)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Huntington, NY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20.4</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June 8, 2006</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Barcroft Plaza</w:t>
            </w:r>
          </w:p>
        </w:tc>
        <w:tc>
          <w:tcPr>
            <w:tcW w:w="26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Falls Church, VA</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100"/>
              <w:spacing w:after="0"/>
              <w:rPr>
                <w:sz w:val="20"/>
                <w:szCs w:val="20"/>
                <w:color w:val="auto"/>
              </w:rPr>
            </w:pPr>
            <w:r>
              <w:rPr>
                <w:rFonts w:ascii="Arial" w:cs="Arial" w:eastAsia="Arial" w:hAnsi="Arial"/>
                <w:sz w:val="18"/>
                <w:szCs w:val="18"/>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74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property was acquired from the Trust.</w:t>
      </w:r>
    </w:p>
    <w:p>
      <w:pPr>
        <w:spacing w:after="0" w:line="21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following table provides a summary of significant dispositions made by us and our consolidated affiliates during the nine months ended September 30,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36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4"/>
                <w:szCs w:val="14"/>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City, State</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Leasable Area</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Sales Price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44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 square feet)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Condominiums at Santana Row (89 units) (1)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San Jose, CA</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16.4(2)</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June 5, 2006</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Greenlawn Plaza</w:t>
            </w:r>
          </w:p>
        </w:tc>
        <w:tc>
          <w:tcPr>
            <w:tcW w:w="26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Huntington, NY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28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September 30, 2006, we had sold all of the 219 condominium units we currently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of $16.4 million is net of $2.2 million in taxes.</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property was contributed to our real estate partnership in which we own a 30% interest. Accordingly, we recognized a partial gain of $7.4 million on this sale related to the 70% equity interest contributed.</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 Claims are directly charged to the reserves as they arise.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third quarter of 2006, when we closed on the sale of the last unit, we reassessed and increased our warranty reserve by $2.5 million. This increase reduced our gain on sale of condominium units. The warranty reserve is included in accounts payable and accrued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Significant Debt, Equity and Other Transactions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March 10, 2006, we repaid our 6.99% medium term notes with a principal amount of $40.5 million. These notes were repaid with funds borrowed on our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July 17, 2006 we issued $120.0 million of fixed rate notes, which mature on July 15, 2012 and bear interest at 6.0%, and $130.0 million of fixed rate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mature on January 15, 2017 and bear interest at 6.2%. Our net proceeds from these note offerings after issuance discounts and underwriting fees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$247.9 million. These proceeds, along with $2.4 million borrowed on our revolving credit facility, were used to repay all the principal of our $150.0 million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term loan due October 2008 and $100.0 million three-year term loan due October 2006 and $0.3 million of related accrued interest on July 17, 2006.</w:t>
      </w:r>
    </w:p>
    <w:p>
      <w:pPr>
        <w:spacing w:after="0" w:line="18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order to hedge our exposure to interest rate fluctuations on the $150.0 million five-year term loan due October 2008, we entered into an interest rate swap in January 2004, which fixed the LIBOR portion of the interest rate on this term loan at 2.401% through October 8, 2006. The full notional amount of this swap qualified as a cash flow hedge until we repaid this term loan on July 17, 2006. On July 17, 2006, we did not redesignate this swap and the related $1.2 million included in accumulated other comprehensive income was recognized into earnings.</w:t>
      </w:r>
    </w:p>
    <w:p>
      <w:pPr>
        <w:spacing w:after="0" w:line="113"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On July 28, 2006, we replaced our existing revolving credit facility with a new $300.0 million unsecured revolving credit facility. The new revolving credit facility matures on July 27, 2010, subject to a one-year extension at our option, and initially bears interest at LIBOR plus 42.5 basis points. The spread over LIBOR is subject to adjustment based on our credit rating.</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4, 2006, we amended the $17.7 million second mortgage note receivable which is secured by a hotel in San Jose, California. The amended note decreased the interest from 14% to 9% per annum, requires monthly payments of principal and interest based on a 15-year amortization schedule and matures on August 20, 2016.</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connection with the acquisitions of Bath Shopping Center and Chelsea Commons on August 24, 2006 and August 25, 2006, respectively, we assumed two mortgage notes, one in connection with each property, with fair values of approximately $11.1 million and $8.0 million, respectively. The Bath Shopping Center and Chelsea Commons mortgages mature on July 1, 2028 and January 15, 2031, respectively, and bear interest at 7.13% and 5.36%, respectively. Both notes require monthly payments of principal and interest.</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24, 2006, we entered into a $150 million unsecured credit agreement (the “Bridge Loan”) bearing interest at LIBOR plus 42.5 basis points and maturing on December 29, 2006. The Bridge Loan was used to provide interim financing for the acquisition of properties and was fully repaid on September 19, 2006, using the proceeds from the issuance of common stock.</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September 19, 2006, we issued 2.0 million common shares at $74.51 per share (after deducting underwriting discounts and fees) netting approximately $149.2 million in cash proceeds before other expenses of the offering. The proceeds were used on an interim basis to repay debt from the acquisition of three properties in New England and for general corporate purposes. Ultimately, the proceeds will be used to redeem our currently outstanding Series B preferred shares on November 27, 2006 at a redemption price of $25.00 per share, plus accrued and unpaid dividends through the redemption date of approximately $0.16 per share, for an aggregate redemption price of approximately $25.16 per share.</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September 28, 2006, we reopened the 6.0% and 6.2% fixed rate notes that were initially issued on July 17, 2006. We issued an additional $55.0 million of fixed rate notes, which mature on July 15, 2012 and bear interest at 6.0%, and an additional $70.0 million of fixed rate notes, which mature on January 15, 2017, and bear interest at 6.2%. The additional note issuances are fully fungible, rank equally with and form a single issue and series with the initial notes issued on July 17, 2006. Our net proceeds from the September 2006 note offerings after issuance premiums, underwriting fees and accrued interest were $130.1 million. These proceeds were used to reduce the borrowings under our unsecured credit facility and for general corporate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2006 income from continuing operations to grow in comparison to our 2005 income from continuing operations. We expect this income growth primarily to be generated by a combination of the following:</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2, 2006, we announced a regular quarterly cash dividend of $0.575 per share on our common shares, resulting in an indicated annual rate of $2.30 per share, an increase of $0.08 annually. The regular common dividend was payable on October 16, 2006, to common shareholders of record as of September 22, 2006.</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as leases on these spaces expire. In 2006 and 2007, we anticipate that tenants with leases for over 700,000 square feet of retail space that has been under redevelopment will begin paying rent. As redevelopment properties are completed, spaces that were out of service begin generating revenue; in addition, spaces that were not out of service and that have expiring leases may generate higher revenue because we generally receive higher rent on new leases. For example, many of the leases with rents commencing in 2006 were signed in 2005 or earlier, and leases signed in 2004, 2005 and year-to-date 2006 on spaces for which there was a previous tenant have on average been renewed at double digit base rent increases. On spaces where the tenant leases are expiring later in 2006, our analysis of current market rents as compared to rents on the existing leases leads us to expect that the base rents in new leases will have double-digit weighted average increases over the base rents currently in place.</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At September 30, 2006 the leasable square feet in our shopping centers was 95.6% occupied and 97.3% leased. The leased rate is higher than the occupied rate due to spaces that are being redeveloped or improved or that are awaiting permits and, therefore, are not yet ready to be occupied. We believe that our occupancy rate will decrease somewhat over the next four quarters as we seek to re-lease up to 107,000 square feet of space that we anticipate becoming vacant due to the Chapter 7 liquidation of Tower Records and Storehouse Furniture. Our occupancy and leased rates are subject to variability over time due to acquisitions and the timing of the start and stabilization of our redevelopment projects.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90"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Santana Row, located in San Jose, California, includes approximately 563,000 square feet of retail space, 295 residential rental units, and a ground lease to a 213-room hotel. The 295 residential units include 259 residential units delivered in 2005 and 2006 plus 36 pre-existing residential units. The 295 residential rental units do not include 219 units that have been sold as condominiums. Our total investment in Santana Row, excluding future phases, is anticipated to be approximately $435 million (which includes the 563,000 square feet of retail space, the 295 residential rental units, the related common areas and infrastructure and $13 million invested in restaurant ventures) net of insurance proceeds received related to the 2002 fire and proceeds from the sale of the 219 residential units.</w:t>
      </w:r>
    </w:p>
    <w:p>
      <w:pPr>
        <w:spacing w:after="0" w:line="10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We are developing a master plan for the remaining parcels at Santana Row which comprise approximately 13.4 acres of land. Our remaining entitlements consist of approximately 120,000 square feet of retail space, 687 residential units and a 191-room hotel. We are evaluating the feasibility of utilizing these entitlements in future development at Santana Row but there is no guaranty that we will ultimately pursue or complete any part of the development of the remaining parcels.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anticipate growth in earnings in 2006 from acquisitions of neighborhood and community shopping centers in our primary markets in the East and West regions, as well as a reduction in earnings from selective dispositions. Any growth in earnings from acquisitions is contingent, however, on our potential ability to find properties that meet our qualitative standards at prices that meet our financial hurdles. Changes in interest rates may also affect our success in achieving growth through acquisitions by affecting both the price that must be paid to acquire a property, as well as our ability to economically finance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NINE MONTHS ENDED SEPTEMBER 30, 2006 AND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(Dollar amounts</w:t>
            </w:r>
          </w:p>
        </w:tc>
        <w:tc>
          <w:tcPr>
            <w:tcW w:w="2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in</w:t>
            </w:r>
          </w:p>
        </w:tc>
        <w:tc>
          <w:tcPr>
            <w:tcW w:w="640" w:type="dxa"/>
            <w:vAlign w:val="bottom"/>
          </w:tcPr>
          <w:p>
            <w:pPr>
              <w:jc w:val="right"/>
              <w:ind w:right="15"/>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321,009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5"/>
              </w:rPr>
              <w:t>290,317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$ 30,692</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6,406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792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330,530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300,763</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29,767</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62,190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28,241</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90,431</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792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234,589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210,332</w:t>
            </w:r>
          </w:p>
        </w:tc>
        <w:tc>
          <w:tcPr>
            <w:tcW w:w="640" w:type="dxa"/>
            <w:vAlign w:val="bottom"/>
          </w:tcPr>
          <w:p>
            <w:pPr>
              <w:jc w:val="right"/>
              <w:spacing w:after="0"/>
              <w:rPr>
                <w:sz w:val="20"/>
                <w:szCs w:val="20"/>
                <w:color w:val="auto"/>
              </w:rPr>
            </w:pPr>
            <w:r>
              <w:rPr>
                <w:rFonts w:ascii="Arial" w:cs="Arial" w:eastAsia="Arial" w:hAnsi="Arial"/>
                <w:sz w:val="18"/>
                <w:szCs w:val="18"/>
                <w:color w:val="auto"/>
              </w:rPr>
              <w:t>24,257</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349</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(75,183)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8"/>
              </w:rPr>
              <w:t>(65,554)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(15,747)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w w:val="98"/>
              </w:rPr>
              <w:t>(14,441)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(72,056)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8"/>
              </w:rPr>
              <w:t>(66,130)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230"/>
        </w:trPr>
        <w:tc>
          <w:tcPr>
            <w:tcW w:w="7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(160,365)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(143,830)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(16,535)</w:t>
            </w: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66,502</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rPr>
              <w:t>(4,003)</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-13.0%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94,271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79,484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$ 14,787</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 Santana Row is considered under development in both 2006 and 2005 and as such is excluded from same-center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Total property revenue increased $29.8 million, or 9.9%, to $330.5 million in the nine months ended September 30, 2006 compared to $300.8 million in the nine months ended September 30, 2005. The percentage leased at our shopping centers increased to 97.3% at September 30, 2006 compared to 95.5% at September 30, 2005 due primarily to new leases signed at existing properties. Changes in the components of property revenue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Rental income consists primarily of minimum rent, cost recoveries from tenants, and percentage rent. Rental income increased $30.7 million, or 10.6%, to $321.0 million in the nine months ended September 30, 2006 compared to $290.3 million in the nine months ended September 30, 2005, due primarily to the following:</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$11.3 million attributable to properties acquired in 2006 and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$8.7 million at same-center properties due to increased rental rates on new leases and increased occupancy,</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$5.8 million at Santana Row due primarily to leasing newly constructed residential rental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$4.7 million at redevelopment properties due to increased occupancy and increased rental rates on new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property income decreased $0.7 million, or 10.3%, to $5.7 million in the nine months ended September 30, 2006 compared to $6.4 million in the nine months ended September 30, 2005. Included in other property income are items which, although recurring, tend to fluctuate more than rental income from period to period, such as lease termination fees. During the nine months ended September 30, 2006, there was a decrease of $1.3 million in lease termination fees partially offset by a $0.6 million increase in income from restaurant partnerships.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Mortgage interest income decreased $0.3 million, or 6.5%, to $3.8 million in the nine months ended September 30, 2006 compared to $4.0 million in the nine months ended September 30, 2005. The decrease is primarily due to an amendment to the $17.7 million mortgage note receivable secured by a hotel in San Jose, California which was executed on August 4, 2006 and decreased the interest rate from 14% per annum to 9% per annum.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property operating expenses increased $5.5 million, or 6.1%, to $95.9 million in the nine months ended September 30, 2006 compared to $90.4 million in the nine months ended September 30, 2005.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Rental expenses increased $1.0 million, or 1.6%, to $63.2 million in the nine months ended September 30, 2006 compared to $62.2 million in the nine months ended September 30, 2005. This increase is due primarily to the following:</w:t>
      </w:r>
    </w:p>
    <w:p>
      <w:pPr>
        <w:spacing w:after="0" w:line="51" w:lineRule="exact"/>
        <w:rPr>
          <w:sz w:val="20"/>
          <w:szCs w:val="20"/>
          <w:color w:val="auto"/>
        </w:rPr>
      </w:pPr>
    </w:p>
    <w:p>
      <w:pPr>
        <w:ind w:left="780" w:right="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$2.1 million at Santana Row due primarily to higher repair and maintenance expenses and common area costs associated with the newly constructed residential rental units placed into service,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$2.1 million, attributable to properties acquired in 2006 and 2005,</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$1.8 million due to lower snow removal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$0.7 million due to lower insurance costs.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19.3% in the nine months ended September 30, 2006 from 21.0% in the nine months ended September 30, 2005.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Real estate tax expense increased $4.5 million, or 16.1%, to $32.8 million in the nine months ended September 30, 2006 compared to $28.2 million in the nine months ended September 30, 2005. This increase is due to the following:</w:t>
      </w:r>
    </w:p>
    <w:p>
      <w:pPr>
        <w:spacing w:after="0" w:line="51" w:lineRule="exact"/>
        <w:rPr>
          <w:sz w:val="20"/>
          <w:szCs w:val="20"/>
          <w:color w:val="auto"/>
        </w:rPr>
      </w:pPr>
    </w:p>
    <w:p>
      <w:pPr>
        <w:ind w:left="780" w:right="160" w:hanging="326"/>
        <w:spacing w:after="0" w:line="298"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$1.8 million at Santana Row due primarily to a change in estimated real estate taxes recorded in June 2005. This change in estimate resulted from receiving final real estate tax assessments that decreased our real estate taxes for retail real estate and increased our real estate taxes for residential units at Santana Row by $1.1 million in 2005. The related residential units impacted by this change in estimate are being sold as condominiums and therefore, the increase in residential real estate taxes is included in discontinued operations as discussed below;</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$1.4 million, attributable to properties acquired in 2006 and 2005,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$1.2 million, due to higher assessments at same-center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Property operating income increased $24.3 million, or 11.5%, to $234.6 million in the nine months ended September 30, 2006 compared to $210.3 million in the nine months ended September 30,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2005 and 2006,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 Santana Row.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Interest expense increased $9.6 million, or 14.7%, to $75.2 million in the nine months ended September 30, 2006 compared to $65.6 million in the nine months ended September 30, 2005. This increase is primarily due to the following:</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$4.3 million due to higher borrowings to finance our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$2.2 million due to higher interest rates on certain borrowings,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$2.0 million due to a decrease in capitalized interest,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less than $1.0 million due to an increase in participation on capital leases.</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Gross interest costs were $77.6 million and $70.0 million in the nine months ended September 30, 2006 and 2005, respectively. Capitalized interest amounted to $2.4 million and $4.4 million in the nine months ended September 30, 2006 and September 30, 2005, respectively. Capitalized interest decreased due primarily to placing the newly constructed residential rental units at Santana Row and retail development at Assembly Square into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General and administrative expense increased $1.3 million, or 9.0%, to $15.7 million in the nine months ended September 30, 2006 compared to $14.4 million in the nine months ended September 30, 2005. This is primarily due to an increase in wages and bonuses, and increased grant expense under SFAS No. 123(R) being partially offset by an increase in wages, bonuses and grant expense capitalized as a result of increased leasing and redevelopment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Depreciation and amortization expense increased $5.9 million, or 9.0%, to $72.1 million in the nine months ended September 30, 2006 from $66.1 million in the nine months ended September 30, 2005. This increase is due primarily to depreciation on acquired properties, improvements at same-center properties, and placing into service the newly constructed residential rental units at Santana Row, located in California, and retail development at Assembly Square, located in New England.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to minority partners decreased $0.5 million, or 13.0% to $3.5 million in the nine months ended September 30, 2006 from $4.0 million in the nine months ended September 30, 2005. This decrease is due primarily to a decrease in the interest held by minority partners partially offset by an increase in earnings at properties held in non-wholly owned partnerships.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Loss from discontinued operations represents the operating loss of properties that have been disposed, which is required to be reported separately from results of ongoing operations. The reported operating loss of $0.3 million and $0.4 million in the nine months ended September 30, 2006 and 2005, respectively, represent the operating loss for the period during which we owned properties sold in 2006 and 2005. The loss for 2005 includes an unfavorable change in estimated real estate taxes recorded in June 2005 for the residential units sold as condominiums at Santana Row. This change in estimate resulted from receiving final real estate tax assessments for the condominiums sold at Santana Row that were greater than our estimated accrual.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gain on sale of real estate in 2006 increased $6.5 million to $23.9 million in the nine months ended September 30, 2006 compared to $17.3 million in the nine months ended September 30, 2005. All of the properties sold in the nine months ended September 30, 2006 (Greenlawn Plaza and condominiums at Santana Row) and the nine months ended September 30, 2005 (properties in Tempe, Arizona; Winter Park, Florida; Carver, Massachusetts and condominiums at Santana Row) resulted in gains.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 Claims are directly charged to the reserves as they arise.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third quarter of 2006, when we closed on the sale of the last unit, we reassessed and increased our warranty reserve by $2.5 million. This increase reduced our gain on sale of condominium units. The warranty reserve is included in accounts payable and accrued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following table provides selected key segment data for the nine months ended September 30, 2006 and 2005.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6"/>
              </w:rPr>
              <w:t>Nine Months Ended September 30,</w:t>
            </w:r>
          </w:p>
        </w:tc>
      </w:tr>
      <w:tr>
        <w:trPr>
          <w:trHeight w:val="142"/>
        </w:trPr>
        <w:tc>
          <w:tcPr>
            <w:tcW w:w="8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7"/>
              </w:rPr>
              <w:t>thousands)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52"/>
              <w:spacing w:after="0"/>
              <w:rPr>
                <w:sz w:val="20"/>
                <w:szCs w:val="20"/>
                <w:color w:val="auto"/>
              </w:rPr>
            </w:pPr>
            <w:r>
              <w:rPr>
                <w:rFonts w:ascii="Arial" w:cs="Arial" w:eastAsia="Arial" w:hAnsi="Arial"/>
                <w:sz w:val="18"/>
                <w:szCs w:val="18"/>
                <w:color w:val="auto"/>
              </w:rPr>
              <w:t>249,111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229,221</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254,520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234,053</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184,452</w:t>
            </w:r>
          </w:p>
        </w:tc>
        <w:tc>
          <w:tcPr>
            <w:tcW w:w="3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166,567</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1,629,636</w:t>
            </w:r>
          </w:p>
        </w:tc>
        <w:tc>
          <w:tcPr>
            <w:tcW w:w="3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1,348,641</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61,096</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76,010</w:t>
            </w:r>
          </w:p>
        </w:tc>
        <w:tc>
          <w:tcPr>
            <w:tcW w:w="3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66,710</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43,765</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tcPr>
          <w:p>
            <w:pPr>
              <w:spacing w:after="0"/>
              <w:rPr>
                <w:sz w:val="18"/>
                <w:szCs w:val="18"/>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875,512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879,588</w:t>
            </w:r>
          </w:p>
        </w:tc>
      </w:tr>
      <w:tr>
        <w:trPr>
          <w:trHeight w:val="222"/>
        </w:trPr>
        <w:tc>
          <w:tcPr>
            <w:tcW w:w="898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 This region also includes several properties in Illinois and Michigan. As of September 30, 2006, the East region consisted of 78 properties and was 97.8% leased.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Rental income for the East region increased $19.9 million to $249.1 million in the nine months ended September 30, 2006 compared to $229.2 million in the nine months ended September 30, 2005 due primarily to the following:</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$6.9 million at same-center properties due primarily to increased rental rates on new leases and increased occupancy,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5.6 million at redevelopment properties due primarily to increased occupancy and increased rental rates on new leases,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$4.2 million at Assembly Square due primarily to increased occupancy,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$3.2 million attributable to properties acquired in 2005 and 2006.</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Property operating income for the East region increased $17.9 million due primarily to the increase in rental income discussed above partially offset by a $2.1 million increase in real estate tax expense due primarily to acquisitions and higher assessments on our same-center and redevelopment properties. As a result of these changes, the ratio of property operating income to total revenue for the East region improved to 72.5% in the nine months ended September 30, 2006 from 71.2% in the nine months ended September 30,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West region extends from Texas to the West Coast. As of September 30, 2006, the West region consisted of 34 properties, including Santana Row, and was 94.2% leased.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West region increased $10.8 million to $71.9 million in the nine months ended September 30, 2006 from $61.1 million in the nine months ended September 30, 2005 due primarily to the following:</w:t>
      </w:r>
    </w:p>
    <w:p>
      <w:pPr>
        <w:spacing w:after="0" w:line="51" w:lineRule="exact"/>
        <w:rPr>
          <w:sz w:val="20"/>
          <w:szCs w:val="20"/>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$5.8 million at Santana Row due primarily to leasing newly constructed residential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$4.1 million attributable to the acquisition of Crow Canyon in December 2005.</w:t>
      </w:r>
    </w:p>
    <w:p>
      <w:pPr>
        <w:spacing w:after="0" w:line="17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Property operating income for the West region increased $6.4 million due primarily to the increase in rental income discussed above partially offset by a $2.5 million increase in real estate taxes. As previously discussed, the increase in real estate taxes is due primarily to a favorable change in estimate for retail real estate taxes at Santana Row recorded in June 2005. As a result of these changes, the ratio of property operating income to total revenue for the West region improved to 66.0% in the nine months ended September 30, 2006 from 65.6% in the nine months ended September 30, 2005.</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overall return on investment in our West region is significantly less than the overall return on investment in our East region. This is due primarily to the following factors:</w:t>
      </w:r>
    </w:p>
    <w:p>
      <w:pPr>
        <w:spacing w:after="0" w:line="51"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generally lower bases in our East properties which were generally acquired before the West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occupancy rates at Houston Street in San Antonio, Texas are below our portfolio average,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phasing into service of Santana Row.</w:t>
      </w:r>
    </w:p>
    <w:p>
      <w:pPr>
        <w:spacing w:after="0" w:line="17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expect that returns on investment in our West region will continue to rise as Santana Row and Houston Street come into service, but that they will not necessarily rise to the same level of overall returns that are generated in our East region because of the higher bases in our West properties.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2006 AND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8"/>
              </w:rPr>
              <w:t>(Dollar amounts</w:t>
            </w:r>
          </w:p>
        </w:tc>
        <w:tc>
          <w:tcPr>
            <w:tcW w:w="2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110,511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2,437</w:t>
            </w: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-26.7%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-15.5%</w:t>
            </w:r>
          </w:p>
        </w:tc>
        <w:tc>
          <w:tcPr>
            <w:tcW w:w="0" w:type="dxa"/>
            <w:vAlign w:val="bottom"/>
          </w:tcPr>
          <w:p>
            <w:pPr>
              <w:spacing w:after="0"/>
              <w:rPr>
                <w:sz w:val="1"/>
                <w:szCs w:val="1"/>
                <w:color w:val="auto"/>
              </w:rPr>
            </w:pPr>
          </w:p>
        </w:tc>
      </w:tr>
      <w:tr>
        <w:trPr>
          <w:trHeight w:val="221"/>
        </w:trPr>
        <w:tc>
          <w:tcPr>
            <w:tcW w:w="640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113,405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100,519</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12,886</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Real estate taxes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9,968</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29,714</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1"/>
        </w:trPr>
        <w:tc>
          <w:tcPr>
            <w:tcW w:w="640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80,870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70,805</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10,065</w:t>
            </w:r>
          </w:p>
        </w:tc>
        <w:tc>
          <w:tcPr>
            <w:tcW w:w="2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488.6%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(26,149)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(21,664)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(4,957)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(23,979)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(22,093)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(54,702)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(48,334)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(6,368)</w:t>
            </w: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Minority interests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(1,208)</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319.6%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9,463</w:t>
            </w: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(9,368)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-99.0%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24,984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(5,696)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-18.6%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Total property revenue increased $12.9 million, or12.8%, to $113.4 million in the three months ended September 30, 2006 compared to $100.5 million in the three months ended September 30, 2005. The percentage leased at our shopping centers increased to 97.3% at September 30, 2006 compared to 95.5% at September 30, 2005 due primarily to new leases signed at existing properties. Changes in the components of property revenue are discussed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Rental income consists primarily of minimum rent, cost recoveries from tenants and percentage rent. Rental income increased $13.7 million, or 14.2%, to $110.5 million in the three months ended September 30, 2006 compared to $96.8 million in the three months ended September 30, 2005 due primarily to the following:</w:t>
      </w: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$5.0 million attributable to properties acquired in 2006 and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$3.5 million at same-center properties due to increased rental rates on new leases and increased occupancy,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$2.4 million at Santana Row due primarily to leasing newly constructed residential rental units,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$2.3 million at redevelopment properties due to increased occupancy and increased rental rates on new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Other property income decreased $0.7 million, or 26.7%, to $1.8 million in the three months ended September 30, 2006 compared to $2.4 million in the three months ended September 30, 2005. Included in other property income are items which, although recurring, tend to fluctuate more than rental income from period to period, such as lease termination fees. This decrease is due primarily to a decrease in lease termination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Mortgage interest income decreased $0.2 million, or 15.5%, to $1.1 million in the three months ended September 30, 2006 compared to $1.3 million in the three months ended September 30, 2005. The decrease is primarily due to an amendment of our $17.7 million mortgage note receivable secured by a hotel in San Jose, California which was executed on August 4, 2006 and decreased the interest rate from 14% per annum to 9% per annum.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property expenses increased $2.8 million, or 9.5%, to $32.5 million in the three months ended September 30, 2006 compared to $29.7 million in the three months ended September 30, 2005.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Rental expenses increased $1.1 million, or 5.5%, to $20.8 million in the three months ended September 30, 2006 compared to $19.7 million in the three months ended September 30,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$0.8 million, attributable to properties acquired in 2005 and 2006, and</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$0.7 million at Santana Row due primarily to higher repair and maintenance expenses and common area costs associated with the newly constructed residential units placed into service.</w:t>
      </w:r>
    </w:p>
    <w:p>
      <w:pPr>
        <w:spacing w:after="0" w:line="132"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As a result of the changes in rental income, rental expenses and other property income described above, rental expenses as a percentage of rental income plus other property income decreased to 18.5% in the three months ended September 30, 2006 from 19.9% in the three months ended September 30,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Real estate tax expense increased $1.7 million, or 17.5%, to $11.7 million in the three months ended September 30, 2006 compared to $10.0 million in the three months ended September 30, 2005. This increase is due primarily to increased taxes of $0.8 million related to properties acquired and $0.8 million related to higher assessments at our same-center and redevelopment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Property operating income increased $10.1 million, or 14.2%, to $80.9 million in the three months ended September 30, 2006 compared to $70.8 million in the three months ended September 30,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2005 and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in same-center earnings,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in earnings at Santana Row and redevelopment properties.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Same-center property operating income increased 5.5% in the three months ended September 30, 2006 compared to the three months ended September 30, 2005. This increase is primarily due to increased rental income associated with new leases, higher real estate tax recoveries, and increased occupancy. When redevelopment and expansion properties are included with same-center results, property operating income increased by 6.9% in the three months ended September 30, 2006 compared to the three months ended September 30,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expense increased $4.5 million, or 20.7%, to $26.1 million in the three months ended September 30, 2006 compared to $21.7 million in the three months ended September 30, 2005. This increase is primarily due to the following:</w:t>
      </w:r>
    </w:p>
    <w:p>
      <w:pPr>
        <w:spacing w:after="0" w:line="5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$1.9 million due to higher borrowings to finance our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$1.4 million due to higher interest rates on certain borrowings,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less than $1.0 million due to a decrease in capitalized interest.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Gross interest costs were $27.2 million and $23.5 million in the three months ended September 30, 2006 and 2005, respectively. Capitalized interest amounted to $1.1 million and $1.9 million in the three months ended September 30, 2006 and September 30, 2005, respectively. Capitalized interest decreased due primarily to placing the newly constructed residential rental units at Santana Row and retail development at Assembly Square into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General and administrative expense increased $1.3 million, or 26.4%, to $6.3 million in the three months ended September 30, 2006 compared to $5.0 million in the three months ended September 30, 2005. This is primarily due to an increase in wages and bonuses, and increased grant expense under SFAS No. 123(R) being partially offset by an increase in wages, bonuses and grant expense capitalized as a result of increased leasing and redevelopment activities.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Depreciation and amortization expense increased $1.9 million, or 8.5%, to $24.0 million in the three months ended September 30, 2006 from $22.1 million in the three months ended September 30, 2005. This increase is due primarily to depreciation on improvements at same-center properties, acquired properties and placing into service the newly constructed residential rental units at Santana Row, located in California, and retail development at Assembly Square, located in New England.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Income to minority partners decreased $0.1 million, or 10.1%, to $1.1 million in the three months ended September 30, 2006 compared to $1.2 million in the three months ended September 30, 2005. This is due to a decrease in the interest held by minority partners offset by an increase in earnings at properties held in non-wholly owned partnerships.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Loss from discontinued operations represents the operating loss of properties that have been disposed, which is required to be reported separately from results of ongoing operations. The reported operating loss of $0.2 million and less than $0.1 million in the three months ended September 30, 2006 and 2005, respectively, represent the operating loss for the period during which we owned properties sold in 2006 and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gain on sale of real estate in 2006 decreased $9.4 million to $0.1 million in the three months ended September 30, 2006 compared to $9.5 million in the three months ended September 30, 2005. All of the properties sold in the three months ended September 30, 2006 (condominiums at Santana Row) and the three months ended September 30, 2005 (Shaw’s Plaza in Carver, Massachusetts and condominiums at Santana Row) resulted in gains.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 Claims are directly charged to the reserves as they arise.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third quarter of 2006, when we closed on the sale of the last unit, we reassessed and increased our warranty reserve by $2.5 million. This increase reduced our gain on sale of condominium units. The warranty reserve is included in accounts payable and accrued expenses.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40"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September 30, 2006 and 2005.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8"/>
              </w:rPr>
              <w:t>Three Months Ended September 30,</w:t>
            </w:r>
          </w:p>
        </w:tc>
      </w:tr>
      <w:tr>
        <w:trPr>
          <w:trHeight w:val="142"/>
        </w:trPr>
        <w:tc>
          <w:tcPr>
            <w:tcW w:w="8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142"/>
        </w:trPr>
        <w:tc>
          <w:tcPr>
            <w:tcW w:w="8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86,442</w:t>
            </w:r>
          </w:p>
        </w:tc>
        <w:tc>
          <w:tcPr>
            <w:tcW w:w="4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76,277</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77,928</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64,294</w:t>
            </w:r>
          </w:p>
        </w:tc>
        <w:tc>
          <w:tcPr>
            <w:tcW w:w="4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55,771</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1,629,636</w:t>
            </w:r>
          </w:p>
        </w:tc>
        <w:tc>
          <w:tcPr>
            <w:tcW w:w="4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1,348,641</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20,495</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25,314</w:t>
            </w:r>
          </w:p>
        </w:tc>
        <w:tc>
          <w:tcPr>
            <w:tcW w:w="4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22,591</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15,034</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tcPr>
          <w:p>
            <w:pPr>
              <w:spacing w:after="0"/>
              <w:rPr>
                <w:sz w:val="18"/>
                <w:szCs w:val="18"/>
                <w:color w:val="auto"/>
              </w:rPr>
            </w:pPr>
          </w:p>
        </w:tc>
        <w:tc>
          <w:tcPr>
            <w:tcW w:w="1300" w:type="dxa"/>
            <w:vAlign w:val="bottom"/>
            <w:gridSpan w:val="2"/>
          </w:tcPr>
          <w:p>
            <w:pPr>
              <w:jc w:val="right"/>
              <w:ind w:right="272"/>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875,512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879,588</w:t>
            </w: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East region increased $10.2 million to $86.4 million in the three months ended September 30, 2006 compared to $76.3 million in the three months ended September 30, 2005 due primarily to the following:</w:t>
      </w:r>
    </w:p>
    <w:p>
      <w:pPr>
        <w:spacing w:after="0" w:line="5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$4.2 million at same-center properties due to increased rental rates on new leases and increased occupancy,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$3.4 million attributable to properties acquired in 2006 and 2005,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$2.6 million of redevelopment properties.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Property operating income for the East region increased $8.5 million due primarily to the increase in rental income discussed above partially offset by a $1.1 million increase in real estate taxes due primarily to the acquisition of properties and higher assessments on our same-center and redevelopment properties. As a result of these changes, the ratio of property operating income to total revenue for the East region improved to 73.0% in the three months ended September 30, 2006 from 71.6% in the three months ended September 30,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Rental income for the West region increased $3.6 million to $24.1 million in the three months ended September 30, 2006 from $20.5 million in the three months ended September 30, 2005 due primarily to an increase of $2.4 million at Santana Row. The increase in rental income at Santana Row is due primarily to leasing newly constructed residential units and increased rental rates on new retail leases.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Property operating income for the West region increased $1.5 million due primarily to the increase in rental income discussed above partially offset by a $0.6 million increase in real estate taxes and a $0.6 million increase in rental expenses due primarily to the acquisition of Crow Canyon. As a result of these changes, the ratio of property operating income to total revenue for the West region decreased to 65.5% in the three months ended September 30, 2006 from 66.5% in the three months ended September 30,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(including net capital gain) each year, as defined in the Code.</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2006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780" w:right="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and cash equivalents were $66.4 million at September 30, 2006, which is a $57.8 million increase from the balance of cash and cash equivalents at December 31, 2005. This increase is primarily due to the issuance of $125.0 million of notes on September 28, 2006, of which all of the proceeds could not be used to pay down our revolving credit facility due to the maturity dates of certain bid-rate loans. Subsequent to the end of the quarter, the excess cash was used to pay down our revolving credit facility. Cash and cash equivalents are not a good indicator of our liquidity. We have a $300.0 million unsecured revolving credit facility that matures July 28, 2010, subject to a one-year extension at our option. We intend to utilize our revolving credit facility to initially finance the acquisition of properties and meet other short-term working capital requirements.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140,455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(233,282)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(101,713)</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(47,054)</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66,424</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cash provided by operating activities increased by $5.6 million to $140.5 million during the nine months ended September 30, 2006 from $134.9 million during the nine months ended September 30,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$3.7 million decrease in cash used for working capital due primarily to higher accrued expense balances,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$1.9 million higher net income before gain on sale of real estate, depreciation and amortization, minority interest, and other non-cash expenses.</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Net cash used in investing activities increased approximately $131.6 million to $233.3 million during the nine months ended September 30, 2006 from $101.7 million during the nine months ended September 30, 2005. The decrease was primarily attributable to:</w:t>
      </w:r>
    </w:p>
    <w:p>
      <w:pPr>
        <w:spacing w:after="0" w:line="5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$156.8 million increase in acquisitions of real estate,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$13.0 million net proceeds from early repayment of mortgage and other notes receivable received in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$5.0 million increase in net contributions to real estate partnership due primarily to additional acquisitions by the real estate partnership,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$23.2 million decrease in capital expenditures due primarily to lower development and redevelopment expenditures,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$21.0 million increase in proceeds from the sale of real estate.</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provided by financing activities increased approximately $197.7 million to $150.6 million during the nine months ended September 30, 2006 from $47.1 million used during the nine months ended September 30,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$376.2 million in net proceeds from the issuance of senior debentures,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$149.2 million in net proceeds from the issuance of common shares in a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$250.3 million repayment of three-year and five-year term loans,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$40.5 million repayment of medium term notes,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$20.5 million decrease in net borrowings on our revolving credit facility,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$16.2 million increase in dividends paid to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Other than the joint venture funding commitments described in the next paragraph and items disclosed in the Contractual Commitments Table below, we have no off-balance sheet arrangements as of September 30, 2006 that are reasonably likely to have a current or future material effect on our financial condition, changes in our financial condition, revenues or expenses, results of operations, liquidity, capital expenditures or capital resources.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$37 million and $86 million, respectively, of equity capital to acquire properties.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September 30, 2006, the Partnership had $77.4 million of mortgage notes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September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Commitments Due by Period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9"/>
              </w:rPr>
              <w:t>Remainder of</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2007-2008</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After 2010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w w:val="81"/>
              </w:rPr>
              <w:t>(In</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$1,362,519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$169,262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$265,135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927,260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800" w:type="dxa"/>
            <w:vAlign w:val="bottom"/>
          </w:tcPr>
          <w:p>
            <w:pPr>
              <w:jc w:val="right"/>
              <w:spacing w:after="0"/>
              <w:rPr>
                <w:sz w:val="20"/>
                <w:szCs w:val="20"/>
                <w:color w:val="auto"/>
              </w:rPr>
            </w:pPr>
            <w:r>
              <w:rPr>
                <w:rFonts w:ascii="Arial" w:cs="Arial" w:eastAsia="Arial" w:hAnsi="Arial"/>
                <w:sz w:val="18"/>
                <w:szCs w:val="18"/>
                <w:color w:val="auto"/>
              </w:rPr>
              <w:t>147,901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2,792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141,344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262,645</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800" w:type="dxa"/>
            <w:vAlign w:val="bottom"/>
          </w:tcPr>
          <w:p>
            <w:pPr>
              <w:jc w:val="right"/>
              <w:spacing w:after="0"/>
              <w:rPr>
                <w:sz w:val="20"/>
                <w:szCs w:val="20"/>
                <w:color w:val="auto"/>
              </w:rPr>
            </w:pPr>
            <w:r>
              <w:rPr>
                <w:rFonts w:ascii="Arial" w:cs="Arial" w:eastAsia="Arial" w:hAnsi="Arial"/>
                <w:sz w:val="18"/>
                <w:szCs w:val="18"/>
                <w:color w:val="auto"/>
              </w:rPr>
              <w:t>131,008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66,666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43,056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67,787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2,034,302</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112,038</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253,365</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277,650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1,391,249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90" w:lineRule="exact"/>
        <w:rPr>
          <w:sz w:val="20"/>
          <w:szCs w:val="20"/>
          <w:color w:val="auto"/>
        </w:rPr>
      </w:pPr>
    </w:p>
    <w:p>
      <w:pPr>
        <w:ind w:left="460" w:right="4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September 30, 2006, our estimated maximum liability upon exercise of the put option would range from approximately $40 million to $45 million.</w:t>
      </w:r>
    </w:p>
    <w:p>
      <w:pPr>
        <w:spacing w:after="0" w:line="62"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34" w:lineRule="exact"/>
        <w:rPr>
          <w:rFonts w:ascii="Arial" w:cs="Arial" w:eastAsia="Arial" w:hAnsi="Arial"/>
          <w:sz w:val="16"/>
          <w:szCs w:val="16"/>
          <w:color w:val="auto"/>
        </w:rPr>
      </w:pPr>
    </w:p>
    <w:p>
      <w:pPr>
        <w:ind w:left="460" w:right="120" w:hanging="452"/>
        <w:spacing w:after="0" w:line="28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We estimate our total obligation under the Agreement to be in the range of $1.6 million to $3.0 million. As of September 30, 2006, we have funded approximately $1.3 million related to this obligation. In anticipation of further shortfalls of incremental tax revenues to the City, we have accrued approximately $0.3 million as of September 30, 2006 to cover additional payments we may be obligated to make as part of the project costs. Prior to the expiration of the Agreement on September 30, 2014, we could be required to provide funding beyond the $0.3 million currently accrued. However, we do not anticipate that our obligation would exceed $0.6 million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46" w:lineRule="exact"/>
        <w:rPr>
          <w:rFonts w:ascii="Arial" w:cs="Arial" w:eastAsia="Arial" w:hAnsi="Arial"/>
          <w:sz w:val="16"/>
          <w:szCs w:val="16"/>
          <w:color w:val="auto"/>
        </w:rPr>
      </w:pPr>
    </w:p>
    <w:p>
      <w:pPr>
        <w:ind w:left="460" w:right="48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September 30, 2006, a total of 377,210 operating units are outstanding.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39" w:lineRule="exact"/>
        <w:rPr>
          <w:rFonts w:ascii="Arial" w:cs="Arial" w:eastAsia="Arial" w:hAnsi="Arial"/>
          <w:sz w:val="16"/>
          <w:szCs w:val="16"/>
          <w:color w:val="auto"/>
        </w:rPr>
      </w:pPr>
    </w:p>
    <w:p>
      <w:pPr>
        <w:ind w:left="460" w:right="1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25"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completion in or around the fourth quarter of 2006, we expect to take possession of approximately 37,000 square feet of retail space under a capital lease. The term of the capital lease is 99 years from the date of possession and requires annual cash payments of approximately $374,000 and will be adjusted every 20 years based on the Consumer Price Index and other factors.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Original</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Principal Balance</w:t>
            </w: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Debt</w:t>
            </w:r>
          </w:p>
        </w:tc>
        <w:tc>
          <w:tcPr>
            <w:tcW w:w="26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79"/>
              </w:rPr>
              <w:t>as of</w:t>
            </w: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2"/>
                <w:szCs w:val="12"/>
                <w:color w:val="auto"/>
              </w:rPr>
            </w:pPr>
          </w:p>
        </w:tc>
      </w:t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Issued</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2006</w:t>
            </w: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September 30, 2006</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(Dollars in thousands)</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Acquired</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4,529</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Federal Plaza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34,311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Acquired</w:t>
            </w: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22,032</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42,763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16,121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30,311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26,643</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30,890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31,751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Mount Vernon (2)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12,341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2028</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Bath</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Acquired</w:t>
            </w: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10,036</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7.130%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 2028</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Acquired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286,447</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Net Premium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Total Mortgage Loans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287,035</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facilities (3)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r>
      <w:tr>
        <w:trPr>
          <w:trHeight w:val="223"/>
        </w:trPr>
        <w:tc>
          <w:tcPr>
            <w:tcW w:w="20" w:type="dxa"/>
            <w:vAlign w:val="bottom"/>
          </w:tcPr>
          <w:p>
            <w:pPr>
              <w:spacing w:after="0"/>
              <w:rPr>
                <w:sz w:val="19"/>
                <w:szCs w:val="19"/>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3.760%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Notes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86,072</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Senior Notes and Debentures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6.125% Notes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150,000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6.325%</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November 15, 2007</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175,000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75,000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175,000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5.650%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200,000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7.48% Debentures (6)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 (7)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990,000</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Net Premium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Total Senior Notes and Debentures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992,488</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147,901</w:t>
            </w:r>
          </w:p>
        </w:tc>
        <w:tc>
          <w:tcPr>
            <w:tcW w:w="4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2077</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1,513,496</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Mortgage loans do not include our 30% share ($23.2 million) of the $77.4 million debt of the partnership with Clarion Lion Properties Fund.</w:t>
      </w:r>
    </w:p>
    <w:p>
      <w:pPr>
        <w:spacing w:after="0" w:line="38"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ind w:left="460" w:hanging="452"/>
        <w:spacing w:after="0" w:line="29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the nine months ended September 30, 2006 was $246 million. The weighted average effective interest rate on borrowings under our revolving credit facility, before amortization of debt fees, was 5.48% and 5.81% for the nine and three months ended September 30, 2006, respectively. On July 28, 2006, we refinanced our then-existing revolving credit facility with a new $300.0 million unsecured revolving facility that matures on July 27, 2010, subject to a one-year extension at our option.</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September 30, 2006,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b w:val="1"/>
                <w:bCs w:val="1"/>
                <w:color w:val="auto"/>
                <w:w w:val="94"/>
              </w:rPr>
              <w:t>Capital</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Secured</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5"/>
              </w:rPr>
              <w:t>Lease</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Unsecured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right"/>
              <w:ind w:right="455"/>
              <w:spacing w:after="0" w:line="142" w:lineRule="exact"/>
              <w:rPr>
                <w:sz w:val="20"/>
                <w:szCs w:val="20"/>
                <w:color w:val="auto"/>
              </w:rPr>
            </w:pPr>
            <w:r>
              <w:rPr>
                <w:rFonts w:ascii="Arial" w:cs="Arial" w:eastAsia="Arial" w:hAnsi="Arial"/>
                <w:sz w:val="14"/>
                <w:szCs w:val="14"/>
                <w:b w:val="1"/>
                <w:bCs w:val="1"/>
                <w:color w:val="auto"/>
                <w:w w:val="87"/>
              </w:rPr>
              <w:t>thousands)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Reminder of 2006</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2007</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150,204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156,034</w:t>
            </w:r>
          </w:p>
        </w:tc>
        <w:tc>
          <w:tcPr>
            <w:tcW w:w="2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2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2009</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175,250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186,210</w:t>
            </w:r>
          </w:p>
        </w:tc>
        <w:tc>
          <w:tcPr>
            <w:tcW w:w="2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82,375</w:t>
            </w:r>
          </w:p>
        </w:tc>
        <w:tc>
          <w:tcPr>
            <w:tcW w:w="2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2011 and thereafter (2)</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252,190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141,344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675,070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1,068,604</w:t>
            </w:r>
          </w:p>
        </w:tc>
        <w:tc>
          <w:tcPr>
            <w:tcW w:w="22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286,447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147,901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1,076,072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1,510,420(3)</w:t>
            </w:r>
          </w:p>
        </w:tc>
      </w:tr>
      <w:tr>
        <w:trPr>
          <w:trHeight w:val="20"/>
        </w:trPr>
        <w:tc>
          <w:tcPr>
            <w:tcW w:w="4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$75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$12.3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1" w:lineRule="exact"/>
        <w:rPr>
          <w:rFonts w:ascii="Arial" w:cs="Arial" w:eastAsia="Arial" w:hAnsi="Arial"/>
          <w:sz w:val="16"/>
          <w:szCs w:val="16"/>
          <w:color w:val="auto"/>
        </w:rPr>
      </w:pPr>
    </w:p>
    <w:p>
      <w:pPr>
        <w:ind w:left="460" w:right="22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on certain mortgage loans, senior notes and debentures as of September 30,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the nine months ended September 30, 2006 and 2005, and we do not anticipate it will have a significant effect in the future.</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January 2004, we entered into an interest rate swap to fix the LIBOR portion of our $150 million term loan issued in October of 2003. This swap fixed the LIBOR portion at 2.401% through October 2006. The full notional amount of this swap qualified as a cash flow hedge until we repaid this loan on July 17,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90% of our REIT taxable income (including net capital gain) to our shareholders.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780" w:right="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304"/>
              <w:spacing w:after="0"/>
              <w:rPr>
                <w:sz w:val="20"/>
                <w:szCs w:val="20"/>
                <w:color w:val="auto"/>
              </w:rPr>
            </w:pPr>
            <w:r>
              <w:rPr>
                <w:rFonts w:ascii="Arial" w:cs="Arial" w:eastAsia="Arial" w:hAnsi="Arial"/>
                <w:sz w:val="14"/>
                <w:szCs w:val="14"/>
                <w:b w:val="1"/>
                <w:bCs w:val="1"/>
                <w:color w:val="auto"/>
                <w:w w:val="87"/>
              </w:rPr>
              <w:t>For the Nine Months Ended</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0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w w:val="81"/>
              </w:rPr>
              <w:t>(In</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thousands,</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74"/>
              </w:rPr>
              <w:t>except</w:t>
            </w:r>
          </w:p>
        </w:tc>
        <w:tc>
          <w:tcPr>
            <w:tcW w:w="10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3"/>
              </w:rPr>
              <w:t>per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4"/>
              <w:spacing w:after="0"/>
              <w:rPr>
                <w:sz w:val="20"/>
                <w:szCs w:val="20"/>
                <w:color w:val="auto"/>
              </w:rPr>
            </w:pPr>
            <w:r>
              <w:rPr>
                <w:rFonts w:ascii="Arial" w:cs="Arial" w:eastAsia="Arial" w:hAnsi="Arial"/>
                <w:sz w:val="18"/>
                <w:szCs w:val="18"/>
                <w:color w:val="auto"/>
                <w:w w:val="98"/>
              </w:rPr>
              <w:t>(17,347)</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21,570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129,557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48,509</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(8,607)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133,841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54,066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28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used to fix the LIBOR on a notional amount of $150.0 million. The counterparty of this swap has a long-term debt rating of “A” by Standard and Poor’s Rating Service and “A1” by Moody’s Investor Service as of September 30, 2006. This swap expires on October 8,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2028 or through 2077 including capital lease obligations) have fixed interest rates which limit the risk of fluctuating interest rates. However, interest rate fluctuations may affect the fair value of our fixed rate debt instruments. At September 30, 2006 we had $1.3 billion of fixed-rate debt outstanding. If interest rates on our fixed-rate debt instruments at September 30, 2006 had been 1.0% higher, the fair value of those debt instruments on that date would have decreased by approximately $65.8 million. If interest rates on our fixed-rate debt instruments at September 30, 2006 had been 1.0% lower, the fair value of those debt instruments on that date would have increased by approximately $73.9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September 30, 2006, we had $84.4 million of variable rate debt outstanding. Based upon this amount of variable rate debt, if interest rates increased 1.0%, our annual interest expense would increase by approximately $0.8 million, and our net income and cash flows for the year would decrease by approximately $0.8 million. Conversely, if interest rates decreased 1.0%, our annual interest expense would decrease by approximately $0.8 million, and our net income and cash flows for the year would increase by approximately $0.8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2006. Based on this evaluation, our management, including our Chief Executive Officer and Chief Financial Officer, concluded that our disclosure controls and procedures were effective as of September 30, 2006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The plaintiff is seeking an unspecified amount of monetary damages. A trial as to liability only was held and on June 27, 2006, a jury rendered a verdict against us. We have filed a motion for judgment as a matter of law or, in the alternative, for a new trial. We are also requesting that the court certify the case for immediate appeal in the event the motion for judgment as a matter of law and motion for a new trial are denied. A hearing on these motions was held in September 2006. The court has not yet ruled on either of these motions. If our motions are denied and we are not successful in having the jury verdict reversed by an immediate appeal, the case will proceed to a trial on the issue of damages which will not occur for at least nine months. The complaint did not specify the amount of damages claimed and we cannot make a reasonable estimate of potential damages until experts are retained and additional discovery is completed on the damages issue.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2005 filed with the Securities and Exchange Commission on March 3, 2006 and amended on March 10, 2006. These factors include, but are not limited to, the following:</w:t>
      </w:r>
    </w:p>
    <w:p>
      <w:pPr>
        <w:spacing w:after="0" w:line="4"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right="100" w:hanging="455"/>
        <w:spacing w:after="0" w:line="268" w:lineRule="auto"/>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September 29, 2006, we issued 25,000 common shares to redeem 25,000 operating partnership units. These shares were issued in reliance on an exemption from the registration requirements of the Securities Act of 1933.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240" w:top="459" w:right="7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FEDERAL REALTY INVESTMENT TRUST</w:t>
            </w:r>
          </w:p>
        </w:tc>
        <w:tc>
          <w:tcPr>
            <w:tcW w:w="3900" w:type="dxa"/>
            <w:vAlign w:val="bottom"/>
          </w:tcPr>
          <w:p>
            <w:pPr>
              <w:spacing w:after="0"/>
              <w:rPr>
                <w:sz w:val="17"/>
                <w:szCs w:val="17"/>
                <w:color w:val="auto"/>
              </w:rPr>
            </w:pPr>
          </w:p>
        </w:tc>
      </w:tr>
      <w:tr>
        <w:trPr>
          <w:trHeight w:val="451"/>
        </w:trPr>
        <w:tc>
          <w:tcPr>
            <w:tcW w:w="4240" w:type="dxa"/>
            <w:vAlign w:val="bottom"/>
          </w:tcPr>
          <w:p>
            <w:pPr>
              <w:spacing w:after="0"/>
              <w:rPr>
                <w:sz w:val="24"/>
                <w:szCs w:val="24"/>
                <w:color w:val="auto"/>
              </w:rPr>
            </w:pPr>
          </w:p>
        </w:tc>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November 6, 2006</w:t>
            </w:r>
          </w:p>
        </w:tc>
        <w:tc>
          <w:tcPr>
            <w:tcW w:w="7180" w:type="dxa"/>
            <w:vAlign w:val="bottom"/>
            <w:gridSpan w:val="2"/>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424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Trustee (Principal Executive Officer)</w:t>
            </w:r>
          </w:p>
        </w:tc>
      </w:tr>
      <w:tr>
        <w:trPr>
          <w:trHeight w:val="432"/>
        </w:trPr>
        <w:tc>
          <w:tcPr>
            <w:tcW w:w="4240" w:type="dxa"/>
            <w:vAlign w:val="bottom"/>
          </w:tcPr>
          <w:p>
            <w:pPr>
              <w:spacing w:after="0"/>
              <w:rPr>
                <w:sz w:val="24"/>
                <w:szCs w:val="24"/>
                <w:color w:val="auto"/>
              </w:rPr>
            </w:pPr>
          </w:p>
        </w:tc>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November 6, 2006</w:t>
            </w:r>
          </w:p>
        </w:tc>
        <w:tc>
          <w:tcPr>
            <w:tcW w:w="7180" w:type="dxa"/>
            <w:vAlign w:val="bottom"/>
            <w:gridSpan w:val="2"/>
          </w:tcPr>
          <w:p>
            <w:pPr>
              <w:spacing w:after="0"/>
              <w:rPr>
                <w:sz w:val="20"/>
                <w:szCs w:val="20"/>
                <w:color w:val="auto"/>
              </w:rPr>
            </w:pPr>
            <w:r>
              <w:rPr>
                <w:rFonts w:ascii="Arial" w:cs="Arial" w:eastAsia="Arial" w:hAnsi="Arial"/>
                <w:sz w:val="18"/>
                <w:szCs w:val="18"/>
                <w:color w:val="auto"/>
              </w:rPr>
              <w:t>Larry E. Finger, Executive Vice President and Chief</w:t>
            </w:r>
          </w:p>
        </w:tc>
      </w:tr>
      <w:tr>
        <w:trPr>
          <w:trHeight w:val="222"/>
        </w:trPr>
        <w:tc>
          <w:tcPr>
            <w:tcW w:w="424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Financial Officer (Principal Accounting Officer)</w:t>
            </w:r>
          </w:p>
        </w:tc>
      </w:tr>
      <w:tr>
        <w:trPr>
          <w:trHeight w:val="365"/>
        </w:trPr>
        <w:tc>
          <w:tcPr>
            <w:tcW w:w="4240" w:type="dxa"/>
            <w:vAlign w:val="bottom"/>
          </w:tcPr>
          <w:p>
            <w:pPr>
              <w:spacing w:after="0"/>
              <w:rPr>
                <w:sz w:val="24"/>
                <w:szCs w:val="24"/>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43</w:t>
            </w:r>
          </w:p>
        </w:tc>
        <w:tc>
          <w:tcPr>
            <w:tcW w:w="3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1040" w:hanging="744"/>
        <w:spacing w:after="0" w:line="298"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Declaration of Trust of Federal Realty Investment Trust dated May 5, 1999 as amended by the Articles of Amendment of Declaration of Trust of Federal Realty Investment Trust dated May 6, 2004, as corrected by the Certificate of Correction of Articles of Amendment of Declaration of Trust of Federal Realty Investment Trust dated June 17, 2004 (previously filed as Exhibit 3.1 to the Trust’s Quarterly Report on Form 10-Q for the quarter ended June 30, 2005 (File No. 1-07533) (the “2005 2Q Form 10-Q”) and incorporated herein by reference)</w:t>
      </w:r>
    </w:p>
    <w:p>
      <w:pPr>
        <w:spacing w:after="0" w:line="18" w:lineRule="exact"/>
        <w:rPr>
          <w:sz w:val="20"/>
          <w:szCs w:val="20"/>
          <w:color w:val="auto"/>
        </w:rPr>
      </w:pPr>
    </w:p>
    <w:p>
      <w:pPr>
        <w:ind w:left="1040" w:right="140" w:hanging="744"/>
        <w:spacing w:after="0" w:line="259"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Federal Realty Investment Trust dated February 12, 2003, as amended October 29, 2003, May 5, 2004 and February 17, 2006 (previously filed as Exhibit 3.2 to the Trust’s Annual Report on Form 10-K for the year ended December 31, 2005 (File No. 1-07533) (the “2005 Form 10-K”) and incorporated herein by reference)</w:t>
      </w:r>
    </w:p>
    <w:p>
      <w:pPr>
        <w:spacing w:after="0" w:line="46"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Share certificate (previously filed as Exhibit 4(i) to the Trust’s Annual Report on Form 10-K for the year ended December 31,</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1999 (File No. 1-07533) (the “1999 Form 10-K”) and incorporated herein by reference)</w:t>
      </w:r>
    </w:p>
    <w:p>
      <w:pPr>
        <w:spacing w:after="0" w:line="70" w:lineRule="exact"/>
        <w:rPr>
          <w:sz w:val="20"/>
          <w:szCs w:val="20"/>
          <w:color w:val="auto"/>
        </w:rPr>
      </w:pPr>
    </w:p>
    <w:p>
      <w:pPr>
        <w:ind w:left="1040" w:right="40" w:hanging="744"/>
        <w:spacing w:after="0" w:line="272"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Articles Supplementary relating to the 8 </w:t>
      </w:r>
      <w:r>
        <w:rPr>
          <w:rFonts w:ascii="Arial" w:cs="Arial" w:eastAsia="Arial" w:hAnsi="Arial"/>
          <w:sz w:val="20"/>
          <w:szCs w:val="20"/>
          <w:color w:val="auto"/>
          <w:vertAlign w:val="superscript"/>
        </w:rPr>
        <w:t>1</w:t>
      </w:r>
      <w:r>
        <w:rPr>
          <w:rFonts w:ascii="Arial" w:cs="Arial" w:eastAsia="Arial" w:hAnsi="Arial"/>
          <w:sz w:val="16"/>
          <w:szCs w:val="16"/>
          <w:color w:val="auto"/>
        </w:rPr>
        <w:t>/2% Series B Cumulative Redeemable Preferred Shares (previously filed as Exhibit 4.1 to the Trust’s Registration Statement on Form 8-A filed on November 26, 2001 (File No. 1-07533) (the “2001 Form 8-A”) and incorporated herein by reference)</w:t>
      </w:r>
    </w:p>
    <w:p>
      <w:pPr>
        <w:spacing w:after="0" w:line="31" w:lineRule="exact"/>
        <w:rPr>
          <w:sz w:val="20"/>
          <w:szCs w:val="20"/>
          <w:color w:val="auto"/>
        </w:rPr>
      </w:pPr>
    </w:p>
    <w:p>
      <w:pPr>
        <w:ind w:left="1040" w:right="760" w:hanging="744"/>
        <w:spacing w:after="0" w:line="228" w:lineRule="auto"/>
        <w:tabs>
          <w:tab w:leader="none" w:pos="10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Specimen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B Cumulative Redeemable Preferred Share certificate (previously filed as Exhibit 4.2 to the 2001 Form 8-A and incorporated herein by reference)</w:t>
      </w:r>
    </w:p>
    <w:p>
      <w:pPr>
        <w:spacing w:after="0" w:line="63" w:lineRule="exact"/>
        <w:rPr>
          <w:sz w:val="20"/>
          <w:szCs w:val="20"/>
          <w:color w:val="auto"/>
        </w:rPr>
      </w:pPr>
    </w:p>
    <w:p>
      <w:pPr>
        <w:ind w:left="1040" w:right="160" w:hanging="744"/>
        <w:spacing w:after="0" w:line="259" w:lineRule="auto"/>
        <w:tabs>
          <w:tab w:leader="none" w:pos="10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Amended and Restated Rights Agreement, dated March 11, 1999, between the Trust and American Stock Transfer &amp; Trust Company (previously filed as Exhibit 1 to the Trust’s Registration Statement on Form 8-A/A filed on March 11, 1999 (File No. 1-07533) and incorporated herein by reference)</w:t>
      </w:r>
    </w:p>
    <w:p>
      <w:pPr>
        <w:spacing w:after="0" w:line="46" w:lineRule="exact"/>
        <w:rPr>
          <w:sz w:val="20"/>
          <w:szCs w:val="20"/>
          <w:color w:val="auto"/>
        </w:rPr>
      </w:pPr>
    </w:p>
    <w:p>
      <w:pPr>
        <w:ind w:left="1040" w:right="200" w:hanging="744"/>
        <w:spacing w:after="0" w:line="259" w:lineRule="auto"/>
        <w:tabs>
          <w:tab w:leader="none" w:pos="10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First Amendment to Amended and Restated Rights Agreement, dated as of November , 2003, between the Trust and American Stock Transfer &amp; Trust Company (previously filed as Exhibit 4.5 to the Trust’s Annual Report on Form 10-K for the year ended December 31, 2003 (File No. 1-07533) and incorporated herein by reference)</w:t>
      </w:r>
    </w:p>
    <w:p>
      <w:pPr>
        <w:spacing w:after="0" w:line="46" w:lineRule="exact"/>
        <w:rPr>
          <w:sz w:val="20"/>
          <w:szCs w:val="20"/>
          <w:color w:val="auto"/>
        </w:rPr>
      </w:pPr>
    </w:p>
    <w:p>
      <w:pPr>
        <w:ind w:left="1040" w:right="120" w:hanging="744"/>
        <w:spacing w:after="0" w:line="259" w:lineRule="auto"/>
        <w:tabs>
          <w:tab w:leader="none" w:pos="10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Indenture dated December 13, 1993 related to the Trust’s 7.48% Debentures due August 15, 2026; and 6.82% Medium Term Notes due August 1, 2027; (previously filed as Exhibit 4(a) to the Trust’s Registration Statement on Form S-3 (File No. 33-51029), and amended on Form S-3 (File No. 33-63687), filed on December 13, 1993 and incorporated herein by reference)</w:t>
      </w:r>
    </w:p>
    <w:p>
      <w:pPr>
        <w:spacing w:after="0" w:line="46" w:lineRule="exact"/>
        <w:rPr>
          <w:sz w:val="20"/>
          <w:szCs w:val="20"/>
          <w:color w:val="auto"/>
        </w:rPr>
      </w:pPr>
    </w:p>
    <w:p>
      <w:pPr>
        <w:ind w:left="1040" w:right="80" w:hanging="744"/>
        <w:spacing w:after="0" w:line="252" w:lineRule="auto"/>
        <w:tabs>
          <w:tab w:leader="none" w:pos="10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 xml:space="preserve">Indenture dated September 1, 1998 related to the Trust’s 8.75% Notes due December 1, 2009; 6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Notes due November 15, 2007; 4.50% Notes due 2011; 5.65% Notes due 2016; 6.00% Notes due 2012; and 6.20% Notes due 2017 (previously filed as Exhibit 4(a) to the Trust’s Registration Statement on Form S-3 (File No. 333-63619) filed on September 17, 1998 and incorporated herein by reference)</w:t>
      </w:r>
    </w:p>
    <w:p>
      <w:pPr>
        <w:spacing w:after="0" w:line="52" w:lineRule="exact"/>
        <w:rPr>
          <w:sz w:val="20"/>
          <w:szCs w:val="20"/>
          <w:color w:val="auto"/>
        </w:rPr>
      </w:pPr>
    </w:p>
    <w:p>
      <w:pPr>
        <w:ind w:left="1040" w:right="40" w:hanging="744"/>
        <w:spacing w:after="0" w:line="268" w:lineRule="auto"/>
        <w:tabs>
          <w:tab w:leader="none" w:pos="10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37" w:lineRule="exact"/>
        <w:rPr>
          <w:sz w:val="20"/>
          <w:szCs w:val="20"/>
          <w:color w:val="auto"/>
        </w:rPr>
      </w:pPr>
    </w:p>
    <w:p>
      <w:pPr>
        <w:ind w:left="1040" w:right="20" w:hanging="787"/>
        <w:spacing w:after="0" w:line="332"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1983 Stock Option Plan and 1985 Non-Qualified Stock Option Plan of Federal Realty Investment Trust (previously filed as exhibits to the Trust’s Registration Statement in Form S-8 (File No. 33-55111), filed on August 17, 1994 and incorporated herein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1040" w:right="100" w:hanging="787"/>
        <w:spacing w:after="0" w:line="268"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1985 Non-Qualified Stock Option Plan (previously filed as a portion of Exhibit 10 to the Trust’s Annual Report on Form 10-K for the year ended December 31, 1985 (File No. 1-07533) and incorporated herein by reference)</w:t>
      </w:r>
    </w:p>
    <w:p>
      <w:pPr>
        <w:spacing w:after="0" w:line="3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1991 Share Purchase Plan (previously filed as a portion of Exhibit 10 to the Trust’s Annual Report on Form 10-K for the year ended December 31,</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1990 (File No. 1-07533) and incorporated herein by reference)</w:t>
      </w:r>
    </w:p>
    <w:p>
      <w:pPr>
        <w:spacing w:after="0" w:line="70" w:lineRule="exact"/>
        <w:rPr>
          <w:sz w:val="20"/>
          <w:szCs w:val="20"/>
          <w:color w:val="auto"/>
        </w:rPr>
      </w:pPr>
    </w:p>
    <w:p>
      <w:pPr>
        <w:ind w:left="1040" w:right="40" w:hanging="787"/>
        <w:spacing w:after="0" w:line="259"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Exhibit 10.26 to the Trust’s Annual Report on Form 10-K for the year ended December 31, 1998 (File No. 1-07533) and incorporated herein by reference)</w:t>
      </w:r>
    </w:p>
    <w:p>
      <w:pPr>
        <w:spacing w:after="0" w:line="46" w:lineRule="exact"/>
        <w:rPr>
          <w:sz w:val="20"/>
          <w:szCs w:val="20"/>
          <w:color w:val="auto"/>
        </w:rPr>
      </w:pPr>
    </w:p>
    <w:p>
      <w:pPr>
        <w:ind w:left="1040" w:right="640" w:hanging="787"/>
        <w:spacing w:after="0" w:line="325"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1" w:lineRule="exact"/>
        <w:rPr>
          <w:sz w:val="20"/>
          <w:szCs w:val="20"/>
          <w:color w:val="auto"/>
        </w:rPr>
      </w:pPr>
    </w:p>
    <w:p>
      <w:pPr>
        <w:ind w:left="1040" w:right="100" w:hanging="787"/>
        <w:spacing w:after="0" w:line="325" w:lineRule="auto"/>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1" w:lineRule="exact"/>
        <w:rPr>
          <w:sz w:val="20"/>
          <w:szCs w:val="20"/>
          <w:color w:val="auto"/>
        </w:rPr>
      </w:pPr>
    </w:p>
    <w:p>
      <w:pPr>
        <w:ind w:left="1040" w:right="520" w:hanging="787"/>
        <w:spacing w:after="0" w:line="268" w:lineRule="auto"/>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Performance Share Award Agreement dated as of February 9, 2000 between the Trust and Donald C. Wood (previously filed as a portion of Exhibit 10 to the 1999 Form 10-K and incorporated herein by reference)</w:t>
      </w:r>
    </w:p>
    <w:p>
      <w:pPr>
        <w:spacing w:after="0" w:line="37" w:lineRule="exact"/>
        <w:rPr>
          <w:sz w:val="20"/>
          <w:szCs w:val="20"/>
          <w:color w:val="auto"/>
        </w:rPr>
      </w:pPr>
    </w:p>
    <w:p>
      <w:pPr>
        <w:ind w:left="1040" w:right="700" w:hanging="787"/>
        <w:spacing w:after="0" w:line="268" w:lineRule="auto"/>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Restricted Share Award Agreement dated as of February 9, 2000 between the Trust and Donald C. Wood (previously filed as a portion of Exhibit 10 to the 1999 Form 10-K and incorporated herein by reference)</w:t>
      </w:r>
    </w:p>
    <w:p>
      <w:pPr>
        <w:spacing w:after="0" w:line="37" w:lineRule="exact"/>
        <w:rPr>
          <w:sz w:val="20"/>
          <w:szCs w:val="20"/>
          <w:color w:val="auto"/>
        </w:rPr>
      </w:pPr>
    </w:p>
    <w:p>
      <w:pPr>
        <w:ind w:left="1040" w:right="80" w:hanging="787"/>
        <w:spacing w:after="0" w:line="259"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Severance Agreement between the Trust and Donald C. Wood dated February 22, 1999 (previously filed as a portion of Exhibit 10 to the Trust’s Quarterly Report on Form 10-Q for the quarter ended March 31, 1999 (File No. 1-07533) (the “1999 1Q Form 10-Q”) and incorporated herein by reference)</w:t>
      </w:r>
    </w:p>
    <w:p>
      <w:pPr>
        <w:spacing w:after="0" w:line="46" w:lineRule="exact"/>
        <w:rPr>
          <w:sz w:val="20"/>
          <w:szCs w:val="20"/>
          <w:color w:val="auto"/>
        </w:rPr>
      </w:pPr>
    </w:p>
    <w:p>
      <w:pPr>
        <w:ind w:left="1040" w:right="300" w:hanging="831"/>
        <w:spacing w:after="0" w:line="268" w:lineRule="auto"/>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Agreement between Federal Realty Investment Trust and Donald C. Wood dated February 22, 1999 (previously filed as a portion of Exhibit 10 to the 1999 1Q Form 10-Q and incorporated herein by reference)</w:t>
      </w:r>
    </w:p>
    <w:p>
      <w:pPr>
        <w:spacing w:after="0" w:line="37" w:lineRule="exact"/>
        <w:rPr>
          <w:sz w:val="20"/>
          <w:szCs w:val="20"/>
          <w:color w:val="auto"/>
        </w:rPr>
      </w:pPr>
    </w:p>
    <w:p>
      <w:pPr>
        <w:jc w:val="both"/>
        <w:ind w:left="1040" w:right="80" w:hanging="828"/>
        <w:spacing w:after="0" w:line="259"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Executive Agreement between Federal Realty Investment Trust and Donald C. Wood dated February 16, 2005 (previously filed as Exhibit 10.12 to the Trust’s Annual Report on Form 10-K for the year ended December 31, 2004 (File No. 1-07533) (the “2004 Form 10-K”) and incorporated herein by reference)</w:t>
      </w:r>
    </w:p>
    <w:p>
      <w:pPr>
        <w:spacing w:after="0" w:line="46" w:lineRule="exact"/>
        <w:rPr>
          <w:sz w:val="20"/>
          <w:szCs w:val="20"/>
          <w:color w:val="auto"/>
        </w:rPr>
      </w:pPr>
    </w:p>
    <w:p>
      <w:pPr>
        <w:jc w:val="both"/>
        <w:ind w:left="1040" w:right="80" w:hanging="831"/>
        <w:spacing w:after="0" w:line="259"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Restricted Share Award Agreement dated December 8, 2000 between the Trust and Donald C. Wood (previously filed as a portion of Exhibit 10 to the Trust’s Annual Report on Form 10-K for the year ended December 31, 2000 (File No. 1-07533) (the “2000 Form 10-K”) and incorporated herein by reference)</w:t>
      </w:r>
    </w:p>
    <w:p>
      <w:pPr>
        <w:spacing w:after="0" w:line="46" w:lineRule="exact"/>
        <w:rPr>
          <w:sz w:val="20"/>
          <w:szCs w:val="20"/>
          <w:color w:val="auto"/>
        </w:rPr>
      </w:pPr>
    </w:p>
    <w:p>
      <w:pPr>
        <w:ind w:left="1040" w:right="120" w:hanging="831"/>
        <w:spacing w:after="0" w:line="268"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Split Dollar Life Insurance Agreement dated August 12, 1998 between the Trust and Donald C. Wood (previously filed as a portion of Exhibit 10 to the 2000 Form 10-K and incorporated herein by reference)</w:t>
      </w:r>
    </w:p>
    <w:p>
      <w:pPr>
        <w:spacing w:after="0" w:line="37" w:lineRule="exact"/>
        <w:rPr>
          <w:sz w:val="20"/>
          <w:szCs w:val="20"/>
          <w:color w:val="auto"/>
        </w:rPr>
      </w:pPr>
    </w:p>
    <w:p>
      <w:pPr>
        <w:ind w:left="1040" w:right="320" w:hanging="831"/>
        <w:spacing w:after="0" w:line="259"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1040" w:right="620" w:hanging="831"/>
        <w:spacing w:after="0" w:line="268"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Severance Agreement between the Trust and Jeffrey S. Berkes dated March 1, 2000 (previously filed as a portion of Exhibit 10 to the 2001 Form 10-K and incorporated herein by reference)</w:t>
      </w:r>
    </w:p>
    <w:p>
      <w:pPr>
        <w:spacing w:after="0" w:line="37" w:lineRule="exact"/>
        <w:rPr>
          <w:sz w:val="20"/>
          <w:szCs w:val="20"/>
          <w:color w:val="auto"/>
        </w:rPr>
      </w:pPr>
    </w:p>
    <w:p>
      <w:pPr>
        <w:ind w:left="1040" w:right="500" w:hanging="831"/>
        <w:spacing w:after="0" w:line="268"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Severance Agreement between Federal Realty Investment Trust and Jeff Berkes dated February 16, 2005 (previously filed as Exhibit 10.17 to the 2004 Form 10-K and incorporated herein by reference)</w:t>
      </w:r>
    </w:p>
    <w:p>
      <w:pPr>
        <w:spacing w:after="0" w:line="37" w:lineRule="exact"/>
        <w:rPr>
          <w:sz w:val="20"/>
          <w:szCs w:val="20"/>
          <w:color w:val="auto"/>
        </w:rPr>
      </w:pPr>
    </w:p>
    <w:p>
      <w:pPr>
        <w:ind w:left="1040" w:right="280" w:hanging="831"/>
        <w:spacing w:after="0" w:line="25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Severance Agreement dated March 1, 2002 between the Trust and Larry E. Finger (previously filed as a portion of Exhibit 10 to the Trust’s Quarterly Report on Form 10-Q for the quarter ended June 30, 2002 (File No. 1-07533) (the “2002 2Q Form 10-Q”) and incorporated herein by reference)</w:t>
      </w:r>
    </w:p>
    <w:p>
      <w:pPr>
        <w:spacing w:after="0" w:line="46" w:lineRule="exact"/>
        <w:rPr>
          <w:sz w:val="20"/>
          <w:szCs w:val="20"/>
          <w:color w:val="auto"/>
        </w:rPr>
      </w:pPr>
    </w:p>
    <w:p>
      <w:pPr>
        <w:ind w:left="1040" w:right="400" w:hanging="831"/>
        <w:spacing w:after="0" w:line="268"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to Severance Agreement between Federal Realty Investment Trust and Larry Finger dated February 16, 2005 (previously filed as Exhibit 10.19 to the 2004 Form 10-K and incorporated herein by reference)</w:t>
      </w:r>
    </w:p>
    <w:p>
      <w:pPr>
        <w:spacing w:after="0" w:line="37" w:lineRule="exact"/>
        <w:rPr>
          <w:sz w:val="20"/>
          <w:szCs w:val="20"/>
          <w:color w:val="auto"/>
        </w:rPr>
      </w:pPr>
    </w:p>
    <w:p>
      <w:pPr>
        <w:ind w:left="1040" w:right="80" w:hanging="831"/>
        <w:spacing w:after="0" w:line="268"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2Q Form 10-Q and incorporated herein by reference)</w:t>
      </w:r>
    </w:p>
    <w:p>
      <w:pPr>
        <w:spacing w:after="0" w:line="37" w:lineRule="exact"/>
        <w:rPr>
          <w:sz w:val="20"/>
          <w:szCs w:val="20"/>
          <w:color w:val="auto"/>
        </w:rPr>
      </w:pPr>
    </w:p>
    <w:p>
      <w:pPr>
        <w:ind w:left="1040" w:right="80" w:hanging="83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2Q Form 10-Q and incorporated herein by reference)</w:t>
      </w:r>
    </w:p>
    <w:p>
      <w:pPr>
        <w:spacing w:after="0" w:line="37" w:lineRule="exact"/>
        <w:rPr>
          <w:sz w:val="20"/>
          <w:szCs w:val="20"/>
          <w:color w:val="auto"/>
        </w:rPr>
      </w:pPr>
    </w:p>
    <w:p>
      <w:pPr>
        <w:ind w:left="1040" w:right="60" w:hanging="831"/>
        <w:spacing w:after="0" w:line="268"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2Q Form 10-Q and incorporated herein by reference)</w:t>
      </w:r>
    </w:p>
    <w:p>
      <w:pPr>
        <w:spacing w:after="0" w:line="37" w:lineRule="exact"/>
        <w:rPr>
          <w:sz w:val="20"/>
          <w:szCs w:val="20"/>
          <w:color w:val="auto"/>
        </w:rPr>
      </w:pPr>
    </w:p>
    <w:p>
      <w:pPr>
        <w:ind w:left="1040" w:hanging="831"/>
        <w:spacing w:after="0" w:line="25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Trust’s Quarterly Report on Form 10-Q for the quarter ended September 30, 2002 (File No. 1-075330 (the “2002 3Q Form 10-Q”) and incorporated herein by reference)</w:t>
      </w:r>
    </w:p>
    <w:p>
      <w:pPr>
        <w:spacing w:after="0" w:line="46" w:lineRule="exact"/>
        <w:rPr>
          <w:sz w:val="20"/>
          <w:szCs w:val="20"/>
          <w:color w:val="auto"/>
        </w:rPr>
      </w:pPr>
    </w:p>
    <w:p>
      <w:pPr>
        <w:ind w:left="1040" w:right="20" w:hanging="831"/>
        <w:spacing w:after="0" w:line="268"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a portion of Exhibit 10 to the 2002 3Q Form 10-Q and incorporated herein by reference)</w:t>
      </w:r>
    </w:p>
    <w:p>
      <w:pPr>
        <w:spacing w:after="0" w:line="37" w:lineRule="exact"/>
        <w:rPr>
          <w:sz w:val="20"/>
          <w:szCs w:val="20"/>
          <w:color w:val="auto"/>
        </w:rPr>
      </w:pPr>
    </w:p>
    <w:p>
      <w:pPr>
        <w:ind w:left="1040" w:right="420" w:hanging="831"/>
        <w:spacing w:after="0" w:line="268"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37" w:lineRule="exact"/>
        <w:rPr>
          <w:sz w:val="20"/>
          <w:szCs w:val="20"/>
          <w:color w:val="auto"/>
        </w:rPr>
      </w:pPr>
    </w:p>
    <w:p>
      <w:pPr>
        <w:ind w:left="1040" w:right="200" w:hanging="831"/>
        <w:spacing w:after="0" w:line="268"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37" w:lineRule="exact"/>
        <w:rPr>
          <w:sz w:val="20"/>
          <w:szCs w:val="20"/>
          <w:color w:val="auto"/>
        </w:rPr>
      </w:pPr>
    </w:p>
    <w:p>
      <w:pPr>
        <w:ind w:left="1040" w:right="20" w:hanging="831"/>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Severance Agreement between the Trust and Dawn Becker dated April 19, 2000 (previously filed as Exhibit 10.26 to the Trust’s 2005 2Q Form 10-Q and incorporated herein by reference)</w:t>
      </w:r>
    </w:p>
    <w:p>
      <w:pPr>
        <w:spacing w:after="0" w:line="37" w:lineRule="exact"/>
        <w:rPr>
          <w:sz w:val="20"/>
          <w:szCs w:val="20"/>
          <w:color w:val="auto"/>
        </w:rPr>
      </w:pPr>
    </w:p>
    <w:p>
      <w:pPr>
        <w:ind w:left="1040" w:right="140" w:hanging="831"/>
        <w:spacing w:after="0" w:line="268"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37"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70" w:lineRule="exact"/>
        <w:rPr>
          <w:sz w:val="20"/>
          <w:szCs w:val="20"/>
          <w:color w:val="auto"/>
        </w:rPr>
      </w:pPr>
    </w:p>
    <w:p>
      <w:pPr>
        <w:ind w:left="1040" w:right="360" w:hanging="831"/>
        <w:spacing w:after="0" w:line="332"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Option Award Agreement for options awarded under 2001 Long-Term Incentive Plan (previously filed as Exhibit 10.30 to the 2004 Form</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10-K and incorporated herein by reference)</w:t>
      </w:r>
    </w:p>
    <w:p>
      <w:pPr>
        <w:spacing w:after="0" w:line="70" w:lineRule="exact"/>
        <w:rPr>
          <w:sz w:val="20"/>
          <w:szCs w:val="20"/>
          <w:color w:val="auto"/>
        </w:rPr>
      </w:pPr>
    </w:p>
    <w:p>
      <w:pPr>
        <w:ind w:left="1040" w:right="20" w:hanging="831"/>
        <w:spacing w:after="0" w:line="325"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10.28 to the 2004 Form 10-K and incorporated herein by reference)</w:t>
      </w:r>
    </w:p>
    <w:p>
      <w:pPr>
        <w:spacing w:after="0" w:line="1" w:lineRule="exact"/>
        <w:rPr>
          <w:sz w:val="20"/>
          <w:szCs w:val="20"/>
          <w:color w:val="auto"/>
        </w:rPr>
      </w:pPr>
    </w:p>
    <w:p>
      <w:pPr>
        <w:ind w:left="1040" w:right="20" w:hanging="831"/>
        <w:spacing w:after="0" w:line="325"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10.32 to the 2005 Form 10-K and incorporated herein by reference)</w:t>
      </w:r>
    </w:p>
    <w:p>
      <w:pPr>
        <w:spacing w:after="0" w:line="1" w:lineRule="exact"/>
        <w:rPr>
          <w:sz w:val="20"/>
          <w:szCs w:val="20"/>
          <w:color w:val="auto"/>
        </w:rPr>
      </w:pPr>
    </w:p>
    <w:p>
      <w:pPr>
        <w:ind w:left="1040" w:hanging="831"/>
        <w:spacing w:after="0" w:line="259"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Credit Agreement dated as of July 28, 2006, by and between the Trust, Wachovia Capital Markets LLC, Wachovia Bank, National Association and various other financial institutions (previously filed as Exhibit 10.1) to the Trust’s Current Report on Form 8-K (File No. 1-07533), filed on July 31, 2006 and incorporated herein by reference)</w:t>
      </w:r>
    </w:p>
    <w:p>
      <w:pPr>
        <w:spacing w:after="0" w:line="46"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(filed herewith)</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(filed herewith)</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(filed herewith)</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November 6, 2006</w:t>
            </w:r>
          </w:p>
        </w:tc>
        <w:tc>
          <w:tcPr>
            <w:tcW w:w="5140" w:type="dxa"/>
            <w:vAlign w:val="bottom"/>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November 6, 2006</w:t>
            </w:r>
          </w:p>
        </w:tc>
        <w:tc>
          <w:tcPr>
            <w:tcW w:w="5140" w:type="dxa"/>
            <w:vAlign w:val="bottom"/>
          </w:tcPr>
          <w:p>
            <w:pPr>
              <w:spacing w:after="0"/>
              <w:rPr>
                <w:sz w:val="20"/>
                <w:szCs w:val="20"/>
                <w:color w:val="auto"/>
              </w:rPr>
            </w:pPr>
            <w:r>
              <w:rPr>
                <w:rFonts w:ascii="Arial" w:cs="Arial" w:eastAsia="Arial" w:hAnsi="Arial"/>
                <w:sz w:val="18"/>
                <w:szCs w:val="18"/>
                <w:color w:val="auto"/>
              </w:rPr>
              <w:t>Larry E. Finger, Executive Vice President and</w:t>
            </w:r>
          </w:p>
        </w:tc>
      </w:tr>
      <w:tr>
        <w:trPr>
          <w:trHeight w:val="222"/>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(Principal Accounting Officer)</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2006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November 6, 2006</w:t>
            </w:r>
          </w:p>
        </w:tc>
        <w:tc>
          <w:tcPr>
            <w:tcW w:w="5140" w:type="dxa"/>
            <w:vAlign w:val="bottom"/>
          </w:tcPr>
          <w:p>
            <w:pPr>
              <w:spacing w:after="0"/>
              <w:rPr>
                <w:sz w:val="20"/>
                <w:szCs w:val="20"/>
                <w:color w:val="auto"/>
              </w:rPr>
            </w:pPr>
            <w:r>
              <w:rPr>
                <w:rFonts w:ascii="Arial" w:cs="Arial" w:eastAsia="Arial" w:hAnsi="Arial"/>
                <w:sz w:val="18"/>
                <w:szCs w:val="18"/>
                <w:color w:val="auto"/>
              </w:rPr>
              <w:t>Donald C. Wood, President, Chief Executive Officer and</w:t>
            </w:r>
          </w:p>
        </w:tc>
      </w:tr>
      <w:tr>
        <w:trPr>
          <w:trHeight w:val="222"/>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September 30, 2006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E. Finger</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November 6, 2006</w:t>
            </w:r>
          </w:p>
        </w:tc>
        <w:tc>
          <w:tcPr>
            <w:tcW w:w="5140" w:type="dxa"/>
            <w:vAlign w:val="bottom"/>
          </w:tcPr>
          <w:p>
            <w:pPr>
              <w:spacing w:after="0"/>
              <w:rPr>
                <w:sz w:val="20"/>
                <w:szCs w:val="20"/>
                <w:color w:val="auto"/>
              </w:rPr>
            </w:pPr>
            <w:r>
              <w:rPr>
                <w:rFonts w:ascii="Arial" w:cs="Arial" w:eastAsia="Arial" w:hAnsi="Arial"/>
                <w:sz w:val="18"/>
                <w:szCs w:val="18"/>
                <w:color w:val="auto"/>
              </w:rPr>
              <w:t>Larry E. Finger, Executive Vice President and</w:t>
            </w:r>
          </w:p>
        </w:tc>
      </w:tr>
      <w:tr>
        <w:trPr>
          <w:trHeight w:val="222"/>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(Principal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emdash "/>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5"/>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5"/>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4"/>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lvl w:ilvl="1">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2019-12-13T00:55:12Z</dcterms:created>
  <dcterms:modified xsi:type="dcterms:W3CDTF">2019-12-13T00:55:12Z</dcterms:modified>
</cp:coreProperties>
</file>