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333-224701</w:t>
      </w:r>
    </w:p>
    <w:p>
      <w:pPr>
        <w:spacing w:after="0" w:line="139" w:lineRule="exact"/>
        <w:rPr>
          <w:sz w:val="24"/>
          <w:szCs w:val="24"/>
          <w:color w:val="auto"/>
        </w:rPr>
      </w:pPr>
    </w:p>
    <w:p>
      <w:pPr>
        <w:ind w:left="120" w:right="20"/>
        <w:spacing w:after="0" w:line="261" w:lineRule="auto"/>
        <w:rPr>
          <w:sz w:val="20"/>
          <w:szCs w:val="20"/>
          <w:color w:val="auto"/>
        </w:rPr>
      </w:pPr>
      <w:r>
        <w:rPr>
          <w:rFonts w:ascii="Arial" w:cs="Arial" w:eastAsia="Arial" w:hAnsi="Arial"/>
          <w:sz w:val="18"/>
          <w:szCs w:val="18"/>
          <w:b w:val="1"/>
          <w:bCs w:val="1"/>
          <w:color w:val="FF4338"/>
        </w:rPr>
        <w:t>The information in this prospectus supplement and the accompanying prospectus is not complete and may be changed. A registration statement relating to these securities has been filed with the Securities and Exchange Commission and is effective. This prospectus supplement and the accompanying prospectus are not an offer to sell these securities and we are not soliciting offers to buy these securities in any jurisdiction where the offer or sale is not permitted.</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FF4338"/>
        </w:rPr>
        <w:t>SUBJECT TO COMPLETION, DATED MAY 7, 2020</w:t>
      </w:r>
    </w:p>
    <w:p>
      <w:pPr>
        <w:spacing w:after="0" w:line="171"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MAY 7, 2018)</w:t>
      </w:r>
    </w:p>
    <w:p>
      <w:pPr>
        <w:spacing w:after="0" w:line="130" w:lineRule="exact"/>
        <w:rPr>
          <w:sz w:val="24"/>
          <w:szCs w:val="24"/>
          <w:color w:val="auto"/>
        </w:rPr>
      </w:pPr>
    </w:p>
    <w:p>
      <w:pPr>
        <w:jc w:val="center"/>
        <w:ind w:right="54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152400</wp:posOffset>
            </wp:positionV>
            <wp:extent cx="192024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5420" w:hanging="1248"/>
        <w:spacing w:after="0"/>
        <w:tabs>
          <w:tab w:leader="none" w:pos="54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Notes due 2030</w:t>
      </w:r>
    </w:p>
    <w:p>
      <w:pPr>
        <w:spacing w:after="0" w:line="14" w:lineRule="exact"/>
        <w:rPr>
          <w:sz w:val="24"/>
          <w:szCs w:val="24"/>
          <w:color w:val="auto"/>
        </w:rPr>
      </w:pPr>
    </w:p>
    <w:p>
      <w:pPr>
        <w:ind w:left="5040" w:hanging="868"/>
        <w:spacing w:after="0"/>
        <w:tabs>
          <w:tab w:leader="none" w:pos="50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3.95% Notes due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201295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120"/>
        <w:spacing w:after="0"/>
        <w:tabs>
          <w:tab w:leader="none" w:pos="1980" w:val="left"/>
          <w:tab w:leader="none" w:pos="8160" w:val="left"/>
          <w:tab w:leader="none" w:pos="10880" w:val="left"/>
        </w:tabs>
        <w:rPr>
          <w:sz w:val="20"/>
          <w:szCs w:val="20"/>
          <w:color w:val="auto"/>
        </w:rPr>
      </w:pPr>
      <w:r>
        <w:rPr>
          <w:rFonts w:ascii="Arial" w:cs="Arial" w:eastAsia="Arial" w:hAnsi="Arial"/>
          <w:sz w:val="17"/>
          <w:szCs w:val="17"/>
          <w:color w:val="auto"/>
        </w:rPr>
        <w:t>We are offering $</w:t>
      </w:r>
      <w:r>
        <w:rPr>
          <w:sz w:val="20"/>
          <w:szCs w:val="20"/>
          <w:color w:val="auto"/>
        </w:rPr>
        <w:tab/>
      </w:r>
      <w:r>
        <w:rPr>
          <w:rFonts w:ascii="Arial" w:cs="Arial" w:eastAsia="Arial" w:hAnsi="Arial"/>
          <w:sz w:val="17"/>
          <w:szCs w:val="17"/>
          <w:color w:val="auto"/>
        </w:rPr>
        <w:t>aggregate principal amount of notes in two separate series. We are offering: (i) $</w:t>
      </w:r>
      <w:r>
        <w:rPr>
          <w:sz w:val="20"/>
          <w:szCs w:val="20"/>
          <w:color w:val="auto"/>
        </w:rPr>
        <w:tab/>
      </w:r>
      <w:r>
        <w:rPr>
          <w:rFonts w:ascii="Arial" w:cs="Arial" w:eastAsia="Arial" w:hAnsi="Arial"/>
          <w:sz w:val="17"/>
          <w:szCs w:val="17"/>
          <w:color w:val="auto"/>
        </w:rPr>
        <w:t>aggregate principal amount of</w:t>
      </w:r>
      <w:r>
        <w:rPr>
          <w:sz w:val="20"/>
          <w:szCs w:val="20"/>
          <w:color w:val="auto"/>
        </w:rPr>
        <w:tab/>
      </w:r>
      <w:r>
        <w:rPr>
          <w:rFonts w:ascii="Arial" w:cs="Arial" w:eastAsia="Arial" w:hAnsi="Arial"/>
          <w:sz w:val="17"/>
          <w:szCs w:val="17"/>
          <w:color w:val="auto"/>
        </w:rPr>
        <w:t>%</w:t>
      </w:r>
    </w:p>
    <w:p>
      <w:pPr>
        <w:spacing w:after="0" w:line="21" w:lineRule="exact"/>
        <w:rPr>
          <w:sz w:val="24"/>
          <w:szCs w:val="24"/>
          <w:color w:val="auto"/>
        </w:rPr>
      </w:pPr>
    </w:p>
    <w:p>
      <w:pPr>
        <w:ind w:left="120"/>
        <w:spacing w:after="0"/>
        <w:tabs>
          <w:tab w:leader="none" w:pos="3920" w:val="left"/>
        </w:tabs>
        <w:rPr>
          <w:sz w:val="20"/>
          <w:szCs w:val="20"/>
          <w:color w:val="auto"/>
        </w:rPr>
      </w:pPr>
      <w:r>
        <w:rPr>
          <w:rFonts w:ascii="Arial" w:cs="Arial" w:eastAsia="Arial" w:hAnsi="Arial"/>
          <w:sz w:val="17"/>
          <w:szCs w:val="17"/>
          <w:color w:val="auto"/>
        </w:rPr>
        <w:t>Notes due 2030 (the “2030 Notes”); and (ii) $</w:t>
      </w:r>
      <w:r>
        <w:rPr>
          <w:sz w:val="20"/>
          <w:szCs w:val="20"/>
          <w:color w:val="auto"/>
        </w:rPr>
        <w:tab/>
      </w:r>
      <w:r>
        <w:rPr>
          <w:rFonts w:ascii="Arial" w:cs="Arial" w:eastAsia="Arial" w:hAnsi="Arial"/>
          <w:sz w:val="15"/>
          <w:szCs w:val="15"/>
          <w:color w:val="auto"/>
        </w:rPr>
        <w:t>aggregate principal amount of 3.95% Notes due 2024 (the “2024 Notes” and, together with the 2030</w:t>
      </w:r>
    </w:p>
    <w:p>
      <w:pPr>
        <w:spacing w:after="0" w:line="7" w:lineRule="exact"/>
        <w:rPr>
          <w:sz w:val="24"/>
          <w:szCs w:val="24"/>
          <w:color w:val="auto"/>
        </w:rPr>
      </w:pPr>
    </w:p>
    <w:p>
      <w:pPr>
        <w:ind w:left="120"/>
        <w:spacing w:after="0"/>
        <w:tabs>
          <w:tab w:leader="none" w:pos="5360" w:val="left"/>
        </w:tabs>
        <w:rPr>
          <w:sz w:val="20"/>
          <w:szCs w:val="20"/>
          <w:color w:val="auto"/>
        </w:rPr>
      </w:pPr>
      <w:r>
        <w:rPr>
          <w:rFonts w:ascii="Arial" w:cs="Arial" w:eastAsia="Arial" w:hAnsi="Arial"/>
          <w:sz w:val="17"/>
          <w:szCs w:val="17"/>
          <w:color w:val="auto"/>
        </w:rPr>
        <w:t>Notes, the “notes”). The 2030 Notes will bear interest at the rate of</w:t>
      </w:r>
      <w:r>
        <w:rPr>
          <w:sz w:val="20"/>
          <w:szCs w:val="20"/>
          <w:color w:val="auto"/>
        </w:rPr>
        <w:tab/>
      </w:r>
      <w:r>
        <w:rPr>
          <w:rFonts w:ascii="Arial" w:cs="Arial" w:eastAsia="Arial" w:hAnsi="Arial"/>
          <w:sz w:val="15"/>
          <w:szCs w:val="15"/>
          <w:color w:val="auto"/>
        </w:rPr>
        <w:t>% per year, and the 2024 Notes will bear interest at the rate of 3.95% per year.</w:t>
      </w:r>
    </w:p>
    <w:p>
      <w:pPr>
        <w:spacing w:after="0" w:line="7" w:lineRule="exact"/>
        <w:rPr>
          <w:sz w:val="24"/>
          <w:szCs w:val="24"/>
          <w:color w:val="auto"/>
        </w:rPr>
      </w:pPr>
    </w:p>
    <w:p>
      <w:pPr>
        <w:ind w:left="120"/>
        <w:spacing w:after="0"/>
        <w:tabs>
          <w:tab w:leader="none" w:pos="5580" w:val="left"/>
          <w:tab w:leader="none" w:pos="6540" w:val="left"/>
          <w:tab w:leader="none" w:pos="9040" w:val="left"/>
        </w:tabs>
        <w:rPr>
          <w:sz w:val="20"/>
          <w:szCs w:val="20"/>
          <w:color w:val="auto"/>
        </w:rPr>
      </w:pPr>
      <w:r>
        <w:rPr>
          <w:rFonts w:ascii="Arial" w:cs="Arial" w:eastAsia="Arial" w:hAnsi="Arial"/>
          <w:sz w:val="17"/>
          <w:szCs w:val="17"/>
          <w:color w:val="auto"/>
        </w:rPr>
        <w:t>Interest on the 2030 Notes will be payable semi-annually in arrears on</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of each year, beginning on</w:t>
      </w:r>
      <w:r>
        <w:rPr>
          <w:sz w:val="20"/>
          <w:szCs w:val="20"/>
          <w:color w:val="auto"/>
        </w:rPr>
        <w:tab/>
      </w:r>
      <w:r>
        <w:rPr>
          <w:rFonts w:ascii="Arial" w:cs="Arial" w:eastAsia="Arial" w:hAnsi="Arial"/>
          <w:sz w:val="15"/>
          <w:szCs w:val="15"/>
          <w:color w:val="auto"/>
        </w:rPr>
        <w:t>, 2020, and interest on the</w:t>
      </w:r>
    </w:p>
    <w:p>
      <w:pPr>
        <w:spacing w:after="0" w:line="7" w:lineRule="exact"/>
        <w:rPr>
          <w:sz w:val="24"/>
          <w:szCs w:val="24"/>
          <w:color w:val="auto"/>
        </w:rPr>
      </w:pPr>
    </w:p>
    <w:p>
      <w:pPr>
        <w:ind w:left="120"/>
        <w:spacing w:after="0"/>
        <w:rPr>
          <w:sz w:val="20"/>
          <w:szCs w:val="20"/>
          <w:color w:val="auto"/>
        </w:rPr>
      </w:pPr>
      <w:r>
        <w:rPr>
          <w:rFonts w:ascii="Arial" w:cs="Arial" w:eastAsia="Arial" w:hAnsi="Arial"/>
          <w:sz w:val="15"/>
          <w:szCs w:val="15"/>
          <w:color w:val="auto"/>
        </w:rPr>
        <w:t>2024 Notes offered hereby will be payable semi-annually in arrears on January 15 and July 15 of each year, beginning on July 15, 2020. The 2030 Notes will</w:t>
      </w:r>
    </w:p>
    <w:p>
      <w:pPr>
        <w:spacing w:after="0" w:line="30" w:lineRule="exact"/>
        <w:rPr>
          <w:sz w:val="24"/>
          <w:szCs w:val="24"/>
          <w:color w:val="auto"/>
        </w:rPr>
      </w:pPr>
    </w:p>
    <w:p>
      <w:pPr>
        <w:ind w:left="120"/>
        <w:spacing w:after="0"/>
        <w:tabs>
          <w:tab w:leader="none" w:pos="1460" w:val="left"/>
        </w:tabs>
        <w:rPr>
          <w:sz w:val="20"/>
          <w:szCs w:val="20"/>
          <w:color w:val="auto"/>
        </w:rPr>
      </w:pPr>
      <w:r>
        <w:rPr>
          <w:rFonts w:ascii="Arial" w:cs="Arial" w:eastAsia="Arial" w:hAnsi="Arial"/>
          <w:sz w:val="17"/>
          <w:szCs w:val="17"/>
          <w:color w:val="auto"/>
        </w:rPr>
        <w:t>mature on</w:t>
      </w:r>
      <w:r>
        <w:rPr>
          <w:sz w:val="20"/>
          <w:szCs w:val="20"/>
          <w:color w:val="auto"/>
        </w:rPr>
        <w:tab/>
      </w:r>
      <w:r>
        <w:rPr>
          <w:rFonts w:ascii="Arial" w:cs="Arial" w:eastAsia="Arial" w:hAnsi="Arial"/>
          <w:sz w:val="15"/>
          <w:szCs w:val="15"/>
          <w:color w:val="auto"/>
        </w:rPr>
        <w:t>, 2030, and the 2024 Notes will mature on January 15, 2024. We may redeem some or all of the notes at any time before maturity at the</w:t>
      </w:r>
    </w:p>
    <w:p>
      <w:pPr>
        <w:spacing w:after="0" w:line="7" w:lineRule="exact"/>
        <w:rPr>
          <w:sz w:val="24"/>
          <w:szCs w:val="24"/>
          <w:color w:val="auto"/>
        </w:rPr>
      </w:pPr>
    </w:p>
    <w:p>
      <w:pPr>
        <w:ind w:left="120"/>
        <w:spacing w:after="0"/>
        <w:rPr>
          <w:sz w:val="20"/>
          <w:szCs w:val="20"/>
          <w:color w:val="auto"/>
        </w:rPr>
      </w:pPr>
      <w:r>
        <w:rPr>
          <w:rFonts w:ascii="Arial" w:cs="Arial" w:eastAsia="Arial" w:hAnsi="Arial"/>
          <w:sz w:val="17"/>
          <w:szCs w:val="17"/>
          <w:color w:val="auto"/>
        </w:rPr>
        <w:t>applicable redemption price discussed under the caption “Description of Notes — Optional Redemption.”</w:t>
      </w:r>
    </w:p>
    <w:p>
      <w:pPr>
        <w:spacing w:after="0" w:line="155" w:lineRule="exact"/>
        <w:rPr>
          <w:sz w:val="24"/>
          <w:szCs w:val="24"/>
          <w:color w:val="auto"/>
        </w:rPr>
      </w:pPr>
    </w:p>
    <w:p>
      <w:pPr>
        <w:ind w:left="120" w:right="360"/>
        <w:spacing w:after="0" w:line="261" w:lineRule="auto"/>
        <w:rPr>
          <w:sz w:val="20"/>
          <w:szCs w:val="20"/>
          <w:color w:val="auto"/>
        </w:rPr>
      </w:pPr>
      <w:r>
        <w:rPr>
          <w:rFonts w:ascii="Arial" w:cs="Arial" w:eastAsia="Arial" w:hAnsi="Arial"/>
          <w:sz w:val="17"/>
          <w:szCs w:val="17"/>
          <w:color w:val="auto"/>
        </w:rPr>
        <w:t>The notes will be our senior unsecured obligations and will rank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132" w:lineRule="exact"/>
        <w:rPr>
          <w:sz w:val="24"/>
          <w:szCs w:val="24"/>
          <w:color w:val="auto"/>
        </w:rPr>
      </w:pPr>
    </w:p>
    <w:p>
      <w:pPr>
        <w:jc w:val="both"/>
        <w:ind w:left="120" w:right="440"/>
        <w:spacing w:after="0" w:line="312" w:lineRule="auto"/>
        <w:rPr>
          <w:sz w:val="20"/>
          <w:szCs w:val="20"/>
          <w:color w:val="auto"/>
        </w:rPr>
      </w:pPr>
      <w:r>
        <w:rPr>
          <w:rFonts w:ascii="Arial" w:cs="Arial" w:eastAsia="Arial" w:hAnsi="Arial"/>
          <w:sz w:val="15"/>
          <w:szCs w:val="15"/>
          <w:color w:val="auto"/>
        </w:rPr>
        <w:t>The 2030 Notes are a new issue of securities with no established trading market. The 2024 Notes offered hereby will become part of the same series as our outstanding 3.95% Notes due 2024, $300,000,000 of which were originally issued on December 9, 2013, for all purposes, and the term 2024 Notes as used herein refers to the 2024 Notes offered hereby together with such outstanding notes. We do not intend to apply to list the notes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167005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7" w:lineRule="exact"/>
        <w:rPr>
          <w:sz w:val="24"/>
          <w:szCs w:val="24"/>
          <w:color w:val="auto"/>
        </w:rPr>
      </w:pPr>
    </w:p>
    <w:p>
      <w:pPr>
        <w:ind w:left="120" w:right="360"/>
        <w:spacing w:after="0" w:line="315"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the notes involves risks. See “</w:t>
      </w:r>
      <w:hyperlink w:anchor="page10">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beginning on page S-6 of this prospectus supplement, on page 3 of the accompanying prospectus, in our Annual Report on Form 10-K for the year ended December 31, 2019, filed with the Securities and Exchange Commission, or the SEC, on February 10, 2020 and in our Quarterly Report on Form 10-Q for the quarter ended March 31, 2020, filed with the SEC on May 6, 2020.</w:t>
      </w:r>
    </w:p>
    <w:p>
      <w:pPr>
        <w:spacing w:after="0" w:line="130" w:lineRule="exact"/>
        <w:rPr>
          <w:sz w:val="24"/>
          <w:szCs w:val="24"/>
          <w:color w:val="auto"/>
        </w:rPr>
      </w:pPr>
    </w:p>
    <w:tbl>
      <w:tblPr>
        <w:tblLayout w:type="fixed"/>
        <w:tblInd w:w="12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w w:val="90"/>
              </w:rPr>
              <w:t>Per 2030 Note</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Total 2030 Notes</w:t>
            </w:r>
          </w:p>
        </w:tc>
        <w:tc>
          <w:tcPr>
            <w:tcW w:w="860" w:type="dxa"/>
            <w:vAlign w:val="bottom"/>
          </w:tcPr>
          <w:p>
            <w:pPr>
              <w:spacing w:after="0"/>
              <w:rPr>
                <w:sz w:val="20"/>
                <w:szCs w:val="20"/>
                <w:color w:val="auto"/>
              </w:rPr>
            </w:pPr>
            <w:r>
              <w:rPr>
                <w:rFonts w:ascii="Arial" w:cs="Arial" w:eastAsia="Arial" w:hAnsi="Arial"/>
                <w:sz w:val="14"/>
                <w:szCs w:val="14"/>
                <w:b w:val="1"/>
                <w:bCs w:val="1"/>
                <w:color w:val="auto"/>
                <w:w w:val="90"/>
              </w:rPr>
              <w:t>Per 2024 Note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5"/>
              </w:rPr>
              <w:t>Total 2024 Notes</w:t>
            </w:r>
          </w:p>
        </w:tc>
      </w:tr>
      <w:tr>
        <w:trPr>
          <w:trHeight w:val="19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Public offering price (1)(2)</w:t>
            </w:r>
          </w:p>
        </w:tc>
        <w:tc>
          <w:tcPr>
            <w:tcW w:w="8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4"/>
              </w:rPr>
              <w:t>%</w:t>
            </w:r>
          </w:p>
        </w:tc>
        <w:tc>
          <w:tcPr>
            <w:tcW w:w="3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4"/>
              </w:rPr>
              <w:t>%</w:t>
            </w: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6040" w:type="dxa"/>
            <w:vAlign w:val="bottom"/>
            <w:gridSpan w:val="2"/>
          </w:tcPr>
          <w:p>
            <w:pPr>
              <w:spacing w:after="0"/>
              <w:rPr>
                <w:sz w:val="20"/>
                <w:szCs w:val="20"/>
                <w:color w:val="auto"/>
              </w:rPr>
            </w:pPr>
            <w:r>
              <w:rPr>
                <w:rFonts w:ascii="Arial" w:cs="Arial" w:eastAsia="Arial" w:hAnsi="Arial"/>
                <w:sz w:val="16"/>
                <w:szCs w:val="16"/>
                <w:color w:val="auto"/>
              </w:rPr>
              <w:t>Underwriting discount</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w w:val="84"/>
              </w:rPr>
              <w:t>%</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color w:val="auto"/>
                <w:w w:val="84"/>
              </w:rPr>
              <w:t>%</w:t>
            </w:r>
          </w:p>
        </w:tc>
        <w:tc>
          <w:tcPr>
            <w:tcW w:w="13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03"/>
        </w:trPr>
        <w:tc>
          <w:tcPr>
            <w:tcW w:w="6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Proceeds, before expenses, to us (2)</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4"/>
              </w:rPr>
              <w:t>%</w:t>
            </w: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4"/>
              </w:rPr>
              <w:t>%</w:t>
            </w:r>
          </w:p>
        </w:tc>
        <w:tc>
          <w:tcPr>
            <w:tcW w:w="13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4"/>
          <w:szCs w:val="24"/>
          <w:color w:val="auto"/>
        </w:rPr>
      </w:pPr>
    </w:p>
    <w:tbl>
      <w:tblPr>
        <w:tblLayout w:type="fixed"/>
        <w:tblInd w:w="120" w:type="dxa"/>
        <w:tblCellMar>
          <w:top w:w="0" w:type="dxa"/>
          <w:left w:w="0" w:type="dxa"/>
          <w:bottom w:w="0" w:type="dxa"/>
          <w:right w:w="0" w:type="dxa"/>
        </w:tblCellMar>
      </w:tblPr>
      <w:tr>
        <w:trPr>
          <w:trHeight w:val="202"/>
        </w:trPr>
        <w:tc>
          <w:tcPr>
            <w:tcW w:w="300" w:type="dxa"/>
            <w:vAlign w:val="bottom"/>
          </w:tcPr>
          <w:p>
            <w:pPr>
              <w:jc w:val="right"/>
              <w:ind w:right="39"/>
              <w:spacing w:after="0"/>
              <w:rPr>
                <w:sz w:val="20"/>
                <w:szCs w:val="20"/>
                <w:color w:val="auto"/>
              </w:rPr>
            </w:pPr>
            <w:r>
              <w:rPr>
                <w:rFonts w:ascii="Arial" w:cs="Arial" w:eastAsia="Arial" w:hAnsi="Arial"/>
                <w:sz w:val="16"/>
                <w:szCs w:val="16"/>
                <w:color w:val="auto"/>
                <w:w w:val="81"/>
              </w:rPr>
              <w:t>(1)</w:t>
            </w:r>
          </w:p>
        </w:tc>
        <w:tc>
          <w:tcPr>
            <w:tcW w:w="9740" w:type="dxa"/>
            <w:vAlign w:val="bottom"/>
          </w:tcPr>
          <w:p>
            <w:pPr>
              <w:ind w:left="120"/>
              <w:spacing w:after="0"/>
              <w:rPr>
                <w:sz w:val="20"/>
                <w:szCs w:val="20"/>
                <w:color w:val="auto"/>
              </w:rPr>
            </w:pPr>
            <w:r>
              <w:rPr>
                <w:rFonts w:ascii="Arial" w:cs="Arial" w:eastAsia="Arial" w:hAnsi="Arial"/>
                <w:sz w:val="16"/>
                <w:szCs w:val="16"/>
                <w:color w:val="auto"/>
              </w:rPr>
              <w:t>Plus accrued interest with respect to the notes from May   , 2020, if settlement occurs after that date.</w:t>
            </w:r>
          </w:p>
        </w:tc>
        <w:tc>
          <w:tcPr>
            <w:tcW w:w="860" w:type="dxa"/>
            <w:vAlign w:val="bottom"/>
          </w:tcPr>
          <w:p>
            <w:pPr>
              <w:spacing w:after="0"/>
              <w:rPr>
                <w:sz w:val="17"/>
                <w:szCs w:val="17"/>
                <w:color w:val="auto"/>
              </w:rPr>
            </w:pPr>
          </w:p>
        </w:tc>
      </w:tr>
      <w:tr>
        <w:trPr>
          <w:trHeight w:val="203"/>
        </w:trPr>
        <w:tc>
          <w:tcPr>
            <w:tcW w:w="300" w:type="dxa"/>
            <w:vAlign w:val="bottom"/>
          </w:tcPr>
          <w:p>
            <w:pPr>
              <w:jc w:val="right"/>
              <w:ind w:right="39"/>
              <w:spacing w:after="0"/>
              <w:rPr>
                <w:sz w:val="20"/>
                <w:szCs w:val="20"/>
                <w:color w:val="auto"/>
              </w:rPr>
            </w:pPr>
            <w:r>
              <w:rPr>
                <w:rFonts w:ascii="Arial" w:cs="Arial" w:eastAsia="Arial" w:hAnsi="Arial"/>
                <w:sz w:val="16"/>
                <w:szCs w:val="16"/>
                <w:color w:val="auto"/>
                <w:w w:val="81"/>
              </w:rPr>
              <w:t>(2)</w:t>
            </w:r>
          </w:p>
        </w:tc>
        <w:tc>
          <w:tcPr>
            <w:tcW w:w="9740" w:type="dxa"/>
            <w:vAlign w:val="bottom"/>
          </w:tcPr>
          <w:p>
            <w:pPr>
              <w:ind w:left="120"/>
              <w:spacing w:after="0"/>
              <w:rPr>
                <w:sz w:val="20"/>
                <w:szCs w:val="20"/>
                <w:color w:val="auto"/>
              </w:rPr>
            </w:pPr>
            <w:r>
              <w:rPr>
                <w:rFonts w:ascii="Arial" w:cs="Arial" w:eastAsia="Arial" w:hAnsi="Arial"/>
                <w:sz w:val="16"/>
                <w:szCs w:val="16"/>
                <w:color w:val="auto"/>
                <w:w w:val="95"/>
              </w:rPr>
              <w:t>Plus accrued interest with respect to the 2024 Notes from and including January 15, 2020 to, but not including, May   , 2020 in the amount of $</w:t>
            </w:r>
          </w:p>
        </w:tc>
        <w:tc>
          <w:tcPr>
            <w:tcW w:w="860" w:type="dxa"/>
            <w:vAlign w:val="bottom"/>
          </w:tcPr>
          <w:p>
            <w:pPr>
              <w:ind w:left="240"/>
              <w:spacing w:after="0"/>
              <w:rPr>
                <w:sz w:val="20"/>
                <w:szCs w:val="20"/>
                <w:color w:val="auto"/>
              </w:rPr>
            </w:pPr>
            <w:r>
              <w:rPr>
                <w:rFonts w:ascii="Arial" w:cs="Arial" w:eastAsia="Arial" w:hAnsi="Arial"/>
                <w:sz w:val="16"/>
                <w:szCs w:val="16"/>
                <w:color w:val="auto"/>
                <w:w w:val="88"/>
              </w:rPr>
              <w:t>. Accrued</w:t>
            </w:r>
          </w:p>
        </w:tc>
      </w:tr>
      <w:tr>
        <w:trPr>
          <w:trHeight w:val="206"/>
        </w:trPr>
        <w:tc>
          <w:tcPr>
            <w:tcW w:w="300" w:type="dxa"/>
            <w:vAlign w:val="bottom"/>
          </w:tcPr>
          <w:p>
            <w:pPr>
              <w:spacing w:after="0"/>
              <w:rPr>
                <w:sz w:val="17"/>
                <w:szCs w:val="17"/>
                <w:color w:val="auto"/>
              </w:rPr>
            </w:pPr>
          </w:p>
        </w:tc>
        <w:tc>
          <w:tcPr>
            <w:tcW w:w="9740" w:type="dxa"/>
            <w:vAlign w:val="bottom"/>
          </w:tcPr>
          <w:p>
            <w:pPr>
              <w:ind w:left="120"/>
              <w:spacing w:after="0"/>
              <w:rPr>
                <w:sz w:val="20"/>
                <w:szCs w:val="20"/>
                <w:color w:val="auto"/>
              </w:rPr>
            </w:pPr>
            <w:r>
              <w:rPr>
                <w:rFonts w:ascii="Arial" w:cs="Arial" w:eastAsia="Arial" w:hAnsi="Arial"/>
                <w:sz w:val="16"/>
                <w:szCs w:val="16"/>
                <w:color w:val="auto"/>
              </w:rPr>
              <w:t>interest must be paid by purchasers of the 2024 Notes.</w:t>
            </w:r>
          </w:p>
        </w:tc>
        <w:tc>
          <w:tcPr>
            <w:tcW w:w="860" w:type="dxa"/>
            <w:vAlign w:val="bottom"/>
          </w:tcPr>
          <w:p>
            <w:pPr>
              <w:spacing w:after="0"/>
              <w:rPr>
                <w:sz w:val="17"/>
                <w:szCs w:val="17"/>
                <w:color w:val="auto"/>
              </w:rPr>
            </w:pPr>
          </w:p>
        </w:tc>
      </w:tr>
    </w:tbl>
    <w:p>
      <w:pPr>
        <w:spacing w:after="0" w:line="150" w:lineRule="exact"/>
        <w:rPr>
          <w:sz w:val="24"/>
          <w:szCs w:val="24"/>
          <w:color w:val="auto"/>
        </w:rPr>
      </w:pPr>
    </w:p>
    <w:p>
      <w:pPr>
        <w:jc w:val="both"/>
        <w:ind w:left="120" w:right="140"/>
        <w:spacing w:after="0" w:line="274" w:lineRule="auto"/>
        <w:rPr>
          <w:sz w:val="20"/>
          <w:szCs w:val="20"/>
          <w:color w:val="auto"/>
        </w:rPr>
      </w:pPr>
      <w:r>
        <w:rPr>
          <w:rFonts w:ascii="Arial" w:cs="Arial" w:eastAsia="Arial" w:hAnsi="Arial"/>
          <w:sz w:val="17"/>
          <w:szCs w:val="17"/>
          <w:color w:val="auto"/>
        </w:rPr>
        <w:t>The underwriters expect to deliver the notes to purchasers in book-entry only form through the facilities of The Depository Trust Company on or about May , 2020.</w:t>
      </w:r>
    </w:p>
    <w:p>
      <w:pPr>
        <w:spacing w:after="0" w:line="117" w:lineRule="exact"/>
        <w:rPr>
          <w:sz w:val="24"/>
          <w:szCs w:val="24"/>
          <w:color w:val="auto"/>
        </w:rPr>
      </w:pPr>
    </w:p>
    <w:p>
      <w:pPr>
        <w:ind w:left="120" w:right="260"/>
        <w:spacing w:after="0" w:line="311"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173990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Joint Book-Running Managers</w:t>
      </w:r>
    </w:p>
    <w:p>
      <w:pPr>
        <w:spacing w:after="0" w:line="194" w:lineRule="exact"/>
        <w:rPr>
          <w:sz w:val="24"/>
          <w:szCs w:val="24"/>
          <w:color w:val="auto"/>
        </w:rPr>
      </w:pPr>
    </w:p>
    <w:p>
      <w:pPr>
        <w:ind w:left="240"/>
        <w:spacing w:after="0"/>
        <w:tabs>
          <w:tab w:leader="none" w:pos="1880" w:val="left"/>
          <w:tab w:leader="none" w:pos="5100" w:val="left"/>
          <w:tab w:leader="none" w:pos="6440" w:val="left"/>
          <w:tab w:leader="none" w:pos="8460" w:val="left"/>
        </w:tabs>
        <w:rPr>
          <w:sz w:val="20"/>
          <w:szCs w:val="20"/>
          <w:color w:val="auto"/>
        </w:rPr>
      </w:pPr>
      <w:r>
        <w:rPr>
          <w:rFonts w:ascii="Arial" w:cs="Arial" w:eastAsia="Arial" w:hAnsi="Arial"/>
          <w:sz w:val="23"/>
          <w:szCs w:val="23"/>
          <w:b w:val="1"/>
          <w:bCs w:val="1"/>
          <w:color w:val="auto"/>
        </w:rPr>
        <w:t>Citigroup</w:t>
      </w:r>
      <w:r>
        <w:rPr>
          <w:sz w:val="20"/>
          <w:szCs w:val="20"/>
          <w:color w:val="auto"/>
        </w:rPr>
        <w:tab/>
      </w:r>
      <w:r>
        <w:rPr>
          <w:rFonts w:ascii="Arial" w:cs="Arial" w:eastAsia="Arial" w:hAnsi="Arial"/>
          <w:sz w:val="23"/>
          <w:szCs w:val="23"/>
          <w:b w:val="1"/>
          <w:bCs w:val="1"/>
          <w:color w:val="auto"/>
        </w:rPr>
        <w:t>Deutsche Bank Securities</w:t>
      </w:r>
      <w:r>
        <w:rPr>
          <w:sz w:val="20"/>
          <w:szCs w:val="20"/>
          <w:color w:val="auto"/>
        </w:rPr>
        <w:tab/>
      </w:r>
      <w:r>
        <w:rPr>
          <w:rFonts w:ascii="Arial" w:cs="Arial" w:eastAsia="Arial" w:hAnsi="Arial"/>
          <w:sz w:val="23"/>
          <w:szCs w:val="23"/>
          <w:b w:val="1"/>
          <w:bCs w:val="1"/>
          <w:color w:val="auto"/>
        </w:rPr>
        <w:t>Jefferies</w:t>
      </w:r>
      <w:r>
        <w:rPr>
          <w:sz w:val="20"/>
          <w:szCs w:val="20"/>
          <w:color w:val="auto"/>
        </w:rPr>
        <w:tab/>
      </w:r>
      <w:r>
        <w:rPr>
          <w:rFonts w:ascii="Arial" w:cs="Arial" w:eastAsia="Arial" w:hAnsi="Arial"/>
          <w:sz w:val="23"/>
          <w:szCs w:val="23"/>
          <w:b w:val="1"/>
          <w:bCs w:val="1"/>
          <w:color w:val="auto"/>
        </w:rPr>
        <w:t>US Bancorp</w:t>
      </w:r>
      <w:r>
        <w:rPr>
          <w:sz w:val="20"/>
          <w:szCs w:val="20"/>
          <w:color w:val="auto"/>
        </w:rPr>
        <w:tab/>
      </w:r>
      <w:r>
        <w:rPr>
          <w:rFonts w:ascii="Arial" w:cs="Arial" w:eastAsia="Arial" w:hAnsi="Arial"/>
          <w:sz w:val="20"/>
          <w:szCs w:val="20"/>
          <w:b w:val="1"/>
          <w:bCs w:val="1"/>
          <w:color w:val="auto"/>
        </w:rPr>
        <w:t>Wells Fargo Securities</w:t>
      </w:r>
    </w:p>
    <w:p>
      <w:pPr>
        <w:spacing w:after="0" w:line="32" w:lineRule="exact"/>
        <w:rPr>
          <w:sz w:val="24"/>
          <w:szCs w:val="24"/>
          <w:color w:val="auto"/>
        </w:rPr>
      </w:pPr>
    </w:p>
    <w:p>
      <w:pPr>
        <w:ind w:left="700"/>
        <w:spacing w:after="0"/>
        <w:tabs>
          <w:tab w:leader="none" w:pos="4020" w:val="left"/>
          <w:tab w:leader="none" w:pos="8620" w:val="left"/>
        </w:tabs>
        <w:rPr>
          <w:sz w:val="20"/>
          <w:szCs w:val="20"/>
          <w:color w:val="auto"/>
        </w:rPr>
      </w:pPr>
      <w:r>
        <w:rPr>
          <w:rFonts w:ascii="Arial" w:cs="Arial" w:eastAsia="Arial" w:hAnsi="Arial"/>
          <w:sz w:val="23"/>
          <w:szCs w:val="23"/>
          <w:b w:val="1"/>
          <w:bCs w:val="1"/>
          <w:color w:val="auto"/>
        </w:rPr>
        <w:t>Regions Securities LLC</w:t>
      </w:r>
      <w:r>
        <w:rPr>
          <w:sz w:val="20"/>
          <w:szCs w:val="20"/>
          <w:color w:val="auto"/>
        </w:rPr>
        <w:tab/>
      </w:r>
      <w:r>
        <w:rPr>
          <w:rFonts w:ascii="Arial" w:cs="Arial" w:eastAsia="Arial" w:hAnsi="Arial"/>
          <w:sz w:val="23"/>
          <w:szCs w:val="23"/>
          <w:b w:val="1"/>
          <w:bCs w:val="1"/>
          <w:color w:val="auto"/>
        </w:rPr>
        <w:t>SunTrust Robinson Humphrey</w:t>
      </w:r>
      <w:r>
        <w:rPr>
          <w:sz w:val="20"/>
          <w:szCs w:val="20"/>
          <w:color w:val="auto"/>
        </w:rPr>
        <w:tab/>
      </w:r>
      <w:r>
        <w:rPr>
          <w:rFonts w:ascii="Arial" w:cs="Arial" w:eastAsia="Arial" w:hAnsi="Arial"/>
          <w:sz w:val="21"/>
          <w:szCs w:val="21"/>
          <w:b w:val="1"/>
          <w:bCs w:val="1"/>
          <w:color w:val="auto"/>
        </w:rPr>
        <w:t>TD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204470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354" w:lineRule="exact"/>
        <w:rPr>
          <w:sz w:val="24"/>
          <w:szCs w:val="24"/>
          <w:color w:val="auto"/>
        </w:rPr>
      </w:pPr>
    </w:p>
    <w:p>
      <w:pPr>
        <w:jc w:val="center"/>
        <w:ind w:right="-119"/>
        <w:spacing w:after="0"/>
        <w:tabs>
          <w:tab w:leader="none" w:pos="180" w:val="left"/>
        </w:tabs>
        <w:rPr>
          <w:sz w:val="20"/>
          <w:szCs w:val="20"/>
          <w:color w:val="auto"/>
        </w:rPr>
      </w:pPr>
      <w:r>
        <w:rPr>
          <w:rFonts w:ascii="Arial" w:cs="Arial" w:eastAsia="Arial" w:hAnsi="Arial"/>
          <w:sz w:val="17"/>
          <w:szCs w:val="17"/>
          <w:b w:val="1"/>
          <w:bCs w:val="1"/>
          <w:color w:val="auto"/>
        </w:rPr>
        <w:t>The date of this prospectus supplement is May</w:t>
      </w:r>
      <w:r>
        <w:rPr>
          <w:sz w:val="20"/>
          <w:szCs w:val="20"/>
          <w:color w:val="auto"/>
        </w:rPr>
        <w:tab/>
      </w:r>
      <w:r>
        <w:rPr>
          <w:rFonts w:ascii="Arial" w:cs="Arial" w:eastAsia="Arial" w:hAnsi="Arial"/>
          <w:sz w:val="15"/>
          <w:szCs w:val="15"/>
          <w:b w:val="1"/>
          <w:bCs w:val="1"/>
          <w:color w:val="auto"/>
        </w:rPr>
        <w:t>, 2020.</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40" w:type="dxa"/>
            <w:vAlign w:val="bottom"/>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582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840" w:type="dxa"/>
            <w:vAlign w:val="bottom"/>
            <w:vMerge w:val="continue"/>
          </w:tcPr>
          <w:p>
            <w:pPr>
              <w:spacing w:after="0"/>
              <w:rPr>
                <w:sz w:val="16"/>
                <w:szCs w:val="16"/>
                <w:color w:val="auto"/>
              </w:rPr>
            </w:pPr>
          </w:p>
        </w:tc>
        <w:tc>
          <w:tcPr>
            <w:tcW w:w="582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w w:val="95"/>
              </w:rPr>
            </w:pPr>
            <w:hyperlink w:anchor="page3">
              <w:r>
                <w:rPr>
                  <w:rFonts w:ascii="Arial" w:cs="Arial" w:eastAsia="Arial" w:hAnsi="Arial"/>
                  <w:sz w:val="18"/>
                  <w:szCs w:val="18"/>
                  <w:u w:val="single" w:color="auto"/>
                  <w:color w:val="0000EE"/>
                  <w:w w:val="95"/>
                </w:rPr>
                <w:t>Cautionary Statement Concerning Forward-Looking Statements</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Supplement Summary</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Use of Proceeds</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Description of Notes</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Additional Material Federal Income Tax Considerations</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Underwriting (Conflicts of Interest)</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Experts</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Legal Matters</w:t>
              </w:r>
            </w:hyperlink>
          </w:p>
        </w:tc>
        <w:tc>
          <w:tcPr>
            <w:tcW w:w="58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S-</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648"/>
        </w:trPr>
        <w:tc>
          <w:tcPr>
            <w:tcW w:w="4840" w:type="dxa"/>
            <w:vAlign w:val="bottom"/>
          </w:tcPr>
          <w:p>
            <w:pPr>
              <w:spacing w:after="0"/>
              <w:rPr>
                <w:sz w:val="24"/>
                <w:szCs w:val="24"/>
                <w:color w:val="auto"/>
              </w:rPr>
            </w:pPr>
          </w:p>
        </w:tc>
        <w:tc>
          <w:tcPr>
            <w:tcW w:w="6140" w:type="dxa"/>
            <w:vAlign w:val="bottom"/>
            <w:gridSpan w:val="3"/>
          </w:tcPr>
          <w:p>
            <w:pPr>
              <w:ind w:left="24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1"/>
        </w:trPr>
        <w:tc>
          <w:tcPr>
            <w:tcW w:w="4840" w:type="dxa"/>
            <w:vAlign w:val="bottom"/>
            <w:vMerge w:val="restart"/>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About this Prospectus</w:t>
              </w:r>
            </w:hyperlink>
          </w:p>
        </w:tc>
        <w:tc>
          <w:tcPr>
            <w:tcW w:w="58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840" w:type="dxa"/>
            <w:vAlign w:val="bottom"/>
            <w:vMerge w:val="continue"/>
          </w:tcPr>
          <w:p>
            <w:pPr>
              <w:spacing w:after="0"/>
              <w:rPr>
                <w:sz w:val="16"/>
                <w:szCs w:val="16"/>
                <w:color w:val="auto"/>
              </w:rPr>
            </w:pPr>
          </w:p>
        </w:tc>
        <w:tc>
          <w:tcPr>
            <w:tcW w:w="582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Forward-Looking Statements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Prospectus Summary</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Use of Proceeds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Debt Securities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Description of Shares of Beneficial Interest</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Material Federal Income Tax Considerations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Plan of Distribution</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Legal Matters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84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Experts</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484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Where You Can Find More Information</w:t>
              </w:r>
            </w:hyperlink>
          </w:p>
        </w:tc>
        <w:tc>
          <w:tcPr>
            <w:tcW w:w="614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92"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left="120"/>
        <w:spacing w:after="0" w:line="314" w:lineRule="auto"/>
        <w:rPr>
          <w:sz w:val="20"/>
          <w:szCs w:val="20"/>
          <w:color w:val="auto"/>
        </w:rPr>
      </w:pPr>
      <w:r>
        <w:rPr>
          <w:rFonts w:ascii="Arial" w:cs="Arial" w:eastAsia="Arial" w:hAnsi="Arial"/>
          <w:sz w:val="15"/>
          <w:szCs w:val="15"/>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120" w:right="12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in our </w:t>
      </w:r>
      <w:hyperlink r:id="rId16">
        <w:r>
          <w:rPr>
            <w:rFonts w:ascii="Arial" w:cs="Arial" w:eastAsia="Arial" w:hAnsi="Arial"/>
            <w:sz w:val="17"/>
            <w:szCs w:val="17"/>
            <w:color w:val="auto"/>
          </w:rPr>
          <w:t xml:space="preserve">Annual Report on </w:t>
        </w:r>
        <w:r>
          <w:rPr>
            <w:rFonts w:ascii="Arial" w:cs="Arial" w:eastAsia="Arial" w:hAnsi="Arial"/>
            <w:sz w:val="17"/>
            <w:szCs w:val="17"/>
            <w:u w:val="single" w:color="auto"/>
            <w:color w:val="0000EE"/>
          </w:rPr>
          <w:t>Form 10-K for the year ended December 31, 2019</w:t>
        </w:r>
        <w:r>
          <w:rPr>
            <w:rFonts w:ascii="Arial" w:cs="Arial" w:eastAsia="Arial" w:hAnsi="Arial"/>
            <w:sz w:val="17"/>
            <w:szCs w:val="17"/>
            <w:color w:val="auto"/>
          </w:rPr>
          <w:t xml:space="preserve">, filed with the SEC on February 10, 2020 and in our Quarterly Report on </w:t>
        </w:r>
        <w:r>
          <w:rPr>
            <w:rFonts w:ascii="Arial" w:cs="Arial" w:eastAsia="Arial" w:hAnsi="Arial"/>
            <w:sz w:val="17"/>
            <w:szCs w:val="17"/>
            <w:u w:val="single" w:color="auto"/>
            <w:color w:val="0000EE"/>
          </w:rPr>
          <w:t>Form</w:t>
        </w:r>
      </w:hyperlink>
      <w:r>
        <w:rPr>
          <w:rFonts w:ascii="Arial" w:cs="Arial" w:eastAsia="Arial" w:hAnsi="Arial"/>
          <w:sz w:val="17"/>
          <w:szCs w:val="17"/>
          <w:color w:val="auto"/>
        </w:rPr>
        <w:t xml:space="preserve"> </w:t>
      </w:r>
      <w:hyperlink r:id="rId16">
        <w:r>
          <w:rPr>
            <w:rFonts w:ascii="Arial" w:cs="Arial" w:eastAsia="Arial" w:hAnsi="Arial"/>
            <w:sz w:val="17"/>
            <w:szCs w:val="17"/>
            <w:u w:val="single" w:color="auto"/>
            <w:color w:val="0000EE"/>
          </w:rPr>
          <w:t>10-Q for the quarter ended March 31, 2020</w:t>
        </w:r>
        <w:r>
          <w:rPr>
            <w:rFonts w:ascii="Arial" w:cs="Arial" w:eastAsia="Arial" w:hAnsi="Arial"/>
            <w:sz w:val="17"/>
            <w:szCs w:val="17"/>
            <w:color w:val="000000"/>
          </w:rPr>
          <w:t>, filed with the SEC on May 6, 2020, describe risks that may affect these statements but are not exhaustive,</w:t>
        </w:r>
      </w:hyperlink>
      <w:r>
        <w:rPr>
          <w:rFonts w:ascii="Arial" w:cs="Arial" w:eastAsia="Arial" w:hAnsi="Arial"/>
          <w:sz w:val="17"/>
          <w:szCs w:val="17"/>
          <w:color w:val="0000EE"/>
        </w:rPr>
        <w:t xml:space="preserve"> </w:t>
      </w:r>
      <w:r>
        <w:rPr>
          <w:rFonts w:ascii="Arial" w:cs="Arial" w:eastAsia="Arial" w:hAnsi="Arial"/>
          <w:sz w:val="17"/>
          <w:szCs w:val="17"/>
          <w:color w:val="000000"/>
        </w:rPr>
        <w:t>particularly with respect to possible future events. Many things can happen that can cause actual results to be different from those we describe. These factors include, but are not limited to:</w:t>
      </w:r>
    </w:p>
    <w:p>
      <w:pPr>
        <w:spacing w:after="0" w:line="87" w:lineRule="exact"/>
        <w:rPr>
          <w:sz w:val="20"/>
          <w:szCs w:val="20"/>
          <w:color w:val="auto"/>
        </w:rPr>
      </w:pPr>
    </w:p>
    <w:p>
      <w:pPr>
        <w:ind w:left="1080" w:right="3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
        </w:numPr>
        <w:rPr>
          <w:rFonts w:ascii="Arial" w:cs="Arial" w:eastAsia="Arial" w:hAnsi="Arial"/>
          <w:sz w:val="17"/>
          <w:szCs w:val="17"/>
          <w:color w:val="auto"/>
        </w:rPr>
      </w:pPr>
      <w:r>
        <w:rPr>
          <w:rFonts w:ascii="Arial" w:cs="Arial" w:eastAsia="Arial" w:hAnsi="Arial"/>
          <w:sz w:val="17"/>
          <w:szCs w:val="17"/>
          <w:color w:val="auto"/>
        </w:rPr>
        <w:t>occupancy levels at our properties and the amount of rent that we receive from our properties may be lower than expected,</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that costs associated with the periodic maintenance and repair or renovation of space, insurance and other operations may increase,</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9"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right="200"/>
        <w:spacing w:after="0" w:line="263"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300" w:right="160"/>
        <w:spacing w:after="0" w:line="272" w:lineRule="auto"/>
        <w:rPr>
          <w:sz w:val="20"/>
          <w:szCs w:val="20"/>
          <w:color w:val="auto"/>
        </w:rPr>
      </w:pPr>
      <w:r>
        <w:rPr>
          <w:rFonts w:ascii="Arial" w:cs="Arial" w:eastAsia="Arial" w:hAnsi="Arial"/>
          <w:sz w:val="17"/>
          <w:szCs w:val="17"/>
          <w:color w:val="auto"/>
        </w:rPr>
        <w:t>Federal Realty Investment Trust (the “Trust”) is an equity REIT specializing in the ownership, management and redevelopment of retail and mixed-use properties. Our properties are located primarily in densely populated and affluent communities in strategically selected metropolitan markets in the Northeast and Mid-Atlantic regions of the United States, California, and South Florida. As of March 31, 2020, we owned or had a majority interest in community and neighborhood shopping centers and mixed-use properties which are operated as 104 predominantly retail real estate projects comprising approximately 24.1 million square feet. In total, the real estate projects were 93.6% leased and 91.5% occupied at March 31, 2020. We have paid quarterly dividends to our shareholders continuously since our founding in 1962 and have increased our dividends per common share for 52 consecutive years.</w:t>
      </w:r>
    </w:p>
    <w:p>
      <w:pPr>
        <w:spacing w:after="0" w:line="177"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w:t>
      </w:r>
    </w:p>
    <w:p>
      <w:pPr>
        <w:spacing w:after="0" w:line="2" w:lineRule="exact"/>
        <w:rPr>
          <w:sz w:val="20"/>
          <w:szCs w:val="20"/>
          <w:color w:val="auto"/>
        </w:rPr>
      </w:pPr>
    </w:p>
    <w:p>
      <w:pPr>
        <w:ind w:left="300" w:right="800" w:hanging="2"/>
        <w:spacing w:after="0" w:line="260"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Financing Transactions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New Term Loan</w:t>
      </w:r>
    </w:p>
    <w:p>
      <w:pPr>
        <w:spacing w:after="0" w:line="117"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On May 6, 2020, we entered into a Term Loan Agreement (the “Term Loan Agreement”), by and among the Trust, as Borrower, the financial institutions party thereto and their permitted assignees, as Lenders, PNC Bank, National Association, as Administrative Agent, and the other parties thereto. Under the terms of the Term Loan Agreement, we borrowed $400 million in the form of an unsecured term loan (the “New Term Loan”). The New Term Loan has a stated maturity date of May 6, 2021, subject to one 12-month extension at our option. The New Term Loan initially bears interest at a rate of LIBOR plus 135 basis points, and the spread over LIBOR is subject to adjustment based on our credit rating. The Term Loan Agreement does not have an accordion feature. The proceeds of the New Term Loan were used to reduce amounts outstanding under our revolving credit facility.</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Amendment to Revolving Credit Facility</w:t>
      </w:r>
    </w:p>
    <w:p>
      <w:pPr>
        <w:spacing w:after="0" w:line="117" w:lineRule="exact"/>
        <w:rPr>
          <w:sz w:val="20"/>
          <w:szCs w:val="20"/>
          <w:color w:val="auto"/>
        </w:rPr>
      </w:pPr>
    </w:p>
    <w:p>
      <w:pPr>
        <w:ind w:left="300" w:right="100"/>
        <w:spacing w:after="0" w:line="255" w:lineRule="auto"/>
        <w:rPr>
          <w:sz w:val="20"/>
          <w:szCs w:val="20"/>
          <w:color w:val="auto"/>
        </w:rPr>
      </w:pPr>
      <w:r>
        <w:rPr>
          <w:rFonts w:ascii="Arial" w:cs="Arial" w:eastAsia="Arial" w:hAnsi="Arial"/>
          <w:sz w:val="18"/>
          <w:szCs w:val="18"/>
          <w:color w:val="auto"/>
        </w:rPr>
        <w:t>Also on May 6, 2020, we entered into an amendment (the “Amendment”) to our Amended and Restated Credit Agreement, dated as of July 25, 2019, by and among the Trust, as Borrower, each of the lenders party thereto, and Wells Fargo Bank, National Association, as Administrative Agent. Among other things, the Amendment modifies the measurement period for certain financial covenants (and relevant associated definitions) from the most recent quarter, annualized, to a trailing four-quarter period, includes cash on hand (above a specified level) in the unencumbered asset value calculation, and allows for construction-in-process to be a higher percentage of certain asset value calculations, all as more specifically provided in the Amendment.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Effects of COVID-19</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COVID-19 pandemic has adversely affected us and many of our tenants. As of May 1, 2020:</w:t>
      </w:r>
    </w:p>
    <w:p>
      <w:pPr>
        <w:spacing w:after="0" w:line="131" w:lineRule="exact"/>
        <w:rPr>
          <w:sz w:val="20"/>
          <w:szCs w:val="20"/>
          <w:color w:val="auto"/>
        </w:rPr>
      </w:pPr>
    </w:p>
    <w:p>
      <w:pPr>
        <w:ind w:left="1240" w:right="14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on the basis of annualized in place contractual base rent for all occupied spaces as of March 31, 2020, approximately 47% of our commercial tenants are open and operating on at least a modified basis.</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collected approximately 53% of total April 2020 billed recurring rents.</w:t>
      </w:r>
    </w:p>
    <w:p>
      <w:pPr>
        <w:spacing w:after="0" w:line="225" w:lineRule="exact"/>
        <w:rPr>
          <w:sz w:val="20"/>
          <w:szCs w:val="20"/>
          <w:color w:val="auto"/>
        </w:rPr>
      </w:pPr>
    </w:p>
    <w:p>
      <w:pPr>
        <w:ind w:left="300" w:right="120"/>
        <w:spacing w:after="0" w:line="290" w:lineRule="auto"/>
        <w:rPr>
          <w:sz w:val="20"/>
          <w:szCs w:val="20"/>
          <w:color w:val="auto"/>
        </w:rPr>
      </w:pPr>
      <w:r>
        <w:rPr>
          <w:rFonts w:ascii="Arial" w:cs="Arial" w:eastAsia="Arial" w:hAnsi="Arial"/>
          <w:sz w:val="16"/>
          <w:szCs w:val="16"/>
          <w:color w:val="auto"/>
        </w:rPr>
        <w:t>Due to the uncertainty introduced by the COVID-19 pandemic, our April collections may not be indicative of our future collections, which may exhibit significant variability. We are currently working with many of our smaller tenants to defer payment of rent for some or all of April, May, and June to later in 2020, and in many cases into 2021. We are expecting that our rent collections will continue to be significantly below our tenants’ contractual rent obligations for so long as governmental orders require non-essential businesses to remain closed and residents to stay at home, which will adversely impact our results of operations. The extent of such impact will depend on future developments, which are highly uncertain and cannot be predicted. Depending upon the duration of tenant closures and the overall economic downturn resulting from COVID-19, we may find that even deferred rents are difficult to collect, and we may experience higher vacancies. While the duration and severity of the economic impact resulting from COVID-19 is unknown, we seek to position the Trust to participate in any resulting economic recovery.</w:t>
      </w:r>
    </w:p>
    <w:p>
      <w:pPr>
        <w:spacing w:after="0" w:line="165" w:lineRule="exact"/>
        <w:rPr>
          <w:sz w:val="20"/>
          <w:szCs w:val="20"/>
          <w:color w:val="auto"/>
        </w:rPr>
      </w:pPr>
    </w:p>
    <w:p>
      <w:pPr>
        <w:jc w:val="both"/>
        <w:ind w:left="300" w:right="220"/>
        <w:spacing w:after="0" w:line="311" w:lineRule="auto"/>
        <w:rPr>
          <w:sz w:val="20"/>
          <w:szCs w:val="20"/>
          <w:color w:val="auto"/>
        </w:rPr>
      </w:pPr>
      <w:r>
        <w:rPr>
          <w:rFonts w:ascii="Arial" w:cs="Arial" w:eastAsia="Arial" w:hAnsi="Arial"/>
          <w:sz w:val="16"/>
          <w:szCs w:val="16"/>
          <w:color w:val="auto"/>
        </w:rPr>
        <w:t>Additionally, the pandemic could cause an increase in the number of our tenants experiencing financial distress and potentially bankruptcy. The pandemic is expected to adversely affect our operating cash flow and percentage rent. It is also possible that the pandemic could adversely affect our occupancy, increase our property-level expenses, and adversely affect our leasing efforts, and lead to potential impairments.</w:t>
      </w:r>
    </w:p>
    <w:p>
      <w:pPr>
        <w:spacing w:after="0" w:line="36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i w:val="1"/>
          <w:iCs w:val="1"/>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Issuer</w:t>
            </w:r>
          </w:p>
        </w:tc>
        <w:tc>
          <w:tcPr>
            <w:tcW w:w="5760" w:type="dxa"/>
            <w:vAlign w:val="bottom"/>
            <w:gridSpan w:val="3"/>
          </w:tcPr>
          <w:p>
            <w:pPr>
              <w:ind w:left="1960"/>
              <w:spacing w:after="0"/>
              <w:rPr>
                <w:sz w:val="20"/>
                <w:szCs w:val="20"/>
                <w:color w:val="auto"/>
              </w:rPr>
            </w:pPr>
            <w:r>
              <w:rPr>
                <w:rFonts w:ascii="Arial" w:cs="Arial" w:eastAsia="Arial" w:hAnsi="Arial"/>
                <w:sz w:val="18"/>
                <w:szCs w:val="18"/>
                <w:color w:val="auto"/>
              </w:rPr>
              <w:t>Federal Realty Investment Trust.</w:t>
            </w:r>
          </w:p>
        </w:tc>
        <w:tc>
          <w:tcPr>
            <w:tcW w:w="1280" w:type="dxa"/>
            <w:vAlign w:val="bottom"/>
          </w:tcPr>
          <w:p>
            <w:pPr>
              <w:spacing w:after="0"/>
              <w:rPr>
                <w:sz w:val="20"/>
                <w:szCs w:val="20"/>
                <w:color w:val="auto"/>
              </w:rPr>
            </w:pPr>
          </w:p>
        </w:tc>
      </w:tr>
      <w:tr>
        <w:trPr>
          <w:trHeight w:val="310"/>
        </w:trPr>
        <w:tc>
          <w:tcPr>
            <w:tcW w:w="3580" w:type="dxa"/>
            <w:vAlign w:val="bottom"/>
          </w:tcPr>
          <w:p>
            <w:pPr>
              <w:spacing w:after="0"/>
              <w:rPr>
                <w:sz w:val="20"/>
                <w:szCs w:val="20"/>
                <w:color w:val="auto"/>
              </w:rPr>
            </w:pPr>
            <w:r>
              <w:rPr>
                <w:rFonts w:ascii="Arial" w:cs="Arial" w:eastAsia="Arial" w:hAnsi="Arial"/>
                <w:sz w:val="18"/>
                <w:szCs w:val="18"/>
                <w:color w:val="auto"/>
              </w:rPr>
              <w:t>Securities offered</w:t>
            </w:r>
          </w:p>
        </w:tc>
        <w:tc>
          <w:tcPr>
            <w:tcW w:w="2300" w:type="dxa"/>
            <w:vAlign w:val="bottom"/>
          </w:tcPr>
          <w:p>
            <w:pPr>
              <w:ind w:left="1960"/>
              <w:spacing w:after="0"/>
              <w:rPr>
                <w:sz w:val="20"/>
                <w:szCs w:val="20"/>
                <w:color w:val="auto"/>
              </w:rPr>
            </w:pPr>
            <w:r>
              <w:rPr>
                <w:rFonts w:ascii="Arial" w:cs="Arial" w:eastAsia="Arial" w:hAnsi="Arial"/>
                <w:sz w:val="18"/>
                <w:szCs w:val="18"/>
                <w:color w:val="auto"/>
              </w:rPr>
              <w:t>$</w:t>
            </w:r>
          </w:p>
        </w:tc>
        <w:tc>
          <w:tcPr>
            <w:tcW w:w="4740" w:type="dxa"/>
            <w:vAlign w:val="bottom"/>
            <w:gridSpan w:val="3"/>
          </w:tcPr>
          <w:p>
            <w:pPr>
              <w:ind w:left="160"/>
              <w:spacing w:after="0"/>
              <w:rPr>
                <w:sz w:val="20"/>
                <w:szCs w:val="20"/>
                <w:color w:val="auto"/>
              </w:rPr>
            </w:pPr>
            <w:r>
              <w:rPr>
                <w:rFonts w:ascii="Arial" w:cs="Arial" w:eastAsia="Arial" w:hAnsi="Arial"/>
                <w:sz w:val="18"/>
                <w:szCs w:val="18"/>
                <w:color w:val="auto"/>
                <w:w w:val="92"/>
              </w:rPr>
              <w:t>million aggregate principal amount of   % Notes due 2030 and</w:t>
            </w:r>
          </w:p>
        </w:tc>
      </w:tr>
      <w:tr>
        <w:trPr>
          <w:trHeight w:val="230"/>
        </w:trPr>
        <w:tc>
          <w:tcPr>
            <w:tcW w:w="3580" w:type="dxa"/>
            <w:vAlign w:val="bottom"/>
          </w:tcPr>
          <w:p>
            <w:pPr>
              <w:spacing w:after="0"/>
              <w:rPr>
                <w:sz w:val="20"/>
                <w:szCs w:val="20"/>
                <w:color w:val="auto"/>
              </w:rPr>
            </w:pPr>
          </w:p>
        </w:tc>
        <w:tc>
          <w:tcPr>
            <w:tcW w:w="2300" w:type="dxa"/>
            <w:vAlign w:val="bottom"/>
          </w:tcPr>
          <w:p>
            <w:pPr>
              <w:ind w:left="1960"/>
              <w:spacing w:after="0"/>
              <w:rPr>
                <w:sz w:val="20"/>
                <w:szCs w:val="20"/>
                <w:color w:val="auto"/>
              </w:rPr>
            </w:pPr>
            <w:r>
              <w:rPr>
                <w:rFonts w:ascii="Arial" w:cs="Arial" w:eastAsia="Arial" w:hAnsi="Arial"/>
                <w:sz w:val="18"/>
                <w:szCs w:val="18"/>
                <w:color w:val="auto"/>
              </w:rPr>
              <w:t>$</w:t>
            </w:r>
          </w:p>
        </w:tc>
        <w:tc>
          <w:tcPr>
            <w:tcW w:w="4740" w:type="dxa"/>
            <w:vAlign w:val="bottom"/>
            <w:gridSpan w:val="3"/>
          </w:tcPr>
          <w:p>
            <w:pPr>
              <w:ind w:left="160"/>
              <w:spacing w:after="0"/>
              <w:rPr>
                <w:sz w:val="20"/>
                <w:szCs w:val="20"/>
                <w:color w:val="auto"/>
              </w:rPr>
            </w:pPr>
            <w:r>
              <w:rPr>
                <w:rFonts w:ascii="Arial" w:cs="Arial" w:eastAsia="Arial" w:hAnsi="Arial"/>
                <w:sz w:val="18"/>
                <w:szCs w:val="18"/>
                <w:color w:val="auto"/>
                <w:w w:val="93"/>
              </w:rPr>
              <w:t>million aggregate principal amount of 3.95% Notes due 2024.</w:t>
            </w:r>
          </w:p>
        </w:tc>
      </w:tr>
      <w:tr>
        <w:trPr>
          <w:trHeight w:val="310"/>
        </w:trPr>
        <w:tc>
          <w:tcPr>
            <w:tcW w:w="3580" w:type="dxa"/>
            <w:vAlign w:val="bottom"/>
          </w:tcPr>
          <w:p>
            <w:pPr>
              <w:spacing w:after="0"/>
              <w:rPr>
                <w:sz w:val="20"/>
                <w:szCs w:val="20"/>
                <w:color w:val="auto"/>
              </w:rPr>
            </w:pPr>
            <w:r>
              <w:rPr>
                <w:rFonts w:ascii="Arial" w:cs="Arial" w:eastAsia="Arial" w:hAnsi="Arial"/>
                <w:sz w:val="18"/>
                <w:szCs w:val="18"/>
                <w:color w:val="auto"/>
              </w:rPr>
              <w:t>Maturities</w:t>
            </w:r>
          </w:p>
        </w:tc>
        <w:tc>
          <w:tcPr>
            <w:tcW w:w="7040" w:type="dxa"/>
            <w:vAlign w:val="bottom"/>
            <w:gridSpan w:val="4"/>
          </w:tcPr>
          <w:p>
            <w:pPr>
              <w:ind w:left="1960"/>
              <w:spacing w:after="0"/>
              <w:rPr>
                <w:sz w:val="20"/>
                <w:szCs w:val="20"/>
                <w:color w:val="auto"/>
              </w:rPr>
            </w:pPr>
            <w:r>
              <w:rPr>
                <w:rFonts w:ascii="Arial" w:cs="Arial" w:eastAsia="Arial" w:hAnsi="Arial"/>
                <w:sz w:val="18"/>
                <w:szCs w:val="18"/>
                <w:color w:val="auto"/>
                <w:w w:val="89"/>
              </w:rPr>
              <w:t>Unless redeemed prior to maturity as described below, the 2030 Notes</w:t>
            </w:r>
          </w:p>
        </w:tc>
      </w:tr>
      <w:tr>
        <w:trPr>
          <w:trHeight w:val="216"/>
        </w:trPr>
        <w:tc>
          <w:tcPr>
            <w:tcW w:w="3580" w:type="dxa"/>
            <w:vAlign w:val="bottom"/>
          </w:tcPr>
          <w:p>
            <w:pPr>
              <w:spacing w:after="0"/>
              <w:rPr>
                <w:sz w:val="18"/>
                <w:szCs w:val="18"/>
                <w:color w:val="auto"/>
              </w:rPr>
            </w:pPr>
          </w:p>
        </w:tc>
        <w:tc>
          <w:tcPr>
            <w:tcW w:w="3400" w:type="dxa"/>
            <w:vAlign w:val="bottom"/>
            <w:gridSpan w:val="2"/>
          </w:tcPr>
          <w:p>
            <w:pPr>
              <w:ind w:left="1960"/>
              <w:spacing w:after="0"/>
              <w:rPr>
                <w:sz w:val="20"/>
                <w:szCs w:val="20"/>
                <w:color w:val="auto"/>
              </w:rPr>
            </w:pPr>
            <w:r>
              <w:rPr>
                <w:rFonts w:ascii="Arial" w:cs="Arial" w:eastAsia="Arial" w:hAnsi="Arial"/>
                <w:sz w:val="18"/>
                <w:szCs w:val="18"/>
                <w:color w:val="auto"/>
              </w:rPr>
              <w:t>will mature on</w:t>
            </w:r>
          </w:p>
        </w:tc>
        <w:tc>
          <w:tcPr>
            <w:tcW w:w="3640" w:type="dxa"/>
            <w:vAlign w:val="bottom"/>
            <w:gridSpan w:val="2"/>
          </w:tcPr>
          <w:p>
            <w:pPr>
              <w:ind w:left="200"/>
              <w:spacing w:after="0"/>
              <w:rPr>
                <w:sz w:val="20"/>
                <w:szCs w:val="20"/>
                <w:color w:val="auto"/>
              </w:rPr>
            </w:pPr>
            <w:r>
              <w:rPr>
                <w:rFonts w:ascii="Arial" w:cs="Arial" w:eastAsia="Arial" w:hAnsi="Arial"/>
                <w:sz w:val="18"/>
                <w:szCs w:val="18"/>
                <w:color w:val="auto"/>
              </w:rPr>
              <w:t>, 2030 and the 2024 Notes will mature on</w:t>
            </w:r>
          </w:p>
        </w:tc>
      </w:tr>
      <w:tr>
        <w:trPr>
          <w:trHeight w:val="230"/>
        </w:trPr>
        <w:tc>
          <w:tcPr>
            <w:tcW w:w="3580" w:type="dxa"/>
            <w:vAlign w:val="bottom"/>
          </w:tcPr>
          <w:p>
            <w:pPr>
              <w:spacing w:after="0"/>
              <w:rPr>
                <w:sz w:val="20"/>
                <w:szCs w:val="20"/>
                <w:color w:val="auto"/>
              </w:rPr>
            </w:pPr>
          </w:p>
        </w:tc>
        <w:tc>
          <w:tcPr>
            <w:tcW w:w="3400" w:type="dxa"/>
            <w:vAlign w:val="bottom"/>
            <w:gridSpan w:val="2"/>
          </w:tcPr>
          <w:p>
            <w:pPr>
              <w:ind w:left="1960"/>
              <w:spacing w:after="0"/>
              <w:rPr>
                <w:sz w:val="20"/>
                <w:szCs w:val="20"/>
                <w:color w:val="auto"/>
              </w:rPr>
            </w:pPr>
            <w:r>
              <w:rPr>
                <w:rFonts w:ascii="Arial" w:cs="Arial" w:eastAsia="Arial" w:hAnsi="Arial"/>
                <w:sz w:val="18"/>
                <w:szCs w:val="18"/>
                <w:color w:val="auto"/>
                <w:w w:val="98"/>
              </w:rPr>
              <w:t>January 15, 2024.</w:t>
            </w:r>
          </w:p>
        </w:tc>
        <w:tc>
          <w:tcPr>
            <w:tcW w:w="2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0"/>
        </w:trPr>
        <w:tc>
          <w:tcPr>
            <w:tcW w:w="35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040" w:type="dxa"/>
            <w:vAlign w:val="bottom"/>
            <w:gridSpan w:val="4"/>
          </w:tcPr>
          <w:p>
            <w:pPr>
              <w:ind w:left="1960"/>
              <w:spacing w:after="0"/>
              <w:rPr>
                <w:sz w:val="20"/>
                <w:szCs w:val="20"/>
                <w:color w:val="auto"/>
              </w:rPr>
            </w:pPr>
            <w:r>
              <w:rPr>
                <w:rFonts w:ascii="Arial" w:cs="Arial" w:eastAsia="Arial" w:hAnsi="Arial"/>
                <w:sz w:val="18"/>
                <w:szCs w:val="18"/>
                <w:color w:val="auto"/>
                <w:w w:val="95"/>
              </w:rPr>
              <w:t>Interest on the 2030 Notes will be payable semi-annually in arrears</w:t>
            </w:r>
          </w:p>
        </w:tc>
      </w:tr>
      <w:tr>
        <w:trPr>
          <w:trHeight w:val="216"/>
        </w:trPr>
        <w:tc>
          <w:tcPr>
            <w:tcW w:w="3580" w:type="dxa"/>
            <w:vAlign w:val="bottom"/>
          </w:tcPr>
          <w:p>
            <w:pPr>
              <w:spacing w:after="0"/>
              <w:rPr>
                <w:sz w:val="18"/>
                <w:szCs w:val="18"/>
                <w:color w:val="auto"/>
              </w:rPr>
            </w:pPr>
          </w:p>
        </w:tc>
        <w:tc>
          <w:tcPr>
            <w:tcW w:w="2300" w:type="dxa"/>
            <w:vAlign w:val="bottom"/>
          </w:tcPr>
          <w:p>
            <w:pPr>
              <w:ind w:left="1960"/>
              <w:spacing w:after="0"/>
              <w:rPr>
                <w:sz w:val="20"/>
                <w:szCs w:val="20"/>
                <w:color w:val="auto"/>
              </w:rPr>
            </w:pPr>
            <w:r>
              <w:rPr>
                <w:rFonts w:ascii="Arial" w:cs="Arial" w:eastAsia="Arial" w:hAnsi="Arial"/>
                <w:sz w:val="18"/>
                <w:szCs w:val="18"/>
                <w:color w:val="auto"/>
              </w:rPr>
              <w:t>on</w:t>
            </w:r>
          </w:p>
        </w:tc>
        <w:tc>
          <w:tcPr>
            <w:tcW w:w="1100" w:type="dxa"/>
            <w:vAlign w:val="bottom"/>
          </w:tcPr>
          <w:p>
            <w:pPr>
              <w:ind w:left="420"/>
              <w:spacing w:after="0"/>
              <w:rPr>
                <w:sz w:val="20"/>
                <w:szCs w:val="20"/>
                <w:color w:val="auto"/>
              </w:rPr>
            </w:pPr>
            <w:r>
              <w:rPr>
                <w:rFonts w:ascii="Arial" w:cs="Arial" w:eastAsia="Arial" w:hAnsi="Arial"/>
                <w:sz w:val="18"/>
                <w:szCs w:val="18"/>
                <w:color w:val="auto"/>
              </w:rPr>
              <w:t>and</w:t>
            </w:r>
          </w:p>
        </w:tc>
        <w:tc>
          <w:tcPr>
            <w:tcW w:w="2360" w:type="dxa"/>
            <w:vAlign w:val="bottom"/>
          </w:tcPr>
          <w:p>
            <w:pPr>
              <w:ind w:left="160"/>
              <w:spacing w:after="0"/>
              <w:rPr>
                <w:sz w:val="20"/>
                <w:szCs w:val="20"/>
                <w:color w:val="auto"/>
              </w:rPr>
            </w:pPr>
            <w:r>
              <w:rPr>
                <w:rFonts w:ascii="Arial" w:cs="Arial" w:eastAsia="Arial" w:hAnsi="Arial"/>
                <w:sz w:val="18"/>
                <w:szCs w:val="18"/>
                <w:color w:val="auto"/>
              </w:rPr>
              <w:t>of each year, beginning on</w:t>
            </w:r>
          </w:p>
        </w:tc>
        <w:tc>
          <w:tcPr>
            <w:tcW w:w="1280" w:type="dxa"/>
            <w:vAlign w:val="bottom"/>
          </w:tcPr>
          <w:p>
            <w:pPr>
              <w:ind w:left="300"/>
              <w:spacing w:after="0"/>
              <w:rPr>
                <w:sz w:val="20"/>
                <w:szCs w:val="20"/>
                <w:color w:val="auto"/>
              </w:rPr>
            </w:pPr>
            <w:r>
              <w:rPr>
                <w:rFonts w:ascii="Arial" w:cs="Arial" w:eastAsia="Arial" w:hAnsi="Arial"/>
                <w:sz w:val="18"/>
                <w:szCs w:val="18"/>
                <w:color w:val="auto"/>
                <w:w w:val="87"/>
              </w:rPr>
              <w:t>, 2020, and at</w:t>
            </w:r>
          </w:p>
        </w:tc>
      </w:tr>
      <w:tr>
        <w:trPr>
          <w:trHeight w:val="230"/>
        </w:trPr>
        <w:tc>
          <w:tcPr>
            <w:tcW w:w="3580" w:type="dxa"/>
            <w:vAlign w:val="bottom"/>
          </w:tcPr>
          <w:p>
            <w:pPr>
              <w:spacing w:after="0"/>
              <w:rPr>
                <w:sz w:val="20"/>
                <w:szCs w:val="20"/>
                <w:color w:val="auto"/>
              </w:rPr>
            </w:pPr>
          </w:p>
        </w:tc>
        <w:tc>
          <w:tcPr>
            <w:tcW w:w="7040" w:type="dxa"/>
            <w:vAlign w:val="bottom"/>
            <w:gridSpan w:val="4"/>
          </w:tcPr>
          <w:p>
            <w:pPr>
              <w:ind w:left="1960"/>
              <w:spacing w:after="0"/>
              <w:rPr>
                <w:sz w:val="20"/>
                <w:szCs w:val="20"/>
                <w:color w:val="auto"/>
              </w:rPr>
            </w:pPr>
            <w:r>
              <w:rPr>
                <w:rFonts w:ascii="Arial" w:cs="Arial" w:eastAsia="Arial" w:hAnsi="Arial"/>
                <w:sz w:val="18"/>
                <w:szCs w:val="18"/>
                <w:color w:val="auto"/>
                <w:w w:val="93"/>
              </w:rPr>
              <w:t>maturity (or any earlier redemption date). Interest on the 2024 Notes</w:t>
            </w:r>
          </w:p>
        </w:tc>
      </w:tr>
    </w:tbl>
    <w:p>
      <w:pPr>
        <w:ind w:left="5840"/>
        <w:spacing w:after="0"/>
        <w:rPr>
          <w:sz w:val="20"/>
          <w:szCs w:val="20"/>
          <w:color w:val="auto"/>
        </w:rPr>
      </w:pPr>
      <w:r>
        <w:rPr>
          <w:rFonts w:ascii="Arial" w:cs="Arial" w:eastAsia="Arial" w:hAnsi="Arial"/>
          <w:sz w:val="16"/>
          <w:szCs w:val="16"/>
          <w:color w:val="auto"/>
        </w:rPr>
        <w:t>will accrue from January 15, 2020, the last date on which interest was</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paid on the notes of the same series previously issued. Interest on the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2024 Notes will be payable semi-annually in arrears on January 15</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and July 15 of each year, beginning on July 15, 2020, and at maturity</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(or any earlier redemption date).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9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040" w:type="dxa"/>
            <w:vAlign w:val="bottom"/>
            <w:tcBorders>
              <w:top w:val="single" w:sz="8" w:color="auto"/>
              <w:right w:val="single" w:sz="8" w:color="auto"/>
            </w:tcBorders>
          </w:tcPr>
          <w:p>
            <w:pPr>
              <w:ind w:left="1740"/>
              <w:spacing w:after="0"/>
              <w:rPr>
                <w:sz w:val="20"/>
                <w:szCs w:val="20"/>
                <w:color w:val="auto"/>
              </w:rPr>
            </w:pPr>
            <w:r>
              <w:rPr>
                <w:rFonts w:ascii="Arial" w:cs="Arial" w:eastAsia="Arial" w:hAnsi="Arial"/>
                <w:sz w:val="18"/>
                <w:szCs w:val="18"/>
                <w:color w:val="auto"/>
                <w:w w:val="97"/>
              </w:rPr>
              <w:t xml:space="preserve">The notes will be our senior unsecured obligations and will rank </w:t>
            </w:r>
            <w:r>
              <w:rPr>
                <w:rFonts w:ascii="Arial" w:cs="Arial" w:eastAsia="Arial" w:hAnsi="Arial"/>
                <w:sz w:val="18"/>
                <w:szCs w:val="18"/>
                <w:i w:val="1"/>
                <w:iCs w:val="1"/>
                <w:color w:val="auto"/>
                <w:w w:val="97"/>
              </w:rPr>
              <w:t>pari</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i w:val="1"/>
                <w:iCs w:val="1"/>
                <w:color w:val="auto"/>
                <w:w w:val="95"/>
              </w:rPr>
              <w:t>passu</w:t>
            </w:r>
            <w:r>
              <w:rPr>
                <w:rFonts w:ascii="Arial" w:cs="Arial" w:eastAsia="Arial" w:hAnsi="Arial"/>
                <w:sz w:val="18"/>
                <w:szCs w:val="18"/>
                <w:color w:val="auto"/>
                <w:w w:val="95"/>
              </w:rPr>
              <w:t>, or equally, with all of our other unsecured and unsubordinated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7"/>
              </w:rPr>
              <w:t>indebtedness. The notes will be effectively subordinated to the prior</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6"/>
              </w:rPr>
              <w:t>claims of each secured mortgage lender to any specific property that</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secures such lender’s mortgage and to all of the unsecured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indebtedness of our subsidiaries. At March 31, 2020, we had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8"/>
              </w:rPr>
              <w:t>outstanding approximately $555 million (excluding net unamortized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premium and debt issuance costs) of consolidated secured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indebtedness, which was issued by our subsidiaries and is</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collateralized by all or parts of 13 properties, and which will rank</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4"/>
              </w:rPr>
              <w:t>senior to the notes to the extent of the securing collateral and will also</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be structurally senior to the notes, approximately $4 million</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(excluding net unamortized debt issuance costs) of unsecured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indebtedness issued by our subsidiaries, which will be structurally</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9"/>
              </w:rPr>
              <w:t>senior to the notes, and approximately $3,809 million of unsecured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9"/>
              </w:rPr>
              <w:t>indebtedness (excluding net unamortized discount or premium and</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debt issuance costs), which will rank equally with the notes.</w:t>
            </w:r>
          </w:p>
        </w:tc>
      </w:tr>
      <w:tr>
        <w:trPr>
          <w:trHeight w:val="310"/>
        </w:trPr>
        <w:tc>
          <w:tcPr>
            <w:tcW w:w="3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2"/>
              </w:rPr>
              <w:t>We intend to use the net proceeds from this offering to reduce amounts</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outstanding under our revolving credit facility and for general</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corporate purposes. See “Use of Proceeds” on page S-8 for more</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information.</w:t>
            </w:r>
          </w:p>
        </w:tc>
      </w:tr>
      <w:tr>
        <w:trPr>
          <w:trHeight w:val="323"/>
        </w:trPr>
        <w:tc>
          <w:tcPr>
            <w:tcW w:w="3980" w:type="dxa"/>
            <w:vAlign w:val="bottom"/>
            <w:tcBorders>
              <w:left w:val="single" w:sz="8" w:color="auto"/>
            </w:tcBorders>
          </w:tcPr>
          <w:p>
            <w:pPr>
              <w:spacing w:after="0"/>
              <w:rPr>
                <w:sz w:val="24"/>
                <w:szCs w:val="24"/>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8"/>
              </w:rPr>
              <w:t>We expect that the sales of the 2030 Notes and the 2024 Notes will</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take place concurrently. However, the sales of the 2030 Notes and the</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2024 Notes are not conditioned upon each other, and we may</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4"/>
              </w:rPr>
              <w:t>consummate the sale of one series and not the other, or consummate</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the sales at different times.</w:t>
            </w:r>
          </w:p>
        </w:tc>
      </w:tr>
      <w:tr>
        <w:trPr>
          <w:trHeight w:val="338"/>
        </w:trPr>
        <w:tc>
          <w:tcPr>
            <w:tcW w:w="3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Limitations on incurrence of debt</w:t>
            </w: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310"/>
        </w:trPr>
        <w:tc>
          <w:tcPr>
            <w:tcW w:w="3980" w:type="dxa"/>
            <w:vAlign w:val="bottom"/>
            <w:tcBorders>
              <w:left w:val="single" w:sz="8" w:color="auto"/>
            </w:tcBorders>
          </w:tcPr>
          <w:p>
            <w:pPr>
              <w:spacing w:after="0"/>
              <w:rPr>
                <w:sz w:val="24"/>
                <w:szCs w:val="24"/>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9"/>
              </w:rPr>
              <w:t>(1) we will not, and will not permit any subsidiary to, incur any Debt</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7"/>
              </w:rPr>
              <w:t>if, immediately after giving effect to the incurrence of such Debt and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the application of the proceeds thereof, the aggregate principal amount</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6"/>
              </w:rPr>
              <w:t>of all of our and our subsidiaries’ outstanding Debt on a consolidated</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7"/>
              </w:rPr>
              <w:t>basis determined in accordance with generally accepted accounting</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principles is greater than 60% of the sum of (without duplication)</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7"/>
              </w:rPr>
              <w:t>(a) Total Assets as of the end of the calendar quarter covered in our</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8"/>
              </w:rPr>
              <w:t>Annual Report on Form 10-K or Quarterly Report on Form 10-Q, as</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6"/>
              </w:rPr>
              <w:t>the case may be, most recently filed with the SEC (or, if such filing is</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not permitted under the Exchange Act, with U.S. Bank National</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Association, the trustee) prior to the incurrence of such additional</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Debt and (b) the purchase price of any real estate assets or mortgages</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receivable acquired, and the amount of any securities offering</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proceeds received (to the extent such proceeds were not used to</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5"/>
              </w:rPr>
              <w:t>acquire real estate assets or mortgages receivable or used to reduce</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4"/>
              </w:rPr>
              <w:t>Debt), by us or any subsidiary since the end of such calendar quarter,</w:t>
            </w:r>
          </w:p>
        </w:tc>
      </w:tr>
      <w:tr>
        <w:trPr>
          <w:trHeight w:val="216"/>
        </w:trPr>
        <w:tc>
          <w:tcPr>
            <w:tcW w:w="3980" w:type="dxa"/>
            <w:vAlign w:val="bottom"/>
            <w:tcBorders>
              <w:left w:val="single" w:sz="8" w:color="auto"/>
            </w:tcBorders>
          </w:tcPr>
          <w:p>
            <w:pPr>
              <w:spacing w:after="0"/>
              <w:rPr>
                <w:sz w:val="18"/>
                <w:szCs w:val="18"/>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w w:val="93"/>
              </w:rPr>
              <w:t>including those proceeds obtained in connection with the incurrence of</w:t>
            </w:r>
          </w:p>
        </w:tc>
      </w:tr>
      <w:tr>
        <w:trPr>
          <w:trHeight w:val="230"/>
        </w:trPr>
        <w:tc>
          <w:tcPr>
            <w:tcW w:w="3980" w:type="dxa"/>
            <w:vAlign w:val="bottom"/>
            <w:tcBorders>
              <w:left w:val="single" w:sz="8" w:color="auto"/>
            </w:tcBorders>
          </w:tcPr>
          <w:p>
            <w:pPr>
              <w:spacing w:after="0"/>
              <w:rPr>
                <w:sz w:val="20"/>
                <w:szCs w:val="20"/>
                <w:color w:val="auto"/>
              </w:rPr>
            </w:pPr>
          </w:p>
        </w:tc>
        <w:tc>
          <w:tcPr>
            <w:tcW w:w="70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such additional Debt;</w:t>
            </w:r>
          </w:p>
        </w:tc>
      </w:tr>
      <w:tr>
        <w:trPr>
          <w:trHeight w:val="240"/>
        </w:trPr>
        <w:tc>
          <w:tcPr>
            <w:tcW w:w="3980" w:type="dxa"/>
            <w:vAlign w:val="bottom"/>
            <w:tcBorders>
              <w:left w:val="single" w:sz="8" w:color="auto"/>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r>
      <w:tr>
        <w:trPr>
          <w:trHeight w:val="604"/>
        </w:trPr>
        <w:tc>
          <w:tcPr>
            <w:tcW w:w="3980" w:type="dxa"/>
            <w:vAlign w:val="bottom"/>
          </w:tcPr>
          <w:p>
            <w:pPr>
              <w:spacing w:after="0"/>
              <w:rPr>
                <w:sz w:val="24"/>
                <w:szCs w:val="24"/>
                <w:color w:val="auto"/>
              </w:rPr>
            </w:pPr>
          </w:p>
        </w:tc>
        <w:tc>
          <w:tcPr>
            <w:tcW w:w="7040" w:type="dxa"/>
            <w:vAlign w:val="bottom"/>
          </w:tcPr>
          <w:p>
            <w:pPr>
              <w:ind w:left="1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487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998970" cy="74879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 we will not, and will not permit any subsidiary to, incur any Debt</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secured by any mortgage, lien, charge, pledge, encumbrance or</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security interest of any kind upon any of our or any of our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subsidiaries’ property if, immediately after giving effect to the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incurrence of such Debt and the application of the proceeds thereof,</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the aggregate principal amount of all of our and our subsidiaries’</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outstanding Debt on a consolidated basis which is secured by any</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mortgage, lien, charge, pledge, encumbrance or security interest on</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our or our subsidiaries’ property is greater than 40% of the sum of</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(without duplication) (a) Total Assets as of the end of the calendar</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quarter covered in our Annual Report on Form 10-K or Quarterly</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Report on Form 10-Q, as the case may be, most recently filed with the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SEC (or, if such filing is not permitted under the Exchange Act, with</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the trustee) prior to the incurrence of such additional Debt and (b) the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purchase price of any real estate assets or mortgages receivable</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acquired, and the amount of any securities offering proceeds received</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(to the extent such proceeds were not used to acquire real estate assets</w:t>
      </w:r>
    </w:p>
    <w:p>
      <w:pPr>
        <w:spacing w:after="0" w:line="4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or mortgages receivable or used to reduce Debt), by us or any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subsidiary since the end of such calendar quarter, including those</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proceeds obtained in connection with the incurrence of such additional</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xml:space="preserve">Debt;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purposes of this limitation, the amount of</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obligations under capital leases shown as a liability on our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consolidated balance sheet shall be deducted from Debt and from</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Total Assets;</w:t>
      </w:r>
    </w:p>
    <w:p>
      <w:pPr>
        <w:spacing w:after="0" w:line="10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 we will not, and will not permit any subsidiary to, incur any Debt</w:t>
      </w:r>
    </w:p>
    <w:p>
      <w:pPr>
        <w:spacing w:after="0" w:line="3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if the ratio of Consolidated Income Available for Debt Service to the</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Annual Debt Service Charge for the four consecutive fiscal quarters</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most recently ended prior to the date on which such additional Debt is</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to be incurred shall have been less than 1.5 to 1, on an unaudited pro</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forma basis after giving effect thereto and to the application of the</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proceeds therefrom and calculated on the assumption that: (a) such</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Debt and any other Debt incurred by us and our subsidiaries since the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first day of such four-quarter period and the application of the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proceeds therefrom, including to refinance other Debt, had occurred at</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the beginning of such period; (b) the repayment or retirement of any</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other Debt by us and our subsidiaries since the first day of such four-</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quarter period had been repaid or retired at the beginning of such</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period (except that, in making such computation, the amount of Debt</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under any revolving credit facility shall be computed based upon the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average daily balance of such Debt during such period); (c) in the case</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of Acquired Debt or Debt incurred in connection with any acquisition</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since the first day of such four-quarter period, the related acquisition</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had occurred as of the first day of such period, with the appropriate</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adjustments with respect to such acquisition being included in such</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unaudited pro forma calculation; and (d) in the case of any acquisition</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or disposition by us or our subsidiaries of any asset or group of assets</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since the first day of such four-quarter period, whether by merger,</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stock purchase or sale, or asset purchase or sale, such acquisition or</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disposition or any related repayment of Debt had occurred as of the</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first day of such period, with the appropriate adjustments with respect</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to such acquisition or disposition being included in such unaudited pro</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forma calculation;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7590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998970" cy="759079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Material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259"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2030 Notes will be redeemable at any time at our option, in whole</w:t>
      </w:r>
    </w:p>
    <w:p>
      <w:pPr>
        <w:spacing w:after="0" w:line="4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or in part. If the 2030 Notes are redeemed before ( months prior to the stated maturity date), the redemption price will be equal to the sum of (1) 100% of the principal amount of the 2030 Notes being redeemed plus accrued and unpaid interest thereon up to, but excluding, the redemption date, and (2) the Make-Whole Amount, as defined herein, if any, with respect to such notes.</w:t>
      </w:r>
    </w:p>
    <w:p>
      <w:pPr>
        <w:spacing w:after="0" w:line="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the 2030 Notes are redeemed on or after ( months prior to the maturity date), the redemption price will be equal to 100% of the principal amount of the 2030 Notes being redeemed plus accrued and unpaid interest thereon to, but excluding, the redemption date.</w:t>
      </w:r>
    </w:p>
    <w:p>
      <w:pPr>
        <w:spacing w:after="0" w:line="9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2024 Notes are redeemable at any time at our option, in whole or in part. If the 2024 Notes are redeemed before 90 days prior to the maturity date, the redemption price will be equal to the greater of</w:t>
      </w:r>
    </w:p>
    <w:p>
      <w:pPr>
        <w:spacing w:after="0" w:line="2" w:lineRule="exact"/>
        <w:rPr>
          <w:sz w:val="20"/>
          <w:szCs w:val="20"/>
          <w:color w:val="auto"/>
        </w:rPr>
      </w:pPr>
    </w:p>
    <w:p>
      <w:pPr>
        <w:ind w:right="60"/>
        <w:spacing w:after="0" w:line="286"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100% of the principal amount of the 2024 Notes being redeemed, or (2) the sum of the present values of the remaining scheduled payments of principal and interest thereon, discounted to the redemption date on a semi-annual basis at the Adjusted Treasury Rate plus 20 basis points (0.20%), plus, in each case, accrued and unpaid interest thereon to, but excluding, the redemption date. If the 2024 Notes are redeemed on or after 90 days prior to the maturity date, the redemption price will be equal to 100% of the principal amount of the 2024 Notes being redeemed plus accrued and unpaid interest thereon to, but excluding, the redemption date..</w:t>
      </w:r>
    </w:p>
    <w:p>
      <w:pPr>
        <w:spacing w:after="0" w:line="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See “Description of Notes — Optional Redemption” for more information.</w:t>
      </w:r>
    </w:p>
    <w:p>
      <w:pPr>
        <w:spacing w:after="0" w:line="76"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For a description of the material U.S. federal income tax considerations of an investment in the notes, please review the disclosure in this prospectus supplement under “Additional Material Federal Income Tax Considerations” and in the accompanying prospectus under “Material Federal Income Tax Considerations.”</w:t>
      </w:r>
    </w:p>
    <w:p>
      <w:pPr>
        <w:spacing w:after="0" w:line="5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Investing in the notes involves risks. Please review the risk factors discussed beginning on page S-6 of this prospectus supplement, on page 3 of the accompanying prospectus, in our Annual Report on Form 10-K for the year ended December 31, 2019, filed with the SEC on February 10, 2020 and in our Quarterly Report on Form 10-Q for the quarter ended March 31, 2020, filed with the SEC on May 6, 2020, and the other information contained or incorporated by reference 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51 of the accompanying prospectus.</w:t>
      </w:r>
    </w:p>
    <w:p>
      <w:pPr>
        <w:spacing w:after="0" w:line="200" w:lineRule="exact"/>
        <w:rPr>
          <w:sz w:val="20"/>
          <w:szCs w:val="20"/>
          <w:color w:val="auto"/>
        </w:rPr>
      </w:pPr>
    </w:p>
    <w:p>
      <w:pPr>
        <w:sectPr>
          <w:pgSz w:w="11900" w:h="16838" w:orient="portrait"/>
          <w:cols w:equalWidth="0" w:num="2">
            <w:col w:w="5120" w:space="720"/>
            <w:col w:w="5100"/>
          </w:cols>
          <w:pgMar w:left="320" w:top="459" w:right="6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S-5</w:t>
      </w:r>
    </w:p>
    <w:p>
      <w:pPr>
        <w:sectPr>
          <w:pgSz w:w="11900" w:h="16838" w:orient="portrait"/>
          <w:cols w:equalWidth="0" w:num="1">
            <w:col w:w="10940"/>
          </w:cols>
          <w:pgMar w:left="320" w:top="459" w:right="6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2019, filed with the SEC on February 10, 2020, and in our Quarterly Report on Form 10-Q for the quarter ended March 31, 2020, filed with the SEC on May 6, 2020, before you decide to purchase the notes. The risks and uncertainties described below and in the incorporated Annual Report for the year ended December 31, 2019 and Quarterly Report for the quarter ended March 31, 2020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161" w:lineRule="exact"/>
        <w:rPr>
          <w:sz w:val="20"/>
          <w:szCs w:val="20"/>
          <w:color w:val="auto"/>
        </w:rPr>
      </w:pPr>
    </w:p>
    <w:p>
      <w:pPr>
        <w:ind w:left="120" w:right="40"/>
        <w:spacing w:after="0" w:line="266" w:lineRule="auto"/>
        <w:rPr>
          <w:sz w:val="20"/>
          <w:szCs w:val="20"/>
          <w:color w:val="auto"/>
        </w:rPr>
      </w:pPr>
      <w:r>
        <w:rPr>
          <w:rFonts w:ascii="Arial" w:cs="Arial" w:eastAsia="Arial" w:hAnsi="Arial"/>
          <w:sz w:val="18"/>
          <w:szCs w:val="18"/>
          <w:b w:val="1"/>
          <w:bCs w:val="1"/>
          <w:color w:val="auto"/>
        </w:rPr>
        <w:t>The COVID-19 pandemic and measures instituted by governments, businesses and households to limit its spread could have a material adverse effect on our business, results of operations, cash flows, liquidity, financial condition and growth prospects, which could adversely affect our ability to service our debt, including the notes.</w:t>
      </w:r>
    </w:p>
    <w:p>
      <w:pPr>
        <w:spacing w:after="0" w:line="18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March 2020, the World Health Organization declared the outbreak of novel coronavirus disease (“COVID-19”) as a pandemic. The spread of COVID-19 and measures instituted by governments as well as personal choices intended to prevent its spread, including stay-at-home orders and mandatory business closures, could inhibit global, national and local economic activity; adversely affect trading activity in securities markets, which could negatively impact the trading prices of our common shares and debt securities, including the notes, and our ability to access the securities markets as a source of liquidity; adversely affect our tenants’ financial condition by limiting foot traffic and staffing at their businesses, which could affect their ability to pay rent and willingness to make new leasing commitments; reduce our cash flow, which could impact our ability to pay dividends or to service our debt, including the notes; temporarily or permanently reduce the demand for retail and office space; interfere with our business operations by requiring our personnel to work remotely; increase the frequency of cyber-attacks; disrupt supply chains that could be important in our development and redevelopment activities; interfere with potential purchases and sales of properties; and have other direct and indirect effects that are difficult to predict. We expect these and other factors to have an adverse effect on our business, results of operations, cash flows, liquidity, financial condition and growth prospects, but the full extent is highly uncertain and will ultimately depend on future developments, none of which can be predicted with any certainty. Any such adverse effects may make it more difficult for us to meet our obligations under the notes. For more information, see “Impacts of COVID-19 Pandemic” under Part I, Item 2 – Management’s Discussion and Analysis of Financial Condition and Results of Operations” – in our Quarterly Report on Form 10-Q for the quarter ended March 31, 2020, which is incorporated by reference into this prospectus supplement.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21"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The notes will be structurally subordinated to the claims of our subsidiaries’ creditors and our subsidiaries’ preferred equity holders.</w:t>
      </w:r>
    </w:p>
    <w:p>
      <w:pPr>
        <w:spacing w:after="0" w:line="133"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Because the notes will not be guaranteed by our subsidiaries, the notes will be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March 31, 2020, our consolidated subsidiaries had approximately $558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will be unsecured and are effectively subordinated to our secured indebtedness.</w:t>
      </w:r>
    </w:p>
    <w:p>
      <w:pPr>
        <w:spacing w:after="0" w:line="121"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March 31, 2020, we had approximately $555 million (excluding net unamortized premium and debt issuance costs) of consolidated secured debt outstanding, all of which was effectively senior to the notes to the extent of the value of the securing collateral.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121"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The 2030 Notes will be a new issue of securities with no established trading market. Although the 2024 Notes offered hereby will become part of the same series as our outstanding 3.95% Notes due 2024 ($300,000,000 aggregate principal amount of which are outstanding prior to giving effect to the</w:t>
      </w:r>
    </w:p>
    <w:p>
      <w:pPr>
        <w:ind w:left="120" w:hanging="4"/>
        <w:spacing w:after="0" w:line="302" w:lineRule="auto"/>
        <w:tabs>
          <w:tab w:leader="none" w:pos="795" w:val="left"/>
        </w:tabs>
        <w:numPr>
          <w:ilvl w:val="0"/>
          <w:numId w:val="9"/>
        </w:numPr>
        <w:rPr>
          <w:rFonts w:ascii="Arial" w:cs="Arial" w:eastAsia="Arial" w:hAnsi="Arial"/>
          <w:sz w:val="16"/>
          <w:szCs w:val="16"/>
          <w:color w:val="auto"/>
        </w:rPr>
      </w:pPr>
      <w:r>
        <w:rPr>
          <w:rFonts w:ascii="Arial" w:cs="Arial" w:eastAsia="Arial" w:hAnsi="Arial"/>
          <w:sz w:val="16"/>
          <w:szCs w:val="16"/>
          <w:color w:val="auto"/>
        </w:rPr>
        <w:t>aggregate principal amount of 2024 Notes offered hereby), we cannot assure you that there will be an active trading market for the 2024 Notes.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131"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120"/>
        <w:spacing w:after="0"/>
        <w:tabs>
          <w:tab w:leader="none" w:pos="10520" w:val="left"/>
        </w:tabs>
        <w:rPr>
          <w:sz w:val="20"/>
          <w:szCs w:val="20"/>
          <w:color w:val="auto"/>
        </w:rPr>
      </w:pPr>
      <w:r>
        <w:rPr>
          <w:rFonts w:ascii="Arial" w:cs="Arial" w:eastAsia="Arial" w:hAnsi="Arial"/>
          <w:sz w:val="17"/>
          <w:szCs w:val="17"/>
          <w:color w:val="auto"/>
        </w:rPr>
        <w:t>The net proceeds to us from the issuance and sale of the notes offered by this prospectus supplement are estimated to be approximately $</w:t>
      </w:r>
      <w:r>
        <w:rPr>
          <w:sz w:val="20"/>
          <w:szCs w:val="20"/>
          <w:color w:val="auto"/>
        </w:rPr>
        <w:tab/>
      </w:r>
      <w:r>
        <w:rPr>
          <w:rFonts w:ascii="Arial" w:cs="Arial" w:eastAsia="Arial" w:hAnsi="Arial"/>
          <w:sz w:val="18"/>
          <w:szCs w:val="18"/>
          <w:color w:val="auto"/>
        </w:rPr>
        <w:t>million</w:t>
      </w:r>
    </w:p>
    <w:p>
      <w:pPr>
        <w:spacing w:after="0" w:line="23" w:lineRule="exact"/>
        <w:rPr>
          <w:sz w:val="20"/>
          <w:szCs w:val="20"/>
          <w:color w:val="auto"/>
        </w:rPr>
      </w:pPr>
    </w:p>
    <w:p>
      <w:pPr>
        <w:jc w:val="both"/>
        <w:ind w:left="120" w:right="100"/>
        <w:spacing w:after="0" w:line="255" w:lineRule="auto"/>
        <w:rPr>
          <w:sz w:val="20"/>
          <w:szCs w:val="20"/>
          <w:color w:val="auto"/>
        </w:rPr>
      </w:pPr>
      <w:r>
        <w:rPr>
          <w:rFonts w:ascii="Arial" w:cs="Arial" w:eastAsia="Arial" w:hAnsi="Arial"/>
          <w:sz w:val="18"/>
          <w:szCs w:val="18"/>
          <w:color w:val="auto"/>
        </w:rPr>
        <w:t>after deducting the underwriting discount and other estimated expenses of this offering payable by us (and not including the amount of accrued interest paid by the purchasers of the 2024 notes). We intend to use these net proceeds to reduce amounts outstanding under our revolving credit facility and for general corporate purposes.</w:t>
      </w:r>
    </w:p>
    <w:p>
      <w:pPr>
        <w:spacing w:after="0" w:line="190"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Our $1.0 billion revolving credit facility matures on January 19, 2024, subject to two six-month extensions at our option. LIBOR loans outstanding under our revolving credit facility bear interest at seven day, one month, three month or six month LIBOR, at our election, plus a spread of 77.5 basis points, subject to adjustment based on our credit rating. In addition, we have an option (subject to the approval of the lenders under our revolving credit facility) to increase our revolving credit facility through an accordion feature to $1.5 billion. As of March 31, 2020, the outstanding balance under our revolving credit facility was $990 million ($590 million as of May 6, 2020).</w:t>
      </w:r>
    </w:p>
    <w:p>
      <w:pPr>
        <w:spacing w:after="0" w:line="176"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thereunder. See “Underwriting (Conflicts of Interest) — Conflicts of Interest.”</w:t>
      </w:r>
    </w:p>
    <w:p>
      <w:pPr>
        <w:spacing w:after="0" w:line="17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We expect that the sales of the 2030 Notes and the 2024 Notes will take place concurrently. However, the sales of the 2030 Notes and the 2024 Notes are not conditioned upon each other, and we may consummate the sale of one series and not the other, or consummate the sales at different times.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NOTES</w:t>
      </w:r>
    </w:p>
    <w:p>
      <w:pPr>
        <w:spacing w:after="0" w:line="12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spacing w:after="0" w:line="258" w:lineRule="auto"/>
        <w:rPr>
          <w:sz w:val="20"/>
          <w:szCs w:val="20"/>
          <w:color w:val="auto"/>
        </w:rPr>
      </w:pPr>
      <w:r>
        <w:rPr>
          <w:rFonts w:ascii="Arial" w:cs="Arial" w:eastAsia="Arial" w:hAnsi="Arial"/>
          <w:sz w:val="18"/>
          <w:szCs w:val="18"/>
          <w:color w:val="auto"/>
        </w:rPr>
        <w:t>We are offering $ aggregate principal amount of notes in two separate series. We are offering $ aggregate principal amount of 2030 Notes and $ aggregate principal amount of 2024 Notes. The 2030 Notes will mature on , 2030 (unless redeemed prior to such date in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accordance with their terms) and the 2024 Notes will mature on January 15, 2024 (unless redeemed prior to such date in accordance with their terms).</w:t>
      </w:r>
    </w:p>
    <w:p>
      <w:pPr>
        <w:spacing w:after="0" w:line="234"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The 2024 Notes offered hereby will be an additional issuance of our outstanding 3.95% Notes due 2024 ($300,000,000 of which were originally issued on December 9, 2013). The terms of the 2024 Notes offered hereby, other than their issue date, initial interest accrual date, initial interest payment date and issue price, will be identical to the terms of and will be part of the same series as the $300,000,000 aggregate principal amount of our outstanding 3.95% Notes due 2024. The 2024 Notes offered hereby will have the same CUSIP number as the currently outstanding 2024 Notes and will trade interchangeably with such notes immediately upon settlement. Upon consummation of this offering, the aggregate principal amount outstanding of our</w:t>
      </w:r>
    </w:p>
    <w:p>
      <w:pPr>
        <w:spacing w:after="0" w:line="2" w:lineRule="exact"/>
        <w:rPr>
          <w:sz w:val="20"/>
          <w:szCs w:val="20"/>
          <w:color w:val="auto"/>
        </w:rPr>
      </w:pPr>
    </w:p>
    <w:p>
      <w:pPr>
        <w:ind w:left="120"/>
        <w:spacing w:after="0"/>
        <w:tabs>
          <w:tab w:leader="none" w:pos="6200" w:val="left"/>
        </w:tabs>
        <w:rPr>
          <w:sz w:val="20"/>
          <w:szCs w:val="20"/>
          <w:color w:val="auto"/>
        </w:rPr>
      </w:pPr>
      <w:r>
        <w:rPr>
          <w:rFonts w:ascii="Arial" w:cs="Arial" w:eastAsia="Arial" w:hAnsi="Arial"/>
          <w:sz w:val="18"/>
          <w:szCs w:val="18"/>
          <w:color w:val="auto"/>
        </w:rPr>
        <w:t>3.95% Notes due 2024, including the 2024 Notes offered hereby, will be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120"/>
        <w:spacing w:after="0"/>
        <w:tabs>
          <w:tab w:leader="none" w:pos="6820" w:val="left"/>
          <w:tab w:leader="none" w:pos="7920" w:val="left"/>
          <w:tab w:leader="none" w:pos="8900" w:val="left"/>
        </w:tabs>
        <w:rPr>
          <w:sz w:val="20"/>
          <w:szCs w:val="20"/>
          <w:color w:val="auto"/>
        </w:rPr>
      </w:pPr>
      <w:r>
        <w:rPr>
          <w:rFonts w:ascii="Arial" w:cs="Arial" w:eastAsia="Arial" w:hAnsi="Arial"/>
          <w:sz w:val="18"/>
          <w:szCs w:val="18"/>
          <w:color w:val="auto"/>
        </w:rPr>
        <w:t>We will pay interest on the 2030 Notes semi-annually in arrears at an annual rate of</w:t>
      </w:r>
      <w:r>
        <w:rPr>
          <w:sz w:val="20"/>
          <w:szCs w:val="20"/>
          <w:color w:val="auto"/>
        </w:rPr>
        <w:tab/>
      </w:r>
      <w:r>
        <w:rPr>
          <w:rFonts w:ascii="Arial" w:cs="Arial" w:eastAsia="Arial" w:hAnsi="Arial"/>
          <w:sz w:val="18"/>
          <w:szCs w:val="18"/>
          <w:color w:val="auto"/>
        </w:rPr>
        <w:t>%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of each year, beginning</w:t>
      </w:r>
    </w:p>
    <w:p>
      <w:pPr>
        <w:spacing w:after="0" w:line="23" w:lineRule="exact"/>
        <w:rPr>
          <w:sz w:val="20"/>
          <w:szCs w:val="20"/>
          <w:color w:val="auto"/>
        </w:rPr>
      </w:pPr>
    </w:p>
    <w:p>
      <w:pPr>
        <w:ind w:left="120"/>
        <w:spacing w:after="0"/>
        <w:tabs>
          <w:tab w:leader="none" w:pos="1000" w:val="left"/>
          <w:tab w:leader="none" w:pos="6560" w:val="left"/>
          <w:tab w:leader="none" w:pos="754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2020, to the registered holders of the 2030 Notes on the preceding</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We will pay interest on the 2024 Notes semi-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annually in arrears at an annual rate of 3.95% on January 15 and July 15 of each year, beginning on July 15, 2020, to the registered holders of the 2024</w:t>
      </w:r>
    </w:p>
    <w:p>
      <w:pPr>
        <w:spacing w:after="0" w:line="32"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Notes on the preceding January 1 and July 1. Unless previously redeemed, the 2030 Notes will mature on , 2030, and the 2024 Notes will mature on January 15, 2024. Interest will be computed and paid on the basis 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9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2030 Notes will be issued only in registered form in denominations of $2,000 and integral multiples of $1,000 in excess thereof. The 2024 Notes will be issued only in registered form in denominations of $1,000 and any integral multiple thereof.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24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The 2030 Notes</w:t>
      </w:r>
    </w:p>
    <w:p>
      <w:pPr>
        <w:ind w:left="120" w:right="60"/>
        <w:spacing w:after="0" w:line="252" w:lineRule="auto"/>
        <w:rPr>
          <w:sz w:val="20"/>
          <w:szCs w:val="20"/>
          <w:color w:val="auto"/>
        </w:rPr>
      </w:pPr>
      <w:r>
        <w:rPr>
          <w:rFonts w:ascii="Arial" w:cs="Arial" w:eastAsia="Arial" w:hAnsi="Arial"/>
          <w:sz w:val="18"/>
          <w:szCs w:val="18"/>
          <w:color w:val="auto"/>
        </w:rPr>
        <w:t>will be issued in an initial aggregate principal amount of $ . We may from time to time, without the consent of existing holders, create and issue further notes having the same terms and conditions as the 2030 Notes or the 2024 Notes being offered hereby in all respects, except for the issue date, the issue price and, if applicable, the first payment of interest thereon and the initial interest accrual date. Additional notes issued in this manner will be consolidated with, and will form a single series with, the applicable previously outstanding 2030 Notes or 2024 Notes. If any such additional debt securities are not fungible with the notes offered hereby for the U.S. federal income tax purposes, the additional debt securities will have a separate CUSIP number. We also may issue from time to time other series of debt securities under the indenture consisting of notes or other unsecured evidences of indebtedness.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The notes will be our senior unsecured obligations and will rank </w:t>
      </w:r>
      <w:r>
        <w:rPr>
          <w:rFonts w:ascii="Arial" w:cs="Arial" w:eastAsia="Arial" w:hAnsi="Arial"/>
          <w:sz w:val="17"/>
          <w:szCs w:val="17"/>
          <w:i w:val="1"/>
          <w:iCs w:val="1"/>
          <w:color w:val="auto"/>
        </w:rPr>
        <w:t>pari passu</w:t>
      </w:r>
      <w:r>
        <w:rPr>
          <w:rFonts w:ascii="Arial" w:cs="Arial" w:eastAsia="Arial" w:hAnsi="Arial"/>
          <w:sz w:val="17"/>
          <w:szCs w:val="17"/>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March 31, 2020, we had outstanding approximately $555 million (excluding net unamortized premium and debt issuance costs) of consolidated secured indebtedness, which was issued by our subsidiaries and is collateralized by all or parts of 13 properties, and which ranks senior to the notes to the extent of securing collateral and will also be structurally senior to the notes, approximately $4 million (excluding net unamortized debt issuance costs) of unsecured indebtedness issued by our subsidiaries, which will be structurally senior to the notes, and approximately $3,809 million of unsecured indebtedness (excluding net unamortized premium or discount and debt issuance costs), which will rank equally with the notes.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2030 Notes</w:t>
      </w:r>
      <w:r>
        <w:rPr>
          <w:rFonts w:ascii="Arial" w:cs="Arial" w:eastAsia="Arial" w:hAnsi="Arial"/>
          <w:sz w:val="18"/>
          <w:szCs w:val="18"/>
          <w:color w:val="auto"/>
        </w:rPr>
        <w:t>.</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2030 Notes will be redeemable at any time at our option, in whole or in part. If the 2030 Notes are redeemed before ( months prior to the stated maturity date) (the “2030 Notes Par Call Date”), the redemption price will be equal to the sum of (1) 100% of the principal amount of the 2030 Notes being redeemed plus accrued and unpaid interest thereon up to, but excluding, the redemption date, and (2) the Make-Whole Amount, if any, with respect to such notes. If the 2030 Notes are redeemed on or after the 2030 Notes Par Call Date, the redemption price will be equal to 100% of the principal amount of the 2030 Notes being redeemed plus accrued and unpaid interest thereon to, but excluding, the redemption date.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 with respect to the 2030 Notes: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Make-Whole Amount</w:t>
      </w:r>
      <w:r>
        <w:rPr>
          <w:rFonts w:ascii="Arial" w:cs="Arial" w:eastAsia="Arial" w:hAnsi="Arial"/>
          <w:sz w:val="18"/>
          <w:szCs w:val="18"/>
          <w:color w:val="auto"/>
        </w:rPr>
        <w:t>” means, in connection with any optional redemption of the 2030 Notes, the excess, if any, of:</w:t>
      </w:r>
    </w:p>
    <w:p>
      <w:pPr>
        <w:spacing w:after="0" w:line="131" w:lineRule="exact"/>
        <w:rPr>
          <w:sz w:val="20"/>
          <w:szCs w:val="20"/>
          <w:color w:val="auto"/>
        </w:rPr>
      </w:pPr>
    </w:p>
    <w:p>
      <w:pPr>
        <w:ind w:left="1080" w:right="80" w:hanging="424"/>
        <w:spacing w:after="0" w:line="296"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aggregate present value as of the redemption date of each dollar of principal being redeemed and the amount of interest, calculated by us, excluding interest accrued to the redemption date, that would have been payable in respect of such dollar if such redemption had been made on the 2030 Notes Par Call Date, determined by discounting, on a semi-annual basis, such principal and interest at the Reinvestment Rate, determined on the third business day preceding the date notice of such redemption is given, from the respective dates on which the principal and interest would have been payable if such redemption had been made on the 2030 Notes Par Call Date, over</w:t>
      </w:r>
    </w:p>
    <w:p>
      <w:pPr>
        <w:spacing w:after="0" w:line="66"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principal amount of the notes being redeemed.</w:t>
      </w:r>
    </w:p>
    <w:p>
      <w:pPr>
        <w:spacing w:after="0" w:line="225"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Reinvestment Rate</w:t>
      </w:r>
      <w:r>
        <w:rPr>
          <w:rFonts w:ascii="Arial" w:cs="Arial" w:eastAsia="Arial" w:hAnsi="Arial"/>
          <w:sz w:val="18"/>
          <w:szCs w:val="18"/>
          <w:color w:val="auto"/>
        </w:rPr>
        <w:t>” means a rate per annum equal to the sum of basis points (0. %) plus the yield on treasury securities at constant maturity under the heading “Week Ending” published in the Statistical Release under the caption “Treasury Constant Maturities” for the maturity (rounded to the nearest month) corresponding to the remaining life to maturity of the notes (which maturity shall be deemed to be the 2030 Notes Par Call Date) as of the payment date of the principal being redeemed. If no maturity exactly corresponds to such maturity, yields for the two published maturities most closely corresponding to such maturity shall be calculated pursuant to the immediately preceding sentence and the Reinvestment Rate shall be interpolated or extrapolated from such yields on a straight-line basis, rounding in each of such relevant periods to the nearest month. For purposes of calculating the Reinvestment Rate, the most recent Statistical Release published prior to the date of determination of the Make-Whole Amount shall be used. If the format or content of the Statistical Release changes in a manner that precludes determination of the yield on treasury in the above manner, then the yield on treasury will be determined in the manner that most closely approximates the above manner, as we reasonably determine.</w:t>
      </w:r>
    </w:p>
    <w:p>
      <w:pPr>
        <w:spacing w:after="0" w:line="19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Statistical Release</w:t>
      </w:r>
      <w:r>
        <w:rPr>
          <w:rFonts w:ascii="Arial" w:cs="Arial" w:eastAsia="Arial" w:hAnsi="Arial"/>
          <w:sz w:val="17"/>
          <w:szCs w:val="17"/>
          <w:color w:val="auto"/>
        </w:rPr>
        <w:t>” means the statistical release designated “Selected Interest Rates (Daily)—H.15” or any successor publication which is published by the Federal Reserve System and which establishes yields on actively traded United States government securities adjusted to constant maturities or, if such statistical release is not published at the time of any determination under the Indenture, then any publicly available source of similar market data used for this purpose in accordance with customary market practice which shall be designated by us.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2024 Notes.</w:t>
      </w:r>
    </w:p>
    <w:p>
      <w:pPr>
        <w:spacing w:after="0" w:line="117"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The 2024 Notes are redeemable at any time at our option, in whole or in part. If the 2024 Notes are redeemed before 90 days prior to the maturity date, the redemption price will be equal to the greater of (1) 100% of the principal amount of the 2024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w:t>
      </w:r>
    </w:p>
    <w:p>
      <w:pPr>
        <w:spacing w:after="0" w:line="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360-day year consisting of twelve 30-day months) at the Adjusted Treasury Rate (as defined below) plus 20 basis points (0.20%), plus, in each case, accrued and unpaid interest thereon to, but excluding, the redemption date. If the 2024 Notes are redeemed on or after 90 days prior to the maturity date, the redemption price will be equal to 100% of the principal amount of the 2024 Notes being redeemed plus accrued and unpaid interest thereon to, but excluding, the redemption date.</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 with respect to the 2024 Notes:</w:t>
      </w:r>
    </w:p>
    <w:p>
      <w:pPr>
        <w:spacing w:after="0" w:line="117"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4"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Issue</w:t>
      </w:r>
      <w:r>
        <w:rPr>
          <w:rFonts w:ascii="Arial" w:cs="Arial" w:eastAsia="Arial" w:hAnsi="Arial"/>
          <w:sz w:val="17"/>
          <w:szCs w:val="17"/>
          <w:color w:val="auto"/>
        </w:rPr>
        <w:t>” means the United States Treasury security selected by the Quotation Agent as having a maturity comparable to the remaining term of the 2024 Notes to be redeemed that would be utilized, at the time of selection and in accordance with customary financial practice, in pricing new issues of corporate debt securities of comparable maturity to the remaining term of such 2024 Notes.</w:t>
      </w:r>
    </w:p>
    <w:p>
      <w:pPr>
        <w:spacing w:after="0" w:line="16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a Primary Treasury Dealer (as defined below) selected by Wells Fargo Securities, LLC, Citigroup Global Markets Inc. and J.P. Morgan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(2) any two other Primary Treasury Dealers selected by us.</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Notice of any redemption of the 2030 Notes will be mailed at least 15 days but not more than 60 days before the redemption date to each holder of the 2030 Notes to be redeemed. Notice of any redemption of the 2024 Notes will be mailed at least 30 days but not more than 60 days before the redemption date to each holder of the 2024 Notes to be redeemed. Unless we default in payment of the redemption price, on and after the redemption date, interest will cease to accrue on the notes or portions thereof called for redemption.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b w:val="1"/>
          <w:bCs w:val="1"/>
          <w:i w:val="1"/>
          <w:iCs w:val="1"/>
          <w:color w:val="auto"/>
        </w:rPr>
        <w:t>Limitations on Incurrence of Debt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notes will provide that we will not, and will not permit any subsidiary to, incur any Debt if, immediately after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8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17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70" w:lineRule="exact"/>
        <w:rPr>
          <w:sz w:val="20"/>
          <w:szCs w:val="20"/>
          <w:color w:val="auto"/>
        </w:rPr>
      </w:pPr>
    </w:p>
    <w:p>
      <w:pPr>
        <w:ind w:left="120" w:right="580"/>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ind w:left="120" w:right="340"/>
        <w:spacing w:after="0" w:line="256" w:lineRule="auto"/>
        <w:rPr>
          <w:sz w:val="20"/>
          <w:szCs w:val="20"/>
          <w:color w:val="auto"/>
        </w:rPr>
      </w:pPr>
      <w:r>
        <w:rPr>
          <w:rFonts w:ascii="Arial" w:cs="Arial" w:eastAsia="Arial" w:hAnsi="Arial"/>
          <w:sz w:val="18"/>
          <w:szCs w:val="18"/>
          <w:b w:val="1"/>
          <w:bCs w:val="1"/>
          <w:i w:val="1"/>
          <w:iCs w:val="1"/>
          <w:color w:val="auto"/>
        </w:rPr>
        <w:t>Insurance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will, and will cause each of our subsidiaries to, maintain insurance with financially sound and reputable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amended and restated credit agreement dated as of July 25, 2019,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w:t>
      </w:r>
    </w:p>
    <w:p>
      <w:pPr>
        <w:spacing w:after="0" w:line="131" w:lineRule="exact"/>
        <w:rPr>
          <w:sz w:val="20"/>
          <w:szCs w:val="20"/>
          <w:color w:val="auto"/>
        </w:rPr>
      </w:pPr>
    </w:p>
    <w:p>
      <w:pPr>
        <w:ind w:left="1080" w:hanging="532"/>
        <w:spacing w:after="0" w:line="285"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with respect to the 2030 Notes,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financing lease liability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provided that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 and</w:t>
      </w:r>
    </w:p>
    <w:p>
      <w:pPr>
        <w:spacing w:after="0" w:line="203" w:lineRule="exact"/>
        <w:rPr>
          <w:rFonts w:ascii="Arial" w:cs="Arial" w:eastAsia="Arial" w:hAnsi="Arial"/>
          <w:sz w:val="16"/>
          <w:szCs w:val="16"/>
          <w:color w:val="auto"/>
        </w:rPr>
      </w:pPr>
    </w:p>
    <w:p>
      <w:pPr>
        <w:ind w:left="1080" w:right="40" w:hanging="532"/>
        <w:spacing w:after="0" w:line="285"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with respect to the 2024 Notes,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left="120" w:right="8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146"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(a), with respect to the 2030 Notes, the cost (original cost plus capital improvements) of our and our subsidiaries’ real estate assets and finance lease right of use assets on such date, before depreciation and amortization determined on a consolidated basis in accordance with generally accepted accounting principles, and (b), with respect to the 2024 Notes,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(1)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(2)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subject to the following events of default:</w:t>
      </w:r>
    </w:p>
    <w:p>
      <w:pPr>
        <w:spacing w:after="0" w:line="225" w:lineRule="exact"/>
        <w:rPr>
          <w:sz w:val="20"/>
          <w:szCs w:val="20"/>
          <w:color w:val="auto"/>
        </w:rPr>
      </w:pPr>
    </w:p>
    <w:p>
      <w:pPr>
        <w:ind w:left="120" w:right="240" w:hanging="4"/>
        <w:spacing w:after="0" w:line="27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left="120" w:right="380" w:hanging="4"/>
        <w:spacing w:after="0" w:line="27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300" w:hanging="184"/>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left="120" w:right="20" w:hanging="4"/>
        <w:spacing w:after="0" w:line="263"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184" w:lineRule="exact"/>
        <w:rPr>
          <w:sz w:val="20"/>
          <w:szCs w:val="20"/>
          <w:color w:val="auto"/>
        </w:rPr>
      </w:pPr>
    </w:p>
    <w:p>
      <w:pPr>
        <w:ind w:left="360" w:hanging="244"/>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5460" w:right="1540" w:hanging="5344"/>
        <w:spacing w:after="0" w:line="449" w:lineRule="auto"/>
        <w:tabs>
          <w:tab w:leader="none" w:pos="3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 S-14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 The occurrence of one or more defaults under:</w:t>
      </w:r>
    </w:p>
    <w:p>
      <w:pPr>
        <w:spacing w:after="0" w:line="225" w:lineRule="exact"/>
        <w:rPr>
          <w:sz w:val="20"/>
          <w:szCs w:val="20"/>
          <w:color w:val="auto"/>
        </w:rPr>
      </w:pPr>
    </w:p>
    <w:p>
      <w:pPr>
        <w:ind w:left="120" w:hanging="4"/>
        <w:spacing w:after="0" w:line="290" w:lineRule="auto"/>
        <w:tabs>
          <w:tab w:leader="none" w:pos="365"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with respect to the 2030 Notes, any bond, debenture, note or other evidence of indebtedness for money borrowed by us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one or more properties)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 and</w:t>
      </w:r>
    </w:p>
    <w:p>
      <w:pPr>
        <w:spacing w:after="0" w:line="165" w:lineRule="exact"/>
        <w:rPr>
          <w:rFonts w:ascii="Arial" w:cs="Arial" w:eastAsia="Arial" w:hAnsi="Arial"/>
          <w:sz w:val="16"/>
          <w:szCs w:val="16"/>
          <w:color w:val="auto"/>
        </w:rPr>
      </w:pPr>
    </w:p>
    <w:p>
      <w:pPr>
        <w:ind w:left="120" w:right="80" w:hanging="4"/>
        <w:spacing w:after="0" w:line="271" w:lineRule="auto"/>
        <w:tabs>
          <w:tab w:leader="none" w:pos="3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 respect to the 2024 Notes,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sz w:val="20"/>
          <w:szCs w:val="20"/>
          <w:color w:val="auto"/>
        </w:rPr>
      </w:pPr>
    </w:p>
    <w:p>
      <w:pPr>
        <w:ind w:left="300" w:hanging="184"/>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(a) is for relief against us or any of our significant subsidiaries in an involuntary case,</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(b) 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6"/>
          <w:szCs w:val="16"/>
          <w:color w:val="auto"/>
        </w:rPr>
        <w:t>(c) orders our liquidation or the liquidation of any of our significant subsidiaries, and the order or decree remains unstayed and in effect for 90 days.</w:t>
      </w:r>
    </w:p>
    <w:p>
      <w:pPr>
        <w:spacing w:after="0" w:line="248" w:lineRule="exact"/>
        <w:rPr>
          <w:rFonts w:ascii="Arial" w:cs="Arial" w:eastAsia="Arial" w:hAnsi="Arial"/>
          <w:sz w:val="18"/>
          <w:szCs w:val="18"/>
          <w:color w:val="auto"/>
        </w:rPr>
      </w:pPr>
    </w:p>
    <w:p>
      <w:pPr>
        <w:ind w:left="300" w:hanging="184"/>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225" w:lineRule="exact"/>
        <w:rPr>
          <w:sz w:val="20"/>
          <w:szCs w:val="20"/>
          <w:color w:val="auto"/>
        </w:rPr>
      </w:pPr>
    </w:p>
    <w:p>
      <w:pPr>
        <w:ind w:left="360" w:hanging="244"/>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left="120" w:right="240" w:hanging="4"/>
        <w:spacing w:after="0" w:line="277" w:lineRule="auto"/>
        <w:tabs>
          <w:tab w:leader="none" w:pos="3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360" w:hanging="244"/>
        <w:spacing w:after="0"/>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380" w:hanging="264"/>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7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6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w:t>
      </w:r>
    </w:p>
    <w:p>
      <w:pPr>
        <w:spacing w:after="0" w:line="1" w:lineRule="exact"/>
        <w:rPr>
          <w:sz w:val="20"/>
          <w:szCs w:val="20"/>
          <w:color w:val="auto"/>
        </w:rPr>
      </w:pPr>
    </w:p>
    <w:p>
      <w:pPr>
        <w:ind w:left="120" w:right="60" w:hanging="4"/>
        <w:spacing w:after="0" w:line="271" w:lineRule="auto"/>
        <w:tabs>
          <w:tab w:leader="none" w:pos="3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8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6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To facilitate subsequent transfers, the Global Security representing the notes which is deposited with, or on behalf of, the Depositary are registered in the name of the Depositary’s partnership nominee, Cede &amp; Co. The deposit of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7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4"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70"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For a discussion of the material federal income tax issues that you may consider relevant relating to our taxation as a REIT, see “Material Federal Income Tax Considerations” beginning on page 29 of the accompanying prospectus. For a general discussion of the material U.S. federal income tax considerations applicable to the acquisition, ownership and disposition of the notes, see below under “ — Taxation of Holders of the Notes.” These discussions apply only to initial beneficial owners of the notes who purchase notes in this offering at their public offering price and who hold the notes as capital assets (generally property held for investment) within the meaning of Section 1221 of the Internal Revenue Code of 1986, as amended (the “Code”). These discussions are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These discussions are general in nature and are not exhaustive of all possible tax considerations, nor do they address any state, local or foreign tax considerations or any U.S. tax considerations (e.g., estate generation-skipping or gift tax) other than U.S. federal income tax considerations, that may be applicable to particular holders. These discussions do not address all the tax consequences that may be relevant to specific holders in light of their particular circumstances (including holders that are directly or indirectly related to us)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This discussion does not address the tax consequences applicable to taxpayers subject to Section 451(b) of the Code. Except as specifically provided below with respect to Non-U.S. Holders (as defined below), these discussions are limited to beneficial owners of notes that are U.S. Holders.</w:t>
      </w:r>
    </w:p>
    <w:p>
      <w:pPr>
        <w:spacing w:after="0" w:line="167" w:lineRule="exact"/>
        <w:rPr>
          <w:sz w:val="20"/>
          <w:szCs w:val="20"/>
          <w:color w:val="auto"/>
        </w:rPr>
      </w:pPr>
    </w:p>
    <w:p>
      <w:pPr>
        <w:ind w:left="120" w:right="640"/>
        <w:spacing w:after="0" w:line="312" w:lineRule="auto"/>
        <w:rPr>
          <w:sz w:val="20"/>
          <w:szCs w:val="20"/>
          <w:color w:val="auto"/>
        </w:rPr>
      </w:pPr>
      <w:r>
        <w:rPr>
          <w:rFonts w:ascii="Arial" w:cs="Arial" w:eastAsia="Arial" w:hAnsi="Arial"/>
          <w:sz w:val="17"/>
          <w:szCs w:val="17"/>
          <w:b w:val="1"/>
          <w:bCs w:val="1"/>
          <w:color w:val="auto"/>
        </w:rPr>
        <w:t>PROSPECTIVE INVESTORS SHOULD CONSULT THEIR TAX ADVISORS REGARDING THE U.S. FEDERAL, STATE, LOCAL, FOREIGN AND OTHER TAX CONSEQUENCES OF THE ACQUISITION, OWNERSHIP AND DISPOSITION OF THE NOTES.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Holders of the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spacing w:after="0" w:line="184"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“Non-U.S. Holder” means any beneficial owner of a note that is neither a U.S. Holder nor an entity or arrangement treated as a partnership for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purposes.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Qualified Reopening of 2024 Notes</w:t>
      </w:r>
    </w:p>
    <w:p>
      <w:pPr>
        <w:spacing w:after="0" w:line="121"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 xml:space="preserve">For U.S. federal income tax purposes, we currently intend to treat the 2024 Notes offered hereby, or the reopened notes, as being issued in a “qualified reopening” of the currently outstanding 3.95% Notes due 2024, or the existing notes. For U.S. federal income tax purposes, debt instruments issued in a qualified reopening are deemed to be part of the same issue as the original debt instruments. Under the treatment described in this paragraph, the reopened notes offered hereby will have the same issue date and the same issue price as the existing notes for U.S. federal income tax purposes. The issue price of the existing notes was $990.18 per $1,000 face amount and the issue date of the existing notes was December 9, 2013. The stated redemption price of the existing notes at maturity did not exceed their issue price by more than the statutory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Therefore, the existing notes were not issued with original issue discount, or OID (as defined below). Accordingly, the reopened notes will also not have OID.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remainder of this discussion assumes the correctness of the treatment described in this paragraph.</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b w:val="1"/>
          <w:bCs w:val="1"/>
          <w:i w:val="1"/>
          <w:iCs w:val="1"/>
          <w:color w:val="auto"/>
        </w:rPr>
        <w:t xml:space="preserve">Pre-Acquisition Accrued Interest on Reopened Notes. </w:t>
      </w:r>
      <w:r>
        <w:rPr>
          <w:rFonts w:ascii="Arial" w:cs="Arial" w:eastAsia="Arial" w:hAnsi="Arial"/>
          <w:sz w:val="18"/>
          <w:szCs w:val="18"/>
          <w:color w:val="auto"/>
        </w:rPr>
        <w:t>A portion of the price paid for the reopened notes is attributable to the amount of interest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January 15, 2020 (“pre-acquisition accrued interest”). To the extent a portion of a U.S. Holder’s purchase price of a reopened note is allocable to pre-acquisition accrued interest, a portion of the first stated interest payment equal to the amount of such pre-acquisition accrued interest may be treated as a nontaxable return of such pre-acquisition accrued interest to the U.S. Holder. If so, the amount treated as a return of pre-acquisition accrued interest will reduce a U.S. Holder’s adjusted tax basis in the reopened note by a corresponding amount. You are urged to consult your own tax advisors regarding the tax treatment of pre-acquisition accrued interest.</w:t>
      </w:r>
    </w:p>
    <w:p>
      <w:pPr>
        <w:spacing w:after="0" w:line="192"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 xml:space="preserve">Stated Interest on the Notes. </w:t>
      </w:r>
      <w:r>
        <w:rPr>
          <w:rFonts w:ascii="Arial" w:cs="Arial" w:eastAsia="Arial" w:hAnsi="Arial"/>
          <w:sz w:val="18"/>
          <w:szCs w:val="18"/>
          <w:color w:val="auto"/>
        </w:rPr>
        <w:t>A 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generally will be required to include stated interest on the notes (other than pre-acquisition accrued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reopened notes) as ordinary income when received or accrued in accordance with the U.S. Holder’s regular method of tax accounting to the extent such interest is “qualified stated interest.” Stated interest is qualified stated interest if it is unconditionally payable in cash at least annually. The stated interest on the notes will be qualified stated interest.</w:t>
      </w:r>
    </w:p>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b w:val="1"/>
          <w:bCs w:val="1"/>
          <w:i w:val="1"/>
          <w:iCs w:val="1"/>
          <w:color w:val="auto"/>
        </w:rPr>
        <w:t xml:space="preserve">OID and Issue Price of the 2030 Notes. </w:t>
      </w:r>
      <w:r>
        <w:rPr>
          <w:rFonts w:ascii="Arial" w:cs="Arial" w:eastAsia="Arial" w:hAnsi="Arial"/>
          <w:sz w:val="18"/>
          <w:szCs w:val="18"/>
          <w:color w:val="auto"/>
        </w:rPr>
        <w:t>A debt instrument generally has OID if its “stated redemption price at maturity” exceeds its “issue price” by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2030 Notes is the first price at which a substantial amount of the 2030 Notes are sold to the public (excluding bond houses, brokers, or similar persons or organizations acting in the capacity of underwriters, placement agents, or wholesalers).</w:t>
      </w:r>
    </w:p>
    <w:p>
      <w:pPr>
        <w:spacing w:after="0" w:line="18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If the 2030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the U.S. Holder’s 2030 Notes. A U.S. Holder generally will not be required to include separately in income cash payments received on the 2030 Notes to the extent that such payments constitute payments of previously accrued OID or payments of principal, and such payments will reduce the U.S. Holder’s tax basis in the U.S. Holder’s 2030 Notes by the amount of such payments.</w:t>
      </w:r>
    </w:p>
    <w:p>
      <w:pPr>
        <w:spacing w:after="0" w:line="16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It is expected, and this discussion assumes, that the 2030 Notes will not be issued with OID. However, U.S. Holders should consult their tax advisors regarding the determination of the issue price of the 2030 Notes and the possible application of the OID rules.</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b w:val="1"/>
          <w:bCs w:val="1"/>
          <w:i w:val="1"/>
          <w:iCs w:val="1"/>
          <w:color w:val="auto"/>
        </w:rPr>
        <w:t xml:space="preserve">Amortizable Bond Premium on Reopened Notes. </w:t>
      </w:r>
      <w:r>
        <w:rPr>
          <w:rFonts w:ascii="Arial" w:cs="Arial" w:eastAsia="Arial" w:hAnsi="Arial"/>
          <w:sz w:val="17"/>
          <w:szCs w:val="17"/>
          <w:color w:val="auto"/>
        </w:rPr>
        <w:t>If a reopened note is purchased at a price in excess of such reopened note’s stated principal amount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(excluding any amounts that are treated as pre-acquisition accrued interest as described above under “Pre-Acquisition Accrued Interest on Reopened Notes”), a U.S. Holder will have bond premium with respect to that reopened note in an amount equal to such excess. A U.S. Holder generally may elect to amortize bond premium using the constant yield method over the remaining term of the reopened note and may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offset stated interest income otherwise required to be included in respect of the reopened note during any taxable year by the amortized amount of bond premium for the taxable year. However, because we may call the reopened notes under certain circumstances at a price in excess of their stated principal amount, such amortization may be reduced and/or deferred.</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 U.S. Holder’s election to amortize bond premium on a constant yield method, once made, will also apply to all other debt obligations with bond premium (other than obligations the interest on which is excludible from gross income) that a U.S. Holder holds as of the first day of the first taxable year to which the election applies or acquired thereafter. The election may only be revoked with the consent of the IRS. If a U.S. Holder does not elect to amortize the bond premium, the bond premium will decrease the gain or increase the loss such holder would otherwise recognize on the disposition of the reopened note. You are urged to consult your own tax advisors with respect to the rules relating to amortizable bond premium and the application to your particular circumstances.</w:t>
      </w:r>
    </w:p>
    <w:p>
      <w:pPr>
        <w:spacing w:after="0" w:line="19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b w:val="1"/>
          <w:bCs w:val="1"/>
          <w:i w:val="1"/>
          <w:iCs w:val="1"/>
          <w:color w:val="auto"/>
        </w:rPr>
        <w:t xml:space="preserve">Sale, Exchange, Redemption, or Other Taxable Disposition of the Notes. </w:t>
      </w:r>
      <w:r>
        <w:rPr>
          <w:rFonts w:ascii="Arial" w:cs="Arial" w:eastAsia="Arial" w:hAnsi="Arial"/>
          <w:sz w:val="17"/>
          <w:szCs w:val="17"/>
          <w:color w:val="auto"/>
        </w:rPr>
        <w:t>Unless a non-recognition provision applies, upon the sale,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and any amortized bond premium.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74" w:lineRule="exact"/>
        <w:rPr>
          <w:sz w:val="20"/>
          <w:szCs w:val="20"/>
          <w:color w:val="auto"/>
        </w:rPr>
      </w:pPr>
    </w:p>
    <w:p>
      <w:pPr>
        <w:ind w:left="120" w:right="20"/>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4" w:lineRule="exact"/>
        <w:rPr>
          <w:sz w:val="20"/>
          <w:szCs w:val="20"/>
          <w:color w:val="auto"/>
        </w:rPr>
      </w:pPr>
    </w:p>
    <w:p>
      <w:pPr>
        <w:ind w:left="120" w:right="1040"/>
        <w:spacing w:after="0" w:line="277" w:lineRule="auto"/>
        <w:rPr>
          <w:sz w:val="20"/>
          <w:szCs w:val="20"/>
          <w:color w:val="auto"/>
        </w:rPr>
      </w:pPr>
      <w:r>
        <w:rPr>
          <w:rFonts w:ascii="Arial" w:cs="Arial" w:eastAsia="Arial" w:hAnsi="Arial"/>
          <w:sz w:val="18"/>
          <w:szCs w:val="18"/>
          <w:b w:val="1"/>
          <w:bCs w:val="1"/>
          <w:i w:val="1"/>
          <w:iCs w:val="1"/>
          <w:color w:val="auto"/>
        </w:rPr>
        <w:t xml:space="preserve">U.S. Holders Holding Notes Through Foreign Accounts or Intermediaries. </w:t>
      </w:r>
      <w:r>
        <w:rPr>
          <w:rFonts w:ascii="Arial" w:cs="Arial" w:eastAsia="Arial" w:hAnsi="Arial"/>
          <w:sz w:val="18"/>
          <w:szCs w:val="18"/>
          <w:color w:val="auto"/>
        </w:rPr>
        <w:t>U.S. Holders holding their notes through foreign accounts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intermediaries should refer to “—Non-U.S. Holders—FATCA Regime” below.</w:t>
      </w:r>
    </w:p>
    <w:p>
      <w:pPr>
        <w:spacing w:after="0" w:line="166" w:lineRule="exact"/>
        <w:rPr>
          <w:sz w:val="20"/>
          <w:szCs w:val="20"/>
          <w:color w:val="auto"/>
        </w:rPr>
      </w:pPr>
    </w:p>
    <w:p>
      <w:pPr>
        <w:ind w:left="120" w:right="460"/>
        <w:spacing w:after="0" w:line="312" w:lineRule="auto"/>
        <w:rPr>
          <w:sz w:val="20"/>
          <w:szCs w:val="20"/>
          <w:color w:val="auto"/>
        </w:rPr>
      </w:pPr>
      <w:r>
        <w:rPr>
          <w:rFonts w:ascii="Arial" w:cs="Arial" w:eastAsia="Arial" w:hAnsi="Arial"/>
          <w:sz w:val="17"/>
          <w:szCs w:val="17"/>
          <w:b w:val="1"/>
          <w:bCs w:val="1"/>
          <w:i w:val="1"/>
          <w:iCs w:val="1"/>
          <w:color w:val="auto"/>
        </w:rPr>
        <w:t>Information Reporting and Backup Withholding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general, information reporting will apply to a U.S. Holder (other than an “exempt recipient,”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 corporation and certain other persons who, when required, demonstrate their exempt status) with respect to:</w:t>
      </w:r>
    </w:p>
    <w:p>
      <w:pPr>
        <w:spacing w:after="0" w:line="4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16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 xml:space="preserve">Interest on the Notes. </w:t>
      </w:r>
      <w:r>
        <w:rPr>
          <w:rFonts w:ascii="Arial" w:cs="Arial" w:eastAsia="Arial" w:hAnsi="Arial"/>
          <w:sz w:val="17"/>
          <w:szCs w:val="17"/>
          <w:color w:val="auto"/>
        </w:rPr>
        <w:t>Subject to the rules described below under “— Information Reporting and Backup Withholding” and “— FATCA Regime,” 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 generally will not be subject to U.S. federal income or withholding tax on payments of interest on a note provided that:</w:t>
      </w:r>
    </w:p>
    <w:p>
      <w:pPr>
        <w:spacing w:after="0" w:line="116"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direct, indirect or constructive owner of 10% or more of our voting stock;</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 bank whose receipt of interest on a note is pursuant to a loan agreement entered into in the ordinary course of business;</w:t>
      </w:r>
    </w:p>
    <w:p>
      <w:pPr>
        <w:spacing w:after="0" w:line="142" w:lineRule="exact"/>
        <w:rPr>
          <w:rFonts w:ascii="Arial" w:cs="Arial" w:eastAsia="Arial" w:hAnsi="Arial"/>
          <w:sz w:val="17"/>
          <w:szCs w:val="17"/>
          <w:color w:val="auto"/>
        </w:rPr>
      </w:pPr>
    </w:p>
    <w:p>
      <w:pPr>
        <w:ind w:left="1080" w:right="3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the Non-U.S. Holder of a trade or business within the United States; and</w:t>
      </w:r>
    </w:p>
    <w:p>
      <w:pPr>
        <w:spacing w:after="0" w:line="75" w:lineRule="exact"/>
        <w:rPr>
          <w:rFonts w:ascii="Arial" w:cs="Arial" w:eastAsia="Arial" w:hAnsi="Arial"/>
          <w:sz w:val="18"/>
          <w:szCs w:val="18"/>
          <w:color w:val="auto"/>
        </w:rPr>
      </w:pPr>
    </w:p>
    <w:p>
      <w:pPr>
        <w:ind w:left="1080" w:right="180" w:hanging="532"/>
        <w:spacing w:after="0" w:line="308"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46"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 Non-U.S. Holder that is not exempt from tax under these rules generally will be subject to U.S. federal income tax withholding at a rate of 30% unless:</w:t>
      </w:r>
    </w:p>
    <w:p>
      <w:pPr>
        <w:spacing w:after="0" w:line="76" w:lineRule="exact"/>
        <w:rPr>
          <w:sz w:val="20"/>
          <w:szCs w:val="20"/>
          <w:color w:val="auto"/>
        </w:rPr>
      </w:pPr>
    </w:p>
    <w:p>
      <w:pPr>
        <w:ind w:left="1080" w:right="1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which provides for a lower rate of, or exemption from, withholding tax.</w:t>
      </w:r>
    </w:p>
    <w:p>
      <w:pPr>
        <w:spacing w:after="0" w:line="170"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82"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89" w:lineRule="exact"/>
        <w:rPr>
          <w:sz w:val="20"/>
          <w:szCs w:val="20"/>
          <w:color w:val="auto"/>
        </w:rPr>
      </w:pPr>
    </w:p>
    <w:p>
      <w:pPr>
        <w:ind w:left="1080" w:right="20" w:hanging="532"/>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by such Non-U.S. Holder) generally will be subject to U.S. federal income tax on a net basis at the rates applicable to U.S.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17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or that the conditions of any other exemption are not, in fact, satisfied.</w:t>
      </w:r>
    </w:p>
    <w:p>
      <w:pPr>
        <w:spacing w:after="0" w:line="19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U.S. person;</w:t>
      </w:r>
    </w:p>
    <w:p>
      <w:pPr>
        <w:spacing w:after="0" w:line="22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76"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66"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i w:val="1"/>
          <w:iCs w:val="1"/>
          <w:color w:val="auto"/>
        </w:rPr>
        <w:t>FATCA Regime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sections 1471 through 1474 of the Code, Treasury regulations and related guidance (commonly referred to as “FATCA”), a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withholding tax will be imposed in certain circumstances on payments of (i) interest on the notes and (ii) subject to the proposed Treasury regulations discussed below, gross proceeds from the sale or other disposition of the 2030 Notes (which includes redemption and retirement of the notes).</w:t>
      </w:r>
    </w:p>
    <w:p>
      <w:pPr>
        <w:spacing w:after="0" w:line="184"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Treasury regulations proposed in December 2018 eliminate FATCA withholding on the gross proceeds from a sale or other disposition of instruments, such as the 2030 Notes, that produce U.S. source interest. In its preamble to such proposed Treasury regulations, the IRS stated that taxpayers and withholding agents may generally rely on the proposed Treasury regulations until final Treasury regulations are issued. The reopened notes should be grandfathered from FATCA withholding. In the case of payments made to a “foreign financial institution” (such as a bank, a broker, an investment fund</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notes.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intend to offer the notes through the underwriters named below, for whom Citigroup Global Markets Inc., Deutsche Bank Securities Inc., Jefferies LLC, U.S. Bancorp Investments, Inc. and Wells Fargo Securities, LLC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6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Principal</w:t>
            </w:r>
          </w:p>
        </w:tc>
        <w:tc>
          <w:tcPr>
            <w:tcW w:w="6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3240" w:type="dxa"/>
            <w:vAlign w:val="bottom"/>
            <w:vMerge w:val="restart"/>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1"/>
              </w:rPr>
              <w:t>Amount of</w:t>
            </w:r>
          </w:p>
        </w:tc>
        <w:tc>
          <w:tcPr>
            <w:tcW w:w="6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680" w:type="dxa"/>
            <w:vAlign w:val="bottom"/>
          </w:tcPr>
          <w:p>
            <w:pPr>
              <w:spacing w:after="0" w:line="158" w:lineRule="exact"/>
              <w:rPr>
                <w:sz w:val="20"/>
                <w:szCs w:val="20"/>
                <w:color w:val="auto"/>
              </w:rPr>
            </w:pPr>
            <w:r>
              <w:rPr>
                <w:rFonts w:ascii="Arial" w:cs="Arial" w:eastAsia="Arial" w:hAnsi="Arial"/>
                <w:sz w:val="14"/>
                <w:szCs w:val="14"/>
                <w:b w:val="1"/>
                <w:bCs w:val="1"/>
                <w:color w:val="auto"/>
                <w:w w:val="89"/>
              </w:rPr>
              <w:t>2030 Notes</w:t>
            </w:r>
          </w:p>
        </w:tc>
        <w:tc>
          <w:tcPr>
            <w:tcW w:w="600" w:type="dxa"/>
            <w:vAlign w:val="bottom"/>
          </w:tcPr>
          <w:p>
            <w:pPr>
              <w:spacing w:after="0"/>
              <w:rPr>
                <w:sz w:val="15"/>
                <w:szCs w:val="15"/>
                <w:color w:val="auto"/>
              </w:rPr>
            </w:pPr>
          </w:p>
        </w:tc>
        <w:tc>
          <w:tcPr>
            <w:tcW w:w="7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4"/>
              </w:rPr>
              <w:t>2024 Notes</w:t>
            </w: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Citigroup Global Markets Inc.</w:t>
            </w:r>
          </w:p>
        </w:tc>
        <w:tc>
          <w:tcPr>
            <w:tcW w:w="1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1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14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14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underwriters have agreed to purchase all of the 2030 Notes if they purchase any of the 2030 Notes and all of the 2024 Notes if they purchase any of the 2024 Notes. However, the sales of the 2030 Notes and the 2024 Notes are not conditioned upon each other, and we may consummate the sale of one or the other series of notes and not the other series of notes, or consummate the sales at different times. If an underwriter defaults, the underwriting agreement provides that the purchase commitments of the nondefaulting underwriters may be increased or the underwriting agreement may be terminated.</w:t>
      </w:r>
    </w:p>
    <w:p>
      <w:pPr>
        <w:spacing w:after="0" w:line="18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$900,000.</w:t>
      </w:r>
    </w:p>
    <w:p>
      <w:pPr>
        <w:spacing w:after="0" w:line="225"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underwriters have advised us that they propose to offer the notes to the public at the initial public offering prices on the cover page of this prospectus supplement and to dealers at that price less a concession not in excess of (i) with respect to the 2030 Notes, % of the principal amount of the 2030 Notes, and (ii) with respect to the 2024 Notes offered hereby, % of the principal amount of the 2024 Notes offered hereby. The underwriters may allow, and the dealers may reallow, a discount not in excess of (i) with respect to the 2030 Notes, % of the principal amount of the 2030 Notes, and (ii) with respect to the 2024 Notes offered hereby, % of the principal amount of the 2024 Notes offered hereby, in each case on sales to other dealers. After the initial offering, the public offering price and concession to dealers may be changed.</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6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Paid by Us</w:t>
            </w:r>
          </w:p>
        </w:tc>
        <w:tc>
          <w:tcPr>
            <w:tcW w:w="200" w:type="dxa"/>
            <w:vAlign w:val="bottom"/>
            <w:tcBorders>
              <w:bottom w:val="single" w:sz="8" w:color="CCEEFF"/>
            </w:tcBorders>
          </w:tcPr>
          <w:p>
            <w:pPr>
              <w:spacing w:after="0"/>
              <w:rPr>
                <w:sz w:val="14"/>
                <w:szCs w:val="14"/>
                <w:color w:val="auto"/>
              </w:rPr>
            </w:pPr>
          </w:p>
        </w:tc>
      </w:tr>
      <w:tr>
        <w:trPr>
          <w:trHeight w:val="20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Per 2030 Note</w:t>
            </w: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Per 2024 Note</w:t>
            </w: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Reopening and New Issue</w:t>
      </w:r>
    </w:p>
    <w:p>
      <w:pPr>
        <w:spacing w:after="0" w:line="12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The 2024 Notes will be a further issuance of, are fungible with and are consolidated and form a single series with, our outstanding 3.95% Notes due 2024, $300,000,000 of which were originally issued on December 9, 2013. The 2030 Notes will be a new issue of securities with no established trading market. The notes will not be listed on any securities exchange or included in any automated quotation system. We have been advised by the underwriters that the underwriters intend to make a market in each series of the notes, but they are not obligated to do so and may discontinue market making at any time without notice. No assurance can be given as to the liquidity of any trading markets for the notes.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92"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 U.S. Bank National Association, the trustee under the indenture, is an affiliate of U.S. Bancorp Investments, Inc., one of the underwriters.</w:t>
      </w:r>
    </w:p>
    <w:p>
      <w:pPr>
        <w:spacing w:after="0" w:line="18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jc w:val="both"/>
        <w:ind w:left="120" w:right="540"/>
        <w:spacing w:after="0" w:line="287" w:lineRule="auto"/>
        <w:rPr>
          <w:sz w:val="20"/>
          <w:szCs w:val="20"/>
          <w:color w:val="auto"/>
        </w:rPr>
      </w:pPr>
      <w:r>
        <w:rPr>
          <w:rFonts w:ascii="Arial" w:cs="Arial" w:eastAsia="Arial" w:hAnsi="Arial"/>
          <w:sz w:val="16"/>
          <w:szCs w:val="16"/>
          <w:color w:val="auto"/>
        </w:rPr>
        <w:t>The communication of this prospectus supplement, the accompanying prospectus, any related free writing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w:t>
      </w:r>
    </w:p>
    <w:p>
      <w:pPr>
        <w:spacing w:after="0" w:line="2"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Accordingly, such documents and/or materials are not being distributed to, and must not be passed on to, the general public in the United Kingdom. The communication of such documents and/or materials as a financial promotion is only being made to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communicated under the Financial Promotion Order (all such persons being referred to as “relevant persons”). In the United Kingdom, the notes are only available to, and any investment or investment activity to which this prospectus supplement and the accompanying prospectus relate will be engaged in only with, relevant persons. Any person in the United Kingdom who is not a relevant person should not act or rely on this prospectus supplement or the accompanying prospectus or any of their contents.</w:t>
      </w:r>
    </w:p>
    <w:p>
      <w:pPr>
        <w:spacing w:after="0" w:line="18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Federal Realty Investment Trust.</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notes in, from or otherwise involving the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the United Kingdom</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Neither this prospectus supplement nor the accompanying prospectus and any related free writing prospectus is a prospectus for the purposes of the Prospectus Regulation (as defined below). This prospectus supplement, the accompanying prospectus and any related free writing prospectus have been prepared on the basis that any offer of notes in any Member State of the European Economic Area (the “EEA”) or in the United Kingdom (each, a “Relevant State”) will only be made to a legal entity which is a qualified investor under the Prospectus Regulation (“Qualified Investors”). Accordingly any person making or intending to make an offer in that Relevant State of notes which are the subject of the offering contemplated in this prospectus supplement, the accompanying prospectus and any related free writing prospectus may only do so with respect to Qualified Investors. Neither Federal Realty Investment Trust nor the underwriters have authorized, nor do they authorize, the making of any offer of notes other than to Qualified Investors. The expression “Prospectus Regulation” means Regulation (EU) 2017/1129.</w:t>
      </w:r>
    </w:p>
    <w:p>
      <w:pPr>
        <w:spacing w:after="0" w:line="178"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i w:val="1"/>
          <w:iCs w:val="1"/>
          <w:color w:val="auto"/>
        </w:rPr>
        <w:t xml:space="preserve">Prohibition of Sales to EEA and United Kingdom Retail Investors </w:t>
      </w:r>
      <w:r>
        <w:rPr>
          <w:rFonts w:ascii="Arial" w:cs="Arial" w:eastAsia="Arial" w:hAnsi="Arial"/>
          <w:sz w:val="16"/>
          <w:szCs w:val="16"/>
          <w:color w:val="auto"/>
        </w:rPr>
        <w:t>– The notes are not intended to be offered, sold or otherwise made available to and</w:t>
      </w:r>
      <w:r>
        <w:rPr>
          <w:rFonts w:ascii="Arial" w:cs="Arial" w:eastAsia="Arial" w:hAnsi="Arial"/>
          <w:sz w:val="16"/>
          <w:szCs w:val="16"/>
          <w:i w:val="1"/>
          <w:iCs w:val="1"/>
          <w:color w:val="auto"/>
        </w:rPr>
        <w:t xml:space="preserve"> </w:t>
      </w:r>
      <w:r>
        <w:rPr>
          <w:rFonts w:ascii="Arial" w:cs="Arial" w:eastAsia="Arial" w:hAnsi="Arial"/>
          <w:sz w:val="16"/>
          <w:szCs w:val="16"/>
          <w:color w:val="auto"/>
        </w:rPr>
        <w:t>should not be offered, sold or otherwise made available to any retail investor in the EEA or the United Kingdom. For these purposes: (1) a retail investor means a person who is one (or more) of: (a) a retail client as defined in point (11) of Article 4(1) of Directive 2014/65/EU, as amended (“MiFID II”); or</w:t>
      </w:r>
    </w:p>
    <w:p>
      <w:pPr>
        <w:spacing w:after="0" w:line="2" w:lineRule="exact"/>
        <w:rPr>
          <w:sz w:val="20"/>
          <w:szCs w:val="20"/>
          <w:color w:val="auto"/>
        </w:rPr>
      </w:pPr>
    </w:p>
    <w:p>
      <w:pPr>
        <w:ind w:left="120" w:hanging="4"/>
        <w:spacing w:after="0" w:line="255"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customer within the meaning of Directive (EU) 2016/97 (the Insurance Distribution Directive), where that customer would not qualify as a professional client as defined in point (10) of Article 4(1) of MiFID II; or (c) not a qualified investor as defined in the Prospectus Regulation; and (2) the expression “offer” includes the communication in any form and by any means of sufficient</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Realty Investment Trust does not intend to offer the notes in any Relevant State other than the United Kingdom.</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audited consolidated financial statements, schedules and management’s assessment of the effectiveness of our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171450</wp:posOffset>
            </wp:positionV>
            <wp:extent cx="2245995" cy="908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24599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00"/>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date of this prospectus is May 7, 2018.</w:t>
      </w:r>
    </w:p>
    <w:p>
      <w:pPr>
        <w:sectPr>
          <w:pgSz w:w="11900" w:h="16838" w:orient="portrait"/>
          <w:cols w:equalWidth="0" w:num="1">
            <w:col w:w="11060"/>
          </w:cols>
          <w:pgMar w:left="32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10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92"/>
        </w:trPr>
        <w:tc>
          <w:tcPr>
            <w:tcW w:w="3880" w:type="dxa"/>
            <w:vAlign w:val="bottom"/>
            <w:vMerge w:val="restart"/>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About this Prospectus</w:t>
              </w:r>
            </w:hyperlink>
          </w:p>
        </w:tc>
        <w:tc>
          <w:tcPr>
            <w:tcW w:w="67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24"/>
        </w:trPr>
        <w:tc>
          <w:tcPr>
            <w:tcW w:w="3880" w:type="dxa"/>
            <w:vAlign w:val="bottom"/>
            <w:vMerge w:val="continue"/>
          </w:tcPr>
          <w:p>
            <w:pPr>
              <w:spacing w:after="0"/>
              <w:rPr>
                <w:sz w:val="19"/>
                <w:szCs w:val="19"/>
                <w:color w:val="auto"/>
              </w:rPr>
            </w:pPr>
          </w:p>
        </w:tc>
        <w:tc>
          <w:tcPr>
            <w:tcW w:w="678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88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Forward-Looking Statements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Prospectus Summary</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Use of Proceeds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Debt Securities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Description of Shares of Beneficial Interest</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Material Federal Income Tax Considerations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Plan of Distribution</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Legal Matters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Experts</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388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Where You Can Find More Information</w:t>
              </w:r>
            </w:hyperlink>
          </w:p>
        </w:tc>
        <w:tc>
          <w:tcPr>
            <w:tcW w:w="71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64"/>
        </w:trPr>
        <w:tc>
          <w:tcPr>
            <w:tcW w:w="3880" w:type="dxa"/>
            <w:vAlign w:val="bottom"/>
          </w:tcPr>
          <w:p>
            <w:pPr>
              <w:spacing w:after="0"/>
              <w:rPr>
                <w:sz w:val="24"/>
                <w:szCs w:val="24"/>
                <w:color w:val="auto"/>
              </w:rPr>
            </w:pPr>
          </w:p>
        </w:tc>
        <w:tc>
          <w:tcPr>
            <w:tcW w:w="7100" w:type="dxa"/>
            <w:vAlign w:val="bottom"/>
            <w:gridSpan w:val="3"/>
          </w:tcPr>
          <w:p>
            <w:pPr>
              <w:jc w:val="center"/>
              <w:ind w:right="3860"/>
              <w:spacing w:after="0"/>
              <w:rPr>
                <w:sz w:val="20"/>
                <w:szCs w:val="20"/>
                <w:color w:val="auto"/>
              </w:rPr>
            </w:pPr>
            <w:r>
              <w:rPr>
                <w:rFonts w:ascii="Arial" w:cs="Arial" w:eastAsia="Arial" w:hAnsi="Arial"/>
                <w:sz w:val="18"/>
                <w:szCs w:val="18"/>
                <w:color w:val="auto"/>
                <w:w w:val="98"/>
              </w:rPr>
              <w:t>i</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9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13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998970" cy="69132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24.2 million square feet. In total, the real estate projects were 94.8% leased and 93.3% occupied at March 31, 2018. We have paid quarterly dividends to our shareholders continuously since our founding in 1962 and have increased our dividends per common share for 50 consecutive years.</w:t>
      </w:r>
    </w:p>
    <w:p>
      <w:pPr>
        <w:spacing w:after="0" w:line="195"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left="300" w:right="140" w:firstLine="426"/>
        <w:spacing w:after="0" w:line="291" w:lineRule="auto"/>
        <w:rPr>
          <w:sz w:val="20"/>
          <w:szCs w:val="20"/>
          <w:color w:val="auto"/>
        </w:rPr>
      </w:pPr>
      <w:r>
        <w:rPr>
          <w:rFonts w:ascii="Arial" w:cs="Arial" w:eastAsia="Arial" w:hAnsi="Arial"/>
          <w:sz w:val="16"/>
          <w:szCs w:val="16"/>
          <w:color w:val="auto"/>
        </w:rPr>
        <w:t>We were founded in 1962 as a REIT under the laws of the District of Columbia and re-formed as a real estate investment trust in the state of Maryland in 1999. Our principal executive offices are located at 1626 East Jefferson Street, Rockville, Maryland 20852. Our telephone number is</w:t>
      </w:r>
    </w:p>
    <w:p>
      <w:pPr>
        <w:ind w:left="300" w:right="40" w:hanging="2"/>
        <w:spacing w:after="0" w:line="260" w:lineRule="auto"/>
        <w:tabs>
          <w:tab w:leader="none" w:pos="7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Ratios of Earnings to Fixed Charges and Combined Fixed Charges and Preferred Share Dividends</w:t>
      </w:r>
    </w:p>
    <w:p>
      <w:pPr>
        <w:spacing w:after="0" w:line="229"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The following table sets forth our historical ratios of earnings to fixed charges and combined Fixed Charges and preferred share dividends for the periods indicated:</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For the Three Months</w:t>
            </w:r>
          </w:p>
        </w:tc>
        <w:tc>
          <w:tcPr>
            <w:tcW w:w="300" w:type="dxa"/>
            <w:vAlign w:val="bottom"/>
          </w:tcPr>
          <w:p>
            <w:pPr>
              <w:spacing w:after="0"/>
              <w:rPr>
                <w:sz w:val="14"/>
                <w:szCs w:val="14"/>
                <w:color w:val="auto"/>
              </w:rPr>
            </w:pPr>
          </w:p>
        </w:tc>
        <w:tc>
          <w:tcPr>
            <w:tcW w:w="226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w w:val="93"/>
              </w:rPr>
              <w:t>For the Years Ended December 31,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Ended March 31,</w:t>
            </w:r>
          </w:p>
        </w:tc>
        <w:tc>
          <w:tcPr>
            <w:tcW w:w="300" w:type="dxa"/>
            <w:vAlign w:val="bottom"/>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1360" w:type="dxa"/>
            <w:vAlign w:val="bottom"/>
            <w:tcBorders>
              <w:top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46" w:lineRule="exact"/>
        <w:rPr>
          <w:sz w:val="20"/>
          <w:szCs w:val="20"/>
          <w:color w:val="auto"/>
        </w:rPr>
      </w:pPr>
    </w:p>
    <w:p>
      <w:pPr>
        <w:ind w:left="300" w:hanging="2"/>
        <w:spacing w:after="0" w:line="253" w:lineRule="auto"/>
        <w:tabs>
          <w:tab w:leader="none" w:pos="5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3" w:lineRule="exact"/>
        <w:rPr>
          <w:sz w:val="20"/>
          <w:szCs w:val="20"/>
          <w:color w:val="auto"/>
        </w:rPr>
      </w:pPr>
    </w:p>
    <w:p>
      <w:pPr>
        <w:ind w:left="300" w:right="80" w:firstLine="426"/>
        <w:spacing w:after="0" w:line="254" w:lineRule="auto"/>
        <w:rPr>
          <w:sz w:val="20"/>
          <w:szCs w:val="20"/>
          <w:color w:val="auto"/>
        </w:rPr>
      </w:pPr>
      <w:r>
        <w:rPr>
          <w:rFonts w:ascii="Arial" w:cs="Arial" w:eastAsia="Arial" w:hAnsi="Arial"/>
          <w:sz w:val="18"/>
          <w:szCs w:val="18"/>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Investing in our securities involves risks. Before making an investment decision, please consider the risks described under the caption “Risk Factors” in our Annual Report on Form 10-K for the fiscal year ended December 31, 2017,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jc w:val="both"/>
        <w:ind w:left="120" w:right="600" w:firstLine="440"/>
        <w:spacing w:after="0" w:line="311"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54"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such date or dates.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calculating such rate or rates.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Accrual. </w:t>
      </w:r>
      <w:r>
        <w:rPr>
          <w:rFonts w:ascii="Arial" w:cs="Arial" w:eastAsia="Arial" w:hAnsi="Arial"/>
          <w:sz w:val="17"/>
          <w:szCs w:val="17"/>
          <w:color w:val="auto"/>
        </w:rPr>
        <w:t>The date or dates from which interest will accrue or the method by which such date or dates will be determined.</w:t>
      </w:r>
    </w:p>
    <w:p>
      <w:pPr>
        <w:spacing w:after="0" w:line="142" w:lineRule="exact"/>
        <w:rPr>
          <w:rFonts w:ascii="Arial" w:cs="Arial" w:eastAsia="Arial" w:hAnsi="Arial"/>
          <w:sz w:val="17"/>
          <w:szCs w:val="17"/>
          <w:color w:val="auto"/>
        </w:rPr>
      </w:pPr>
    </w:p>
    <w:p>
      <w:pPr>
        <w:ind w:left="1080" w:right="40" w:hanging="532"/>
        <w:spacing w:after="0" w:line="34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1080" w:right="4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offered debt securities may be surrendered for registration of transfer or exchange.</w:t>
      </w:r>
    </w:p>
    <w:p>
      <w:pPr>
        <w:spacing w:after="0" w:line="75" w:lineRule="exact"/>
        <w:rPr>
          <w:rFonts w:ascii="Arial" w:cs="Arial" w:eastAsia="Arial" w:hAnsi="Arial"/>
          <w:sz w:val="18"/>
          <w:szCs w:val="18"/>
          <w:color w:val="auto"/>
        </w:rPr>
      </w:pPr>
    </w:p>
    <w:p>
      <w:pPr>
        <w:ind w:left="1080" w:right="280" w:hanging="532"/>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dollars), including currency unit or units, in which, and the other terms and conditions upon which, the offered debt securities may be redeemed, in whole or in part, at our option, if we have that option.</w:t>
      </w:r>
    </w:p>
    <w:p>
      <w:pPr>
        <w:spacing w:after="0" w:line="48"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Mandatory Redemption. </w:t>
      </w:r>
      <w:r>
        <w:rPr>
          <w:rFonts w:ascii="Arial" w:cs="Arial" w:eastAsia="Arial" w:hAnsi="Arial"/>
          <w:sz w:val="18"/>
          <w:szCs w:val="18"/>
          <w:color w:val="auto"/>
        </w:rPr>
        <w:t>The obligation, if any, we have to redeem or repurchase the offered debt securities pursuant to any sinking fund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similar provisions or upon the happening of a specified event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63" w:lineRule="auto"/>
        <w:rPr>
          <w:sz w:val="20"/>
          <w:szCs w:val="20"/>
          <w:color w:val="auto"/>
        </w:rPr>
      </w:pPr>
      <w:r>
        <w:rPr>
          <w:rFonts w:ascii="Arial" w:cs="Arial" w:eastAsia="Arial" w:hAnsi="Arial"/>
          <w:sz w:val="18"/>
          <w:szCs w:val="18"/>
          <w:color w:val="auto"/>
        </w:rPr>
        <w:t>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1080" w:right="180" w:hanging="532"/>
        <w:spacing w:after="0" w:line="279"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Currency. </w:t>
      </w:r>
      <w:r>
        <w:rPr>
          <w:rFonts w:ascii="Arial" w:cs="Arial" w:eastAsia="Arial" w:hAnsi="Arial"/>
          <w:sz w:val="17"/>
          <w:szCs w:val="17"/>
          <w:color w:val="auto"/>
        </w:rPr>
        <w:t>The currency or currency unit in which the offered debt securities may be denominated and/or the currency or currencies,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76" w:lineRule="exact"/>
        <w:rPr>
          <w:rFonts w:ascii="Arial" w:cs="Arial" w:eastAsia="Arial" w:hAnsi="Arial"/>
          <w:sz w:val="17"/>
          <w:szCs w:val="17"/>
          <w:color w:val="auto"/>
        </w:rPr>
      </w:pPr>
    </w:p>
    <w:p>
      <w:pPr>
        <w:ind w:left="1080" w:right="340" w:hanging="532"/>
        <w:spacing w:after="0" w:line="308"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Indexed Principal. </w:t>
      </w:r>
      <w:r>
        <w:rPr>
          <w:rFonts w:ascii="Arial" w:cs="Arial" w:eastAsia="Arial" w:hAnsi="Arial"/>
          <w:sz w:val="17"/>
          <w:szCs w:val="17"/>
          <w:color w:val="auto"/>
        </w:rPr>
        <w:t>If the amount of principal of, or premium, if any, or interest on, the offered debt securities may be determined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reference to an index or pursuant to a formula or other method, the manner in which such amounts will be determined.</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53"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persons for taxes, assessments or similar charges.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30" w:lineRule="exact"/>
        <w:rPr>
          <w:rFonts w:ascii="Arial" w:cs="Arial" w:eastAsia="Arial" w:hAnsi="Arial"/>
          <w:sz w:val="18"/>
          <w:szCs w:val="18"/>
          <w:color w:val="auto"/>
        </w:rPr>
      </w:pPr>
    </w:p>
    <w:p>
      <w:pPr>
        <w:ind w:left="1080" w:right="460" w:hanging="532"/>
        <w:spacing w:after="0" w:line="308"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Dates of Certificates. </w:t>
      </w:r>
      <w:r>
        <w:rPr>
          <w:rFonts w:ascii="Arial" w:cs="Arial" w:eastAsia="Arial" w:hAnsi="Arial"/>
          <w:sz w:val="17"/>
          <w:szCs w:val="17"/>
          <w:color w:val="auto"/>
        </w:rPr>
        <w:t>The date as of which any offered debt securities in bearer form and any temporary global security representing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securities are dated, if other than the original issuance date of the offered debt securities.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Global Securities. </w:t>
      </w:r>
      <w:r>
        <w:rPr>
          <w:rFonts w:ascii="Arial" w:cs="Arial" w:eastAsia="Arial" w:hAnsi="Arial"/>
          <w:sz w:val="17"/>
          <w:szCs w:val="17"/>
          <w:color w:val="auto"/>
        </w:rPr>
        <w:t>Whether the offered debt securities are to be issued in whole or in part in the form of one or more temporary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permanent 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76"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9"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payable and the manner in which, or the person to whom, any interest on any bearer securities of the series will be payable.</w:t>
      </w:r>
    </w:p>
    <w:p>
      <w:pPr>
        <w:spacing w:after="0" w:line="29" w:lineRule="exact"/>
        <w:rPr>
          <w:rFonts w:ascii="Arial" w:cs="Arial" w:eastAsia="Arial" w:hAnsi="Arial"/>
          <w:sz w:val="16"/>
          <w:szCs w:val="16"/>
          <w:color w:val="auto"/>
        </w:rPr>
      </w:pPr>
    </w:p>
    <w:p>
      <w:pPr>
        <w:ind w:left="1080" w:right="80" w:hanging="532"/>
        <w:spacing w:after="0" w:line="308"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applicable indenture, including, without limitation, the definition of “unrestricted subsidiary” to be used for such series.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Subordination. </w:t>
      </w:r>
      <w:r>
        <w:rPr>
          <w:rFonts w:ascii="Arial" w:cs="Arial" w:eastAsia="Arial" w:hAnsi="Arial"/>
          <w:sz w:val="18"/>
          <w:szCs w:val="18"/>
          <w:color w:val="auto"/>
        </w:rPr>
        <w:t>In the case of any subordinated indenture that we may enter into, the relative degree to which the offered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senior to or junior to other debt securities, whether currently outstanding or to be offered in the future, and to other debt, in right of payment.</w:t>
      </w:r>
    </w:p>
    <w:p>
      <w:pPr>
        <w:spacing w:after="0" w:line="89" w:lineRule="exact"/>
        <w:rPr>
          <w:rFonts w:ascii="Arial" w:cs="Arial" w:eastAsia="Arial" w:hAnsi="Arial"/>
          <w:sz w:val="18"/>
          <w:szCs w:val="18"/>
          <w:color w:val="auto"/>
        </w:rPr>
      </w:pPr>
    </w:p>
    <w:p>
      <w:pPr>
        <w:ind w:left="1080" w:right="520" w:hanging="532"/>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guarantees (including whether and the extent to which the guarantees are subordinated to other debt of the guarantors).</w:t>
      </w:r>
    </w:p>
    <w:p>
      <w:pPr>
        <w:spacing w:after="0" w:line="29" w:lineRule="exact"/>
        <w:rPr>
          <w:rFonts w:ascii="Arial" w:cs="Arial" w:eastAsia="Arial" w:hAnsi="Arial"/>
          <w:sz w:val="16"/>
          <w:szCs w:val="16"/>
          <w:color w:val="auto"/>
        </w:rPr>
      </w:pPr>
    </w:p>
    <w:p>
      <w:pPr>
        <w:ind w:left="1080" w:right="20" w:hanging="532"/>
        <w:spacing w:after="0" w:line="311"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Terms. </w:t>
      </w:r>
      <w:r>
        <w:rPr>
          <w:rFonts w:ascii="Arial" w:cs="Arial" w:eastAsia="Arial" w:hAnsi="Arial"/>
          <w:sz w:val="18"/>
          <w:szCs w:val="18"/>
          <w:color w:val="auto"/>
        </w:rPr>
        <w:t>Any other terms not inconsistent with the terms of the applicable indenture pertaining to the offered debt securities or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required or advisable under U.S. laws or regulations or advisable, as we determine, in connection with marketing of securities of the series.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1080" w:right="60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ind w:left="1080" w:right="46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other currency may be a currency unit composed of various currencies. Payments on debt securities may also be based on an index.</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w:t>
      </w:r>
    </w:p>
    <w:p>
      <w:pPr>
        <w:spacing w:after="0" w:line="34" w:lineRule="exact"/>
        <w:rPr>
          <w:sz w:val="20"/>
          <w:szCs w:val="20"/>
          <w:color w:val="auto"/>
        </w:rPr>
      </w:pPr>
    </w:p>
    <w:p>
      <w:pPr>
        <w:jc w:val="both"/>
        <w:ind w:left="120" w:right="140"/>
        <w:spacing w:after="0" w:line="325" w:lineRule="auto"/>
        <w:rPr>
          <w:sz w:val="20"/>
          <w:szCs w:val="20"/>
          <w:color w:val="auto"/>
        </w:rPr>
      </w:pPr>
      <w:r>
        <w:rPr>
          <w:rFonts w:ascii="Arial" w:cs="Arial" w:eastAsia="Arial" w:hAnsi="Arial"/>
          <w:sz w:val="16"/>
          <w:szCs w:val="16"/>
          <w:color w:val="auto"/>
        </w:rPr>
        <w:t>amounts on the debt securities is U.S. Bank National Association, 214 North Tryon Street, 27</w:t>
      </w:r>
      <w:r>
        <w:rPr>
          <w:rFonts w:ascii="Arial" w:cs="Arial" w:eastAsia="Arial" w:hAnsi="Arial"/>
          <w:sz w:val="13"/>
          <w:szCs w:val="13"/>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42"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may issue debt securities of a series in the form of one or more fully registered global securities. Each registered global security will:</w:t>
      </w:r>
    </w:p>
    <w:p>
      <w:pPr>
        <w:spacing w:after="0" w:line="142"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 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Payment of Taxes and Other Claims. </w:t>
      </w:r>
      <w:r>
        <w:rPr>
          <w:rFonts w:ascii="Arial" w:cs="Arial" w:eastAsia="Arial" w:hAnsi="Arial"/>
          <w:sz w:val="17"/>
          <w:szCs w:val="17"/>
          <w:color w:val="auto"/>
        </w:rPr>
        <w:t>We will pay or discharge or cause to be paid or discharged, before they shall become delinquent:</w:t>
      </w:r>
    </w:p>
    <w:p>
      <w:pPr>
        <w:spacing w:after="0" w:line="142"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Provision of Financial Information. </w:t>
      </w:r>
      <w:r>
        <w:rPr>
          <w:rFonts w:ascii="Arial" w:cs="Arial" w:eastAsia="Arial" w:hAnsi="Arial"/>
          <w:sz w:val="18"/>
          <w:szCs w:val="18"/>
          <w:color w:val="auto"/>
        </w:rPr>
        <w:t>Whether or not we are subject to Section 13 or 15(d) of the Exchange Act, we will, within 15 days of each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respective dates by which we would have been required to file annual reports, quarterly reports and other documents with the SEC if we were so subject:</w:t>
      </w:r>
    </w:p>
    <w:p>
      <w:pPr>
        <w:spacing w:after="0" w:line="89" w:lineRule="exact"/>
        <w:rPr>
          <w:sz w:val="20"/>
          <w:szCs w:val="20"/>
          <w:color w:val="auto"/>
        </w:rPr>
      </w:pPr>
    </w:p>
    <w:p>
      <w:pPr>
        <w:ind w:left="1080" w:right="4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9"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540" w:right="60" w:hanging="439"/>
        <w:spacing w:after="0" w:line="263" w:lineRule="auto"/>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9"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1080" w:right="140" w:hanging="532"/>
        <w:spacing w:after="0" w:line="342"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540" w:right="320" w:hanging="439"/>
        <w:spacing w:after="0" w:line="259"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92"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Unless we say otherwise in a prospectus supplement, there will be no restrictions in any subordinated indenture upon the creation of additional senior debt.</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we may not:</w:t>
      </w:r>
    </w:p>
    <w:p>
      <w:pPr>
        <w:spacing w:after="0" w:line="76"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54"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9" w:lineRule="exact"/>
        <w:rPr>
          <w:sz w:val="20"/>
          <w:szCs w:val="20"/>
          <w:color w:val="auto"/>
        </w:rPr>
      </w:pPr>
    </w:p>
    <w:p>
      <w:pPr>
        <w:ind w:left="1080" w:right="6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that is 179 days after receipt of notice (unless we have previously been required to pay all amounts owing on the applicable senior debt);</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the default and all other similar defaults as to which notice has been given shall have been cured, waived or shall have ceased to exist;</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the applicable senior debt (and all other senior debt as to which notice has been given) shall have been discharged or paid in full; and</w:t>
      </w:r>
    </w:p>
    <w:p>
      <w:pPr>
        <w:spacing w:after="0" w:line="75"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left="120" w:right="360" w:firstLine="436"/>
        <w:spacing w:after="0" w:line="277" w:lineRule="auto"/>
        <w:tabs>
          <w:tab w:leader="none" w:pos="7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left="120" w:right="120" w:firstLine="436"/>
        <w:spacing w:after="0" w:line="277" w:lineRule="auto"/>
        <w:tabs>
          <w:tab w:leader="none" w:pos="7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720" w:hanging="164"/>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left="120" w:firstLine="436"/>
        <w:spacing w:after="0" w:line="263" w:lineRule="auto"/>
        <w:tabs>
          <w:tab w:leader="none" w:pos="7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4" w:lineRule="exact"/>
        <w:rPr>
          <w:sz w:val="20"/>
          <w:szCs w:val="20"/>
          <w:color w:val="auto"/>
        </w:rPr>
      </w:pPr>
    </w:p>
    <w:p>
      <w:pPr>
        <w:ind w:left="800" w:hanging="244"/>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left="120" w:right="160" w:firstLine="436"/>
        <w:spacing w:after="0" w:line="290" w:lineRule="auto"/>
        <w:tabs>
          <w:tab w:leader="none" w:pos="737"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65" w:lineRule="exact"/>
        <w:rPr>
          <w:rFonts w:ascii="Arial" w:cs="Arial" w:eastAsia="Arial" w:hAnsi="Arial"/>
          <w:sz w:val="16"/>
          <w:szCs w:val="16"/>
          <w:color w:val="auto"/>
        </w:rPr>
      </w:pPr>
    </w:p>
    <w:p>
      <w:pPr>
        <w:ind w:left="740" w:hanging="184"/>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800" w:hanging="244"/>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appoints a receiver in respect of us or any of our significant subsidiaries or for all or substantially all of the property of any of us; or</w:t>
      </w:r>
    </w:p>
    <w:p>
      <w:pPr>
        <w:spacing w:after="0" w:line="236" w:lineRule="exact"/>
        <w:rPr>
          <w:rFonts w:ascii="Arial" w:cs="Arial" w:eastAsia="Arial" w:hAnsi="Arial"/>
          <w:sz w:val="17"/>
          <w:szCs w:val="17"/>
          <w:color w:val="auto"/>
        </w:rPr>
      </w:pPr>
    </w:p>
    <w:p>
      <w:pPr>
        <w:ind w:left="800" w:hanging="244"/>
        <w:spacing w:after="0"/>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days.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800" w:hanging="244"/>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left="120" w:right="240" w:firstLine="436"/>
        <w:spacing w:after="0" w:line="277" w:lineRule="auto"/>
        <w:tabs>
          <w:tab w:leader="none" w:pos="8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820" w:hanging="264"/>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 any past default except for:</w:t>
      </w:r>
    </w:p>
    <w:p>
      <w:pPr>
        <w:spacing w:after="0" w:line="76"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 xml:space="preserve">Acceleration of Payment. </w:t>
      </w:r>
      <w:r>
        <w:rPr>
          <w:rFonts w:ascii="Arial" w:cs="Arial" w:eastAsia="Arial" w:hAnsi="Arial"/>
          <w:sz w:val="18"/>
          <w:szCs w:val="18"/>
          <w:color w:val="auto"/>
        </w:rPr>
        <w:t>Unless we say otherwise in a prospectus supplement, each indenture provides or will provide that if an event of default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92"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540" w:right="280" w:hanging="439"/>
        <w:spacing w:after="0" w:line="277" w:lineRule="auto"/>
        <w:tabs>
          <w:tab w:leader="none" w:pos="1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540" w:right="460" w:hanging="439"/>
        <w:spacing w:after="0" w:line="277" w:lineRule="auto"/>
        <w:tabs>
          <w:tab w:leader="none" w:pos="1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540" w:right="620" w:hanging="439"/>
        <w:spacing w:after="0" w:line="277" w:lineRule="auto"/>
        <w:tabs>
          <w:tab w:leader="none" w:pos="1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120 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of 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8"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powers 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5"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4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9" w:lineRule="exact"/>
        <w:rPr>
          <w:sz w:val="20"/>
          <w:szCs w:val="20"/>
          <w:color w:val="auto"/>
        </w:rPr>
      </w:pPr>
    </w:p>
    <w:p>
      <w:pPr>
        <w:ind w:left="1080" w:right="4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108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of the debt securities of the applicable series, an amount in (i)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71"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9" w:lineRule="exact"/>
        <w:rPr>
          <w:sz w:val="20"/>
          <w:szCs w:val="20"/>
          <w:color w:val="auto"/>
        </w:rPr>
      </w:pPr>
    </w:p>
    <w:p>
      <w:pPr>
        <w:ind w:left="10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jc w:val="both"/>
        <w:ind w:left="1080" w:right="140" w:hanging="532"/>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9"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1080" w:right="40" w:hanging="532"/>
        <w:spacing w:after="0" w:line="31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92"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9"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108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adds to our covenants for the benefit of the holders of all or any series of debt securities or surrenders any of our rights or powers;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1080" w:right="60" w:hanging="532"/>
        <w:spacing w:after="0" w:line="25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82"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and Series C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the articles supplementary with respect to our Series 1 preferred shares, and the articles supplementary with respect to our Series C preferred shares.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declaration of trust allows us to issue up to 100,000,000 common shares of beneficial interest, par value $0.01 per share, and 15,000,000 preferred shares of beneficial interest, par value $0.01 per share. As of May 4, 2018, we had issued and outstanding 73,221,458 common shares, 399,896 preferred shares, which are designated as 5.417% Series 1 Cumulative Convertible Preferred Shares, which we refer to as the Series 1 preferred shares, and 6,000 preferred shares, which are designated as 5.000% Series C Cumulative Redeemable Preferred Shares, which we refer to as the Series C preferred shares.</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take the following actions without approval by you or any shareholder:</w:t>
      </w:r>
    </w:p>
    <w:p>
      <w:pPr>
        <w:spacing w:after="0" w:line="76" w:lineRule="exact"/>
        <w:rPr>
          <w:sz w:val="20"/>
          <w:szCs w:val="20"/>
          <w:color w:val="auto"/>
        </w:rPr>
      </w:pPr>
    </w:p>
    <w:p>
      <w:pPr>
        <w:ind w:left="1080" w:right="6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amend the declaration of trust to change the authorized number of shares of any class or series of shares of beneficial interest.</w:t>
      </w:r>
    </w:p>
    <w:p>
      <w:pPr>
        <w:spacing w:after="0" w:line="23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8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71" w:lineRule="exact"/>
        <w:rPr>
          <w:sz w:val="20"/>
          <w:szCs w:val="20"/>
          <w:color w:val="auto"/>
        </w:rPr>
      </w:pPr>
    </w:p>
    <w:p>
      <w:pPr>
        <w:ind w:left="1080" w:right="80" w:hanging="532"/>
        <w:spacing w:after="0" w:line="279"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79"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76" w:lineRule="exact"/>
        <w:rPr>
          <w:rFonts w:ascii="Arial" w:cs="Arial" w:eastAsia="Arial" w:hAnsi="Arial"/>
          <w:sz w:val="17"/>
          <w:szCs w:val="17"/>
          <w:color w:val="auto"/>
        </w:rPr>
      </w:pPr>
    </w:p>
    <w:p>
      <w:pPr>
        <w:ind w:left="1080" w:right="100" w:hanging="532"/>
        <w:spacing w:after="0" w:line="311"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54" w:lineRule="exact"/>
        <w:rPr>
          <w:rFonts w:ascii="Arial" w:cs="Arial" w:eastAsia="Arial" w:hAnsi="Arial"/>
          <w:sz w:val="16"/>
          <w:szCs w:val="16"/>
          <w:color w:val="auto"/>
        </w:rPr>
      </w:pPr>
    </w:p>
    <w:p>
      <w:pPr>
        <w:ind w:left="1080" w:right="36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The Series 1 preferred shares rank pari pasu with the Series C preferred shares and senior to the common shares with respect to the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9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1 preferred share is entitled to receive, when, as and if authorized by our Board of Trustees out of funds legally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that purpose, cumulative preferential dividends payable in cash at a rate of 5.417% of the liquidation price of $25, which is equivalent to $1.35425 per annum.</w:t>
      </w:r>
    </w:p>
    <w:p>
      <w:pPr>
        <w:spacing w:after="0" w:line="184"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$25 per share, plus all accrued and unpaid dividends, before any distribution shall be made with respect to the common shares.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Conversion Rights. </w:t>
      </w:r>
      <w:r>
        <w:rPr>
          <w:rFonts w:ascii="Arial" w:cs="Arial" w:eastAsia="Arial" w:hAnsi="Arial"/>
          <w:sz w:val="17"/>
          <w:szCs w:val="17"/>
          <w:color w:val="auto"/>
        </w:rPr>
        <w:t>Subject to other applicable provisions within the articles supplementary for the Series 1 preferred shares, from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 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7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New 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C Preferred Shares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September 2017, we issued 6,000 Series C preferred shares and we filed articles supplementary to our declaration of trust setting forth the terms of the Series C preferred shares. Below is a brief description of the terms of the Series C preferred shares, which is subject to and qualified in its entirety by reference to the articles supplementary.</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C preferred shares rank pari pasu with the Series 1 preferred shares and senior to the common shares with respect to the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dividends and the distribution of assets upon our liquidation, dissolution or winding up. Our declaration of trust provides that, unless full cumulative dividends on all outstanding Series C preferred shares and any other class or series of our shares of beneficial interest ranking, as to the payment of dividends and the distribution of assets upon liquidation, dissolution or winding up, on parity with the Series C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C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6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C preferred share is entitled to receive, when, as and if authorized by our Board of Trustees out of funds legally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that purpose, cumulative preferential dividends payable in cash at a rate of 5.000% of the liquidation price of $25,000, which is equivalent to $1,250 per annum.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C preferred shares shall be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$25,000 per share, plus all accrued and unpaid dividends, before any distribution shall be made with respect to the common shares.</w:t>
      </w:r>
    </w:p>
    <w:p>
      <w:pPr>
        <w:spacing w:after="0" w:line="12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The Series C preferred shares generally have no voting rights. However, if and whenever dividends payable on the Series 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Series C preferred shares have no conversion rights.</w:t>
      </w:r>
    </w:p>
    <w:p>
      <w:pPr>
        <w:spacing w:after="0" w:line="22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Redemption by the Trust. </w:t>
      </w:r>
      <w:r>
        <w:rPr>
          <w:rFonts w:ascii="Arial" w:cs="Arial" w:eastAsia="Arial" w:hAnsi="Arial"/>
          <w:sz w:val="18"/>
          <w:szCs w:val="18"/>
          <w:color w:val="auto"/>
        </w:rPr>
        <w:t>The Series C preferred shares may be redeemed for cash, in whole or from time to time in part, on any date on or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29, 2022 at the option of the Trust at a price per share equal to $25,000.00 plus accrued and unpaid dividends thereon, if any, to, but excluding, the redemption date.</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Depositary Shares. </w:t>
      </w:r>
      <w:r>
        <w:rPr>
          <w:rFonts w:ascii="Arial" w:cs="Arial" w:eastAsia="Arial" w:hAnsi="Arial"/>
          <w:sz w:val="16"/>
          <w:szCs w:val="16"/>
          <w:color w:val="auto"/>
        </w:rPr>
        <w:t>Interests in the Series C preferred shares are represented by depositary shares, which we refer to as the Series C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Stock Exchange Listing. </w:t>
      </w:r>
      <w:r>
        <w:rPr>
          <w:rFonts w:ascii="Arial" w:cs="Arial" w:eastAsia="Arial" w:hAnsi="Arial"/>
          <w:sz w:val="16"/>
          <w:szCs w:val="16"/>
          <w:color w:val="auto"/>
        </w:rPr>
        <w:t>The Series C depositary shares are traded on the New York Stock Exchange under the trading symbol “FRTPRC.”</w:t>
      </w:r>
    </w:p>
    <w:p>
      <w:pPr>
        <w:spacing w:after="0" w:line="24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C preferred shares is American Stock Transfer &amp; Trust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New York,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Terms. </w:t>
      </w:r>
      <w:r>
        <w:rPr>
          <w:rFonts w:ascii="Arial" w:cs="Arial" w:eastAsia="Arial" w:hAnsi="Arial"/>
          <w:sz w:val="18"/>
          <w:szCs w:val="18"/>
          <w:color w:val="auto"/>
        </w:rPr>
        <w:t>You should refer to the prospectus supplement relating to the offering of any preferred shares for specific terms, including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w:t>
      </w:r>
    </w:p>
    <w:p>
      <w:pPr>
        <w:spacing w:after="0" w:line="76"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70"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and rights upon our liquidation, dissolution or winding up, rank:</w:t>
      </w:r>
    </w:p>
    <w:p>
      <w:pPr>
        <w:spacing w:after="0" w:line="76"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Subject to any preferential rights of any outstanding shares or series of shares and to the provisions of our declaration of trust regarding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mandatory redemption or redemption at our option, in whole or in part, in each case upon the terms, at the times and at the redemption prices set forth in that supplement.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7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14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prospectus supplement relating to the offering of those preferred shares. These terms typically will include:</w:t>
      </w:r>
    </w:p>
    <w:p>
      <w:pPr>
        <w:spacing w:after="0" w:line="76"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We may issue receipts for depositary shares, each of which will represent a fractional interest of a share of a particular series of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May 4, 2018, we had 6,000,000 depositary shares issued and outstanding, each representing a 1/1000th fractional interest in a Series C preferred share. See “—Series C Preferred Shares.”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Redemption of Depositary Shares. </w:t>
      </w:r>
      <w:r>
        <w:rPr>
          <w:rFonts w:ascii="Arial" w:cs="Arial" w:eastAsia="Arial" w:hAnsi="Arial"/>
          <w:sz w:val="17"/>
          <w:szCs w:val="17"/>
          <w:color w:val="auto"/>
        </w:rPr>
        <w:t>If we redeem a series of preferred shares represented by depositary receipts, the depositary will redeem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depositary 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7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w:t>
      </w:r>
    </w:p>
    <w:p>
      <w:pPr>
        <w:spacing w:after="0" w:line="3" w:lineRule="exact"/>
        <w:rPr>
          <w:sz w:val="20"/>
          <w:szCs w:val="20"/>
          <w:color w:val="auto"/>
        </w:rPr>
      </w:pPr>
    </w:p>
    <w:p>
      <w:pPr>
        <w:ind w:left="120" w:right="60"/>
        <w:spacing w:after="0" w:line="295" w:lineRule="auto"/>
        <w:rPr>
          <w:sz w:val="20"/>
          <w:szCs w:val="20"/>
          <w:color w:val="auto"/>
        </w:rPr>
      </w:pPr>
      <w:r>
        <w:rPr>
          <w:rFonts w:ascii="Arial" w:cs="Arial" w:eastAsia="Arial" w:hAnsi="Arial"/>
          <w:sz w:val="16"/>
          <w:szCs w:val="16"/>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6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holder of depositary shares, to the fraction of the liquidation preference accorded each applicable preferred share, as has been set forth in a prospectus supplement.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5"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1080" w:right="80" w:hanging="532"/>
        <w:spacing w:after="0" w:line="34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29" w:lineRule="exact"/>
        <w:rPr>
          <w:rFonts w:ascii="Arial" w:cs="Arial" w:eastAsia="Arial" w:hAnsi="Arial"/>
          <w:sz w:val="16"/>
          <w:szCs w:val="16"/>
          <w:color w:val="auto"/>
        </w:rPr>
      </w:pPr>
    </w:p>
    <w:p>
      <w:pPr>
        <w:ind w:left="1080" w:right="30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Charges of Depositary. </w:t>
      </w:r>
      <w:r>
        <w:rPr>
          <w:rFonts w:ascii="Arial" w:cs="Arial" w:eastAsia="Arial" w:hAnsi="Arial"/>
          <w:sz w:val="17"/>
          <w:szCs w:val="17"/>
          <w:color w:val="auto"/>
        </w:rPr>
        <w:t>We will pay all transfer and other taxes and governmental charges arising solely from the existence of the depositary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71"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b w:val="1"/>
          <w:bCs w:val="1"/>
          <w:i w:val="1"/>
          <w:iCs w:val="1"/>
          <w:color w:val="auto"/>
        </w:rPr>
        <w:t xml:space="preserve">Miscellaneous. </w:t>
      </w:r>
      <w:r>
        <w:rPr>
          <w:rFonts w:ascii="Arial" w:cs="Arial" w:eastAsia="Arial" w:hAnsi="Arial"/>
          <w:sz w:val="17"/>
          <w:szCs w:val="17"/>
          <w:color w:val="auto"/>
        </w:rPr>
        <w:t>The depositary will forward to you all reports and communications from us that we are required, or otherwise determine,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furnish to 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92" w:lineRule="exact"/>
        <w:rPr>
          <w:rFonts w:ascii="Arial" w:cs="Arial" w:eastAsia="Arial" w:hAnsi="Arial"/>
          <w:sz w:val="18"/>
          <w:szCs w:val="18"/>
          <w:color w:val="auto"/>
        </w:rPr>
      </w:pPr>
    </w:p>
    <w:p>
      <w:pPr>
        <w:ind w:left="1080" w:right="200" w:hanging="532"/>
        <w:spacing w:after="0" w:line="308"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1"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b w:val="1"/>
          <w:bCs w:val="1"/>
          <w:i w:val="1"/>
          <w:iCs w:val="1"/>
          <w:color w:val="auto"/>
        </w:rPr>
        <w:t>Automatic Transfer of Shares to Trust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certain exceptions described below, if any purported transfer of shares would violate any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9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5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54"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540" w:right="240" w:hanging="439"/>
        <w:spacing w:after="0" w:line="277" w:lineRule="auto"/>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65"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9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6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left="120" w:right="40" w:firstLine="440"/>
        <w:spacing w:after="0" w:line="281"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designation, number and terms of the preferred shares or common shares that may be purchased on exercise of the warrant;</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summary of certain provisions of the Maryland General Corporation Law and our declaration of trust and bylaws is not complete.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should read the Maryland General Corporation Law and our declaration of trust and bylaws for more complete information.</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91"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8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61" w:lineRule="exact"/>
        <w:rPr>
          <w:sz w:val="20"/>
          <w:szCs w:val="20"/>
          <w:color w:val="auto"/>
        </w:rPr>
      </w:pPr>
    </w:p>
    <w:p>
      <w:pPr>
        <w:jc w:val="both"/>
        <w:ind w:left="120" w:right="120" w:firstLine="440"/>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b w:val="1"/>
          <w:bCs w:val="1"/>
          <w:i w:val="1"/>
          <w:iCs w:val="1"/>
          <w:color w:val="auto"/>
        </w:rPr>
        <w:t xml:space="preserve">Number of Trustees. </w:t>
      </w:r>
      <w:r>
        <w:rPr>
          <w:rFonts w:ascii="Arial" w:cs="Arial" w:eastAsia="Arial" w:hAnsi="Arial"/>
          <w:sz w:val="17"/>
          <w:szCs w:val="17"/>
          <w:color w:val="auto"/>
        </w:rPr>
        <w:t>The number of trustees may be increased or decreased pursuant to the bylaws, provided that the total number of trustees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be less than five or more than 10. Under Maryland law and our declaration of trust, trustees are elected for one-year terms.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60" w:firstLine="440"/>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cause, as defined in our declaration of trust, by the vote of all the other trustees or the shareholders may remove a trustee, with or without cause, at any meeting of shareholders called for that purpose, either by:</w:t>
      </w:r>
    </w:p>
    <w:p>
      <w:pPr>
        <w:spacing w:after="0" w:line="85" w:lineRule="exact"/>
        <w:rPr>
          <w:sz w:val="20"/>
          <w:szCs w:val="20"/>
          <w:color w:val="auto"/>
        </w:rPr>
      </w:pPr>
    </w:p>
    <w:p>
      <w:pPr>
        <w:ind w:left="1080" w:right="28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left="120" w:right="280" w:firstLine="440"/>
        <w:spacing w:after="0" w:line="303"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5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80"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i w:val="1"/>
          <w:iCs w:val="1"/>
          <w:color w:val="auto"/>
        </w:rPr>
        <w:t>Advance Notice for Shareholder Nominations and Shareholder New Business Proposals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require advance written notice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4"/>
          <w:szCs w:val="14"/>
          <w:color w:val="auto"/>
        </w:rPr>
        <w:t>th</w:t>
      </w:r>
      <w:r>
        <w:rPr>
          <w:rFonts w:ascii="Arial" w:cs="Arial" w:eastAsia="Arial" w:hAnsi="Arial"/>
          <w:sz w:val="17"/>
          <w:szCs w:val="17"/>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6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Shareholder Liability and Indemnification. </w:t>
      </w:r>
      <w:r>
        <w:rPr>
          <w:rFonts w:ascii="Arial" w:cs="Arial" w:eastAsia="Arial" w:hAnsi="Arial"/>
          <w:sz w:val="16"/>
          <w:szCs w:val="16"/>
          <w:color w:val="auto"/>
        </w:rPr>
        <w:t>Under Maryland law, you will not be personally liable for any obligation of ours solely because you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8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to 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4" w:lineRule="exact"/>
        <w:rPr>
          <w:sz w:val="20"/>
          <w:szCs w:val="20"/>
          <w:color w:val="auto"/>
        </w:rPr>
      </w:pPr>
    </w:p>
    <w:p>
      <w:pPr>
        <w:jc w:val="both"/>
        <w:ind w:left="120" w:right="3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82"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84"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2017;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320" w:top="459"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1080" w:right="48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our taxable years ending on or prior to December 31, 2017, we may be subject to the “alternative minimum tax” on any items of tax preference that we do not distribute or allocate to our shareholders;</w:t>
      </w:r>
    </w:p>
    <w:p>
      <w:pPr>
        <w:spacing w:after="0" w:line="75" w:lineRule="exact"/>
        <w:rPr>
          <w:rFonts w:ascii="Arial" w:cs="Arial" w:eastAsia="Arial" w:hAnsi="Arial"/>
          <w:sz w:val="18"/>
          <w:szCs w:val="18"/>
          <w:color w:val="auto"/>
        </w:rPr>
      </w:pPr>
    </w:p>
    <w:p>
      <w:pPr>
        <w:ind w:left="1080" w:right="20" w:hanging="532"/>
        <w:spacing w:after="0" w:line="286"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70"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1080" w:right="38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we will pay a 100% excise tax on transactions with a “taxable REIT subsidiary” that are not conducted on an arm’s-length basis;</w:t>
      </w:r>
    </w:p>
    <w:p>
      <w:pPr>
        <w:spacing w:after="0" w:line="142" w:lineRule="exact"/>
        <w:rPr>
          <w:rFonts w:ascii="Arial" w:cs="Arial" w:eastAsia="Arial" w:hAnsi="Arial"/>
          <w:sz w:val="17"/>
          <w:szCs w:val="17"/>
          <w:color w:val="auto"/>
        </w:rPr>
      </w:pPr>
    </w:p>
    <w:p>
      <w:pPr>
        <w:ind w:left="1080" w:right="10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2" w:lineRule="exact"/>
        <w:rPr>
          <w:rFonts w:ascii="Arial" w:cs="Arial" w:eastAsia="Arial" w:hAnsi="Arial"/>
          <w:sz w:val="18"/>
          <w:szCs w:val="18"/>
          <w:color w:val="auto"/>
        </w:rPr>
      </w:pPr>
    </w:p>
    <w:p>
      <w:pPr>
        <w:ind w:left="1080" w:right="60" w:hanging="532"/>
        <w:spacing w:after="0" w:line="279"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76" w:lineRule="exact"/>
        <w:rPr>
          <w:rFonts w:ascii="Arial" w:cs="Arial" w:eastAsia="Arial" w:hAnsi="Arial"/>
          <w:sz w:val="17"/>
          <w:szCs w:val="17"/>
          <w:color w:val="auto"/>
        </w:rPr>
      </w:pPr>
    </w:p>
    <w:p>
      <w:pPr>
        <w:ind w:left="1080" w:right="120" w:hanging="532"/>
        <w:spacing w:after="0" w:line="286"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1080" w:right="60" w:hanging="532"/>
        <w:spacing w:after="0" w:line="273"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1080" w:right="94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w:t>
      </w:r>
    </w:p>
    <w:p>
      <w:pPr>
        <w:spacing w:after="0" w:line="4"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6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enacted in 2015 and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proposed regulations providing details on some of these provisions, but the timing and content of final regulations remains uncertain.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1080" w:right="20" w:hanging="532"/>
        <w:spacing w:after="0" w:line="290"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1080" w:right="100" w:hanging="532"/>
        <w:spacing w:after="0" w:line="301"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 property that we own and lease to tenants will qualify as “rents from real property” (which is qualifying income for purposes of the 75% and 95% gross income tests) under the REIT tax rules:</w:t>
      </w:r>
    </w:p>
    <w:p>
      <w:pPr>
        <w:spacing w:after="0" w:line="89" w:lineRule="exact"/>
        <w:rPr>
          <w:sz w:val="20"/>
          <w:szCs w:val="20"/>
          <w:color w:val="auto"/>
        </w:rPr>
      </w:pPr>
    </w:p>
    <w:p>
      <w:pPr>
        <w:ind w:left="1080" w:right="20" w:hanging="532"/>
        <w:spacing w:after="0" w:line="255"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9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91" w:lineRule="exact"/>
        <w:rPr>
          <w:rFonts w:ascii="Arial" w:cs="Arial" w:eastAsia="Arial" w:hAnsi="Arial"/>
          <w:sz w:val="17"/>
          <w:szCs w:val="17"/>
          <w:color w:val="auto"/>
        </w:rPr>
      </w:pPr>
    </w:p>
    <w:p>
      <w:pPr>
        <w:ind w:left="1080" w:right="180" w:hanging="532"/>
        <w:spacing w:after="0" w:line="293"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69" w:lineRule="exact"/>
        <w:rPr>
          <w:rFonts w:ascii="Arial" w:cs="Arial" w:eastAsia="Arial" w:hAnsi="Arial"/>
          <w:sz w:val="16"/>
          <w:szCs w:val="16"/>
          <w:color w:val="auto"/>
        </w:rPr>
      </w:pPr>
    </w:p>
    <w:p>
      <w:pPr>
        <w:ind w:left="1080" w:right="20" w:hanging="532"/>
        <w:spacing w:after="0" w:line="270"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69"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8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7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foreclosure 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“Foreclosure property” is any real property (including interests in real property) and any personal property incident to such real property:</w:t>
      </w:r>
    </w:p>
    <w:p>
      <w:pPr>
        <w:spacing w:after="0" w:line="142" w:lineRule="exact"/>
        <w:rPr>
          <w:sz w:val="20"/>
          <w:szCs w:val="20"/>
          <w:color w:val="auto"/>
        </w:rPr>
      </w:pPr>
    </w:p>
    <w:p>
      <w:pPr>
        <w:ind w:left="1080" w:right="280" w:hanging="532"/>
        <w:spacing w:after="0" w:line="342"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9" w:lineRule="exact"/>
        <w:rPr>
          <w:sz w:val="20"/>
          <w:szCs w:val="20"/>
          <w:color w:val="auto"/>
        </w:rPr>
      </w:pPr>
    </w:p>
    <w:p>
      <w:pPr>
        <w:ind w:left="1080" w:right="54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9"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1080" w:right="60" w:hanging="532"/>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4" w:lineRule="exact"/>
        <w:rPr>
          <w:sz w:val="20"/>
          <w:szCs w:val="20"/>
          <w:color w:val="auto"/>
        </w:rPr>
      </w:pPr>
    </w:p>
    <w:p>
      <w:pPr>
        <w:ind w:left="120" w:right="240" w:firstLine="440"/>
        <w:spacing w:after="0" w:line="272" w:lineRule="auto"/>
        <w:rPr>
          <w:sz w:val="20"/>
          <w:szCs w:val="20"/>
          <w:color w:val="auto"/>
        </w:rPr>
      </w:pPr>
      <w:r>
        <w:rPr>
          <w:rFonts w:ascii="Arial" w:cs="Arial" w:eastAsia="Arial" w:hAnsi="Arial"/>
          <w:sz w:val="17"/>
          <w:szCs w:val="17"/>
          <w:b w:val="1"/>
          <w:bCs w:val="1"/>
          <w:i w:val="1"/>
          <w:iCs w:val="1"/>
          <w:color w:val="auto"/>
        </w:rPr>
        <w:t xml:space="preserve">Tax on Prohibited Transactions. </w:t>
      </w:r>
      <w:r>
        <w:rPr>
          <w:rFonts w:ascii="Arial" w:cs="Arial" w:eastAsia="Arial" w:hAnsi="Arial"/>
          <w:sz w:val="17"/>
          <w:szCs w:val="17"/>
          <w:color w:val="auto"/>
        </w:rPr>
        <w:t>A REIT will incur a 100% tax on net income (taking into account foreign currency gains and losses) derived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7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w:t>
      </w:r>
    </w:p>
    <w:p>
      <w:pPr>
        <w:spacing w:after="0" w:line="1" w:lineRule="exact"/>
        <w:rPr>
          <w:sz w:val="20"/>
          <w:szCs w:val="20"/>
          <w:color w:val="auto"/>
        </w:rPr>
      </w:pPr>
    </w:p>
    <w:p>
      <w:pPr>
        <w:ind w:left="120" w:right="60" w:hanging="4"/>
        <w:spacing w:after="0" w:line="286" w:lineRule="auto"/>
        <w:tabs>
          <w:tab w:leader="none" w:pos="435" w:val="left"/>
        </w:tabs>
        <w:numPr>
          <w:ilvl w:val="0"/>
          <w:numId w:val="92"/>
        </w:numPr>
        <w:rPr>
          <w:rFonts w:ascii="Arial" w:cs="Arial" w:eastAsia="Arial" w:hAnsi="Arial"/>
          <w:sz w:val="16"/>
          <w:szCs w:val="16"/>
          <w:color w:val="auto"/>
        </w:rPr>
      </w:pPr>
      <w:r>
        <w:rPr>
          <w:rFonts w:ascii="Arial" w:cs="Arial" w:eastAsia="Arial" w:hAnsi="Arial"/>
          <w:sz w:val="16"/>
          <w:szCs w:val="16"/>
          <w:color w:val="auto"/>
        </w:rPr>
        <w:t>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7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b w:val="1"/>
          <w:bCs w:val="1"/>
          <w:i w:val="1"/>
          <w:iCs w:val="1"/>
          <w:color w:val="auto"/>
        </w:rPr>
        <w:t xml:space="preserve">Tax and Deduction Limits on Certain Transactions with Taxable REIT Subsidiaries. </w:t>
      </w:r>
      <w:r>
        <w:rPr>
          <w:rFonts w:ascii="Arial" w:cs="Arial" w:eastAsia="Arial" w:hAnsi="Arial"/>
          <w:sz w:val="17"/>
          <w:szCs w:val="17"/>
          <w:color w:val="auto"/>
        </w:rPr>
        <w:t>A REIT will incur a 100% tax on certain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7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Hedging Transactions. </w:t>
      </w:r>
      <w:r>
        <w:rPr>
          <w:rFonts w:ascii="Arial" w:cs="Arial" w:eastAsia="Arial" w:hAnsi="Arial"/>
          <w:sz w:val="17"/>
          <w:szCs w:val="17"/>
          <w:color w:val="auto"/>
        </w:rPr>
        <w:t>Except to the extent provided by Treasury regulations, any income we derive from a hedging transaction (which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78"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Like-Kind Exchanges. </w:t>
      </w:r>
      <w:r>
        <w:rPr>
          <w:rFonts w:ascii="Arial" w:cs="Arial" w:eastAsia="Arial" w:hAnsi="Arial"/>
          <w:sz w:val="17"/>
          <w:szCs w:val="17"/>
          <w:color w:val="auto"/>
        </w:rPr>
        <w:t>We may dispose of properties in transactions intended to qualify as like-kind exchanges under the Code. Such like-kind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Recent legislative changes eliminate like-kind exchanges for most personal property.</w:t>
      </w:r>
    </w:p>
    <w:p>
      <w:pPr>
        <w:spacing w:after="0" w:line="17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1080" w:right="300" w:hanging="532"/>
        <w:spacing w:after="0" w:line="308"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51" w:lineRule="exact"/>
        <w:rPr>
          <w:rFonts w:ascii="Arial" w:cs="Arial" w:eastAsia="Arial" w:hAnsi="Arial"/>
          <w:sz w:val="17"/>
          <w:szCs w:val="17"/>
          <w:color w:val="auto"/>
        </w:rPr>
      </w:pPr>
    </w:p>
    <w:p>
      <w:pPr>
        <w:ind w:left="1540" w:right="160" w:hanging="439"/>
        <w:spacing w:after="0" w:line="279" w:lineRule="auto"/>
        <w:tabs>
          <w:tab w:leader="none" w:pos="15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76" w:lineRule="exact"/>
        <w:rPr>
          <w:rFonts w:ascii="Arial" w:cs="Arial" w:eastAsia="Arial" w:hAnsi="Arial"/>
          <w:sz w:val="17"/>
          <w:szCs w:val="17"/>
          <w:color w:val="auto"/>
        </w:rPr>
      </w:pPr>
    </w:p>
    <w:p>
      <w:pPr>
        <w:ind w:left="1540" w:right="180" w:hanging="439"/>
        <w:spacing w:after="0" w:line="263" w:lineRule="auto"/>
        <w:tabs>
          <w:tab w:leader="none" w:pos="15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9" w:lineRule="exact"/>
        <w:rPr>
          <w:rFonts w:ascii="Arial" w:cs="Arial" w:eastAsia="Arial" w:hAnsi="Arial"/>
          <w:sz w:val="18"/>
          <w:szCs w:val="18"/>
          <w:color w:val="auto"/>
        </w:rPr>
      </w:pPr>
    </w:p>
    <w:p>
      <w:pPr>
        <w:ind w:left="1540" w:right="180" w:hanging="439"/>
        <w:spacing w:after="0" w:line="277" w:lineRule="auto"/>
        <w:tabs>
          <w:tab w:leader="none" w:pos="15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84"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w:t>
      </w:r>
    </w:p>
    <w:p>
      <w:pPr>
        <w:spacing w:after="0" w:line="2" w:lineRule="exact"/>
        <w:rPr>
          <w:rFonts w:ascii="Arial" w:cs="Arial" w:eastAsia="Arial" w:hAnsi="Arial"/>
          <w:sz w:val="16"/>
          <w:szCs w:val="16"/>
          <w:color w:val="auto"/>
        </w:rPr>
      </w:pPr>
    </w:p>
    <w:p>
      <w:pPr>
        <w:ind w:left="1080" w:right="120" w:firstLine="8"/>
        <w:spacing w:after="0" w:line="281" w:lineRule="auto"/>
        <w:tabs>
          <w:tab w:leader="none" w:pos="1345" w:val="left"/>
        </w:tabs>
        <w:numPr>
          <w:ilvl w:val="1"/>
          <w:numId w:val="94"/>
        </w:numPr>
        <w:rPr>
          <w:rFonts w:ascii="Arial" w:cs="Arial" w:eastAsia="Arial" w:hAnsi="Arial"/>
          <w:sz w:val="16"/>
          <w:szCs w:val="16"/>
          <w:color w:val="auto"/>
        </w:rPr>
      </w:pPr>
      <w:r>
        <w:rPr>
          <w:rFonts w:ascii="Arial" w:cs="Arial" w:eastAsia="Arial" w:hAnsi="Arial"/>
          <w:sz w:val="16"/>
          <w:szCs w:val="16"/>
          <w:color w:val="auto"/>
        </w:rPr>
        <w:t>securities issued by REITs, (iii) accrued obligations to pay rent; (iv) certain debt meeting the definition of “straight debt” if neither we nor a taxable REIT subsidiary that we control hold more than 1% of the issuer’s securities that do not qualify as “straight debt,” and</w:t>
      </w:r>
    </w:p>
    <w:p>
      <w:pPr>
        <w:spacing w:after="0" w:line="1" w:lineRule="exact"/>
        <w:rPr>
          <w:rFonts w:ascii="Arial" w:cs="Arial" w:eastAsia="Arial" w:hAnsi="Arial"/>
          <w:sz w:val="16"/>
          <w:szCs w:val="16"/>
          <w:color w:val="auto"/>
        </w:rPr>
      </w:pPr>
    </w:p>
    <w:p>
      <w:pPr>
        <w:ind w:left="1080" w:right="20" w:firstLine="8"/>
        <w:spacing w:after="0" w:line="253" w:lineRule="auto"/>
        <w:tabs>
          <w:tab w:leader="none" w:pos="1335"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98"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8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8" w:lineRule="exact"/>
        <w:rPr>
          <w:sz w:val="20"/>
          <w:szCs w:val="20"/>
          <w:color w:val="auto"/>
        </w:rPr>
      </w:pPr>
    </w:p>
    <w:p>
      <w:pPr>
        <w:ind w:left="120" w:right="380" w:firstLine="440"/>
        <w:spacing w:after="0" w:line="287" w:lineRule="auto"/>
        <w:rPr>
          <w:sz w:val="20"/>
          <w:szCs w:val="20"/>
          <w:color w:val="auto"/>
        </w:rPr>
      </w:pPr>
      <w:r>
        <w:rPr>
          <w:rFonts w:ascii="Arial" w:cs="Arial" w:eastAsia="Arial" w:hAnsi="Arial"/>
          <w:sz w:val="16"/>
          <w:szCs w:val="16"/>
          <w:b w:val="1"/>
          <w:bCs w:val="1"/>
          <w:i w:val="1"/>
          <w:iCs w:val="1"/>
          <w:color w:val="auto"/>
        </w:rPr>
        <w:t xml:space="preserve">Distribution Requirements. </w:t>
      </w:r>
      <w:r>
        <w:rPr>
          <w:rFonts w:ascii="Arial" w:cs="Arial" w:eastAsia="Arial" w:hAnsi="Arial"/>
          <w:sz w:val="16"/>
          <w:szCs w:val="16"/>
          <w:color w:val="auto"/>
        </w:rPr>
        <w:t>Each taxable year, we must distribute dividends (other than capital gain dividends and deemed distributions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certain items of non-cash income.</w:t>
      </w:r>
    </w:p>
    <w:p>
      <w:pPr>
        <w:spacing w:after="0" w:line="21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6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right="420" w:firstLine="440"/>
        <w:spacing w:after="0" w:line="301" w:lineRule="auto"/>
        <w:rPr>
          <w:sz w:val="20"/>
          <w:szCs w:val="20"/>
          <w:color w:val="auto"/>
        </w:rPr>
      </w:pPr>
      <w:r>
        <w:rPr>
          <w:rFonts w:ascii="Arial" w:cs="Arial" w:eastAsia="Arial" w:hAnsi="Arial"/>
          <w:sz w:val="16"/>
          <w:szCs w:val="16"/>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provided certain conditions are satisfied.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5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2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Dividends and Other Taxable U.S. Shareholder Distributions. </w:t>
      </w:r>
      <w:r>
        <w:rPr>
          <w:rFonts w:ascii="Arial" w:cs="Arial" w:eastAsia="Arial" w:hAnsi="Arial"/>
          <w:sz w:val="17"/>
          <w:szCs w:val="17"/>
          <w:color w:val="auto"/>
        </w:rPr>
        <w:t>As long as we qualify as a REIT, a taxable U.S. shareholder must take into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after 2017 and prior to 2026, generally non-corporate shareholders are allowed to deduct 20% of the aggregate amount of ordinary dividends distributed by us, subject to certain limitations.</w:t>
      </w:r>
    </w:p>
    <w:p>
      <w:pPr>
        <w:spacing w:after="0" w:line="178"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6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85"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must treat any gain or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realized 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6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7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8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Redemption or Conversion of Preferred Shares to Common Shares. </w:t>
      </w:r>
      <w:r>
        <w:rPr>
          <w:rFonts w:ascii="Arial" w:cs="Arial" w:eastAsia="Arial" w:hAnsi="Arial"/>
          <w:sz w:val="18"/>
          <w:szCs w:val="18"/>
          <w:color w:val="auto"/>
        </w:rPr>
        <w:t>Assuming that preferred shares will not be redeemed or converted at a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9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84" w:lineRule="exact"/>
        <w:rPr>
          <w:sz w:val="20"/>
          <w:szCs w:val="20"/>
          <w:color w:val="auto"/>
        </w:rPr>
      </w:pPr>
    </w:p>
    <w:p>
      <w:pPr>
        <w:ind w:left="120" w:right="320" w:firstLine="440"/>
        <w:spacing w:after="0" w:line="273" w:lineRule="auto"/>
        <w:rPr>
          <w:sz w:val="20"/>
          <w:szCs w:val="20"/>
          <w:color w:val="auto"/>
        </w:rPr>
      </w:pPr>
      <w:r>
        <w:rPr>
          <w:rFonts w:ascii="Arial" w:cs="Arial" w:eastAsia="Arial" w:hAnsi="Arial"/>
          <w:sz w:val="17"/>
          <w:szCs w:val="17"/>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i w:val="1"/>
          <w:iCs w:val="1"/>
          <w:color w:val="auto"/>
        </w:rPr>
        <w:t xml:space="preserve">Adjustments to Conversion Price. </w:t>
      </w:r>
      <w:r>
        <w:rPr>
          <w:rFonts w:ascii="Arial" w:cs="Arial" w:eastAsia="Arial" w:hAnsi="Arial"/>
          <w:sz w:val="18"/>
          <w:szCs w:val="18"/>
          <w:color w:val="auto"/>
        </w:rPr>
        <w:t>Under Section 305 of the Code, holders of preferred shares may be deemed to have received a constructive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8"/>
          <w:szCs w:val="18"/>
          <w:i w:val="1"/>
          <w:iCs w:val="1"/>
          <w:color w:val="auto"/>
        </w:rPr>
        <w:t>bona fide</w:t>
      </w:r>
      <w:r>
        <w:rPr>
          <w:rFonts w:ascii="Arial" w:cs="Arial" w:eastAsia="Arial" w:hAnsi="Arial"/>
          <w:sz w:val="18"/>
          <w:szCs w:val="18"/>
          <w:color w:val="auto"/>
        </w:rPr>
        <w:t>, reasonable adjustment formula. In such a case, if a nonqualifying adjustment were made, the holders of preferred shares might be deemed to have received a taxable stock dividend.</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or a portion of their “net investment income,” which may include all or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8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after 2017 and prior to 2026, generally non-corporate shareholders are allowed to deduct 20% of the aggregate amount of ordinary dividends distributed by us, subject to certain limitations. Further, with respect to non-corporate taxpayers, the lower qualified dividend income/capital gains tax rate (at a maximum of 20%) does generally apply to:</w:t>
      </w:r>
    </w:p>
    <w:p>
      <w:pPr>
        <w:spacing w:after="0" w:line="83"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1080" w:right="70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00"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1080" w:right="220" w:hanging="532"/>
        <w:spacing w:after="0" w:line="342"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i w:val="1"/>
          <w:iCs w:val="1"/>
          <w:color w:val="auto"/>
        </w:rPr>
        <w:t xml:space="preserve">Ordinary Dividends. </w:t>
      </w:r>
      <w:r>
        <w:rPr>
          <w:rFonts w:ascii="Arial" w:cs="Arial" w:eastAsia="Arial" w:hAnsi="Arial"/>
          <w:sz w:val="16"/>
          <w:szCs w:val="16"/>
          <w:color w:val="auto"/>
        </w:rPr>
        <w:t>A non-U.S. shareholder that receives a distribution that is not attributable to gain from our sale or exchange of “U.S.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74"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profits 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2" w:lineRule="exact"/>
        <w:rPr>
          <w:sz w:val="20"/>
          <w:szCs w:val="20"/>
          <w:color w:val="auto"/>
        </w:rPr>
      </w:pPr>
    </w:p>
    <w:p>
      <w:pPr>
        <w:ind w:left="120" w:right="420" w:firstLine="440"/>
        <w:spacing w:after="0" w:line="273" w:lineRule="auto"/>
        <w:rPr>
          <w:sz w:val="20"/>
          <w:szCs w:val="20"/>
          <w:color w:val="auto"/>
        </w:rPr>
      </w:pPr>
      <w:r>
        <w:rPr>
          <w:rFonts w:ascii="Arial" w:cs="Arial" w:eastAsia="Arial" w:hAnsi="Arial"/>
          <w:sz w:val="17"/>
          <w:szCs w:val="17"/>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78"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b w:val="1"/>
          <w:bCs w:val="1"/>
          <w:i w:val="1"/>
          <w:iCs w:val="1"/>
          <w:color w:val="auto"/>
        </w:rPr>
        <w:t xml:space="preserve">Capital Gain Dividends. </w:t>
      </w:r>
      <w:r>
        <w:rPr>
          <w:rFonts w:ascii="Arial" w:cs="Arial" w:eastAsia="Arial" w:hAnsi="Arial"/>
          <w:sz w:val="16"/>
          <w:szCs w:val="16"/>
          <w:color w:val="auto"/>
        </w:rPr>
        <w:t>Provided that a particular class of our shares is “regularly traded” on an established securities market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5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6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we are a “domestically controlled REIT.” A “domestically controlled REIT” is a REIT in which at all times during a specified testing period non-U.S. persons held, directly or indirectly, less than 50% in value of our shares (after applying specified presumptions regarding the ownership of our shares).</w:t>
      </w:r>
    </w:p>
    <w:p>
      <w:pPr>
        <w:spacing w:after="0" w:line="2"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72"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w:t>
      </w:r>
    </w:p>
    <w:p>
      <w:pPr>
        <w:spacing w:after="0" w:line="2" w:lineRule="exact"/>
        <w:rPr>
          <w:sz w:val="20"/>
          <w:szCs w:val="20"/>
          <w:color w:val="auto"/>
        </w:rPr>
      </w:pPr>
    </w:p>
    <w:p>
      <w:pPr>
        <w:ind w:left="120" w:hanging="4"/>
        <w:spacing w:after="0" w:line="252" w:lineRule="auto"/>
        <w:tabs>
          <w:tab w:leader="none" w:pos="37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94"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b w:val="1"/>
          <w:bCs w:val="1"/>
          <w:i w:val="1"/>
          <w:iCs w:val="1"/>
          <w:color w:val="auto"/>
        </w:rPr>
        <w:t xml:space="preserve">Wash Sales. </w:t>
      </w:r>
      <w:r>
        <w:rPr>
          <w:rFonts w:ascii="Arial" w:cs="Arial" w:eastAsia="Arial" w:hAnsi="Arial"/>
          <w:sz w:val="17"/>
          <w:szCs w:val="17"/>
          <w:color w:val="auto"/>
        </w:rPr>
        <w:t>In general, special wash sale rules apply if a shareholder owning more than 5% of our common or preferred shares avoids a taxable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Conversion of Preferred Shares to Common Shares. </w:t>
      </w:r>
      <w:r>
        <w:rPr>
          <w:rFonts w:ascii="Arial" w:cs="Arial" w:eastAsia="Arial" w:hAnsi="Arial"/>
          <w:sz w:val="18"/>
          <w:szCs w:val="18"/>
          <w:color w:val="auto"/>
        </w:rPr>
        <w:t>The conversion of preferred shares into our common shares may be a taxable exchange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Non-U.S. shareholders should consult with their tax advisors regarding the federal income tax consequences of any transaction by which such non-U.S. shareholder exchanges our common shares received on a conversion of preferred shares for cash or other property.</w:t>
      </w:r>
    </w:p>
    <w:p>
      <w:pPr>
        <w:spacing w:after="0" w:line="146"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100"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Reporting and Withholding on Foreign Financial Accounts. </w:t>
      </w:r>
      <w:r>
        <w:rPr>
          <w:rFonts w:ascii="Arial" w:cs="Arial" w:eastAsia="Arial" w:hAnsi="Arial"/>
          <w:sz w:val="17"/>
          <w:szCs w:val="17"/>
          <w:color w:val="auto"/>
        </w:rPr>
        <w:t>Certain foreign financial institutions and non-financial foreign entities are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State and Local Taxes. </w:t>
      </w:r>
      <w:r>
        <w:rPr>
          <w:rFonts w:ascii="Arial" w:cs="Arial" w:eastAsia="Arial" w:hAnsi="Arial"/>
          <w:sz w:val="18"/>
          <w:szCs w:val="18"/>
          <w:color w:val="auto"/>
        </w:rPr>
        <w:t>We and/or you may be subject to state and local tax in various states and localities, including those states and localities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8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b w:val="1"/>
          <w:bCs w:val="1"/>
          <w:i w:val="1"/>
          <w:iCs w:val="1"/>
          <w:color w:val="auto"/>
        </w:rPr>
        <w:t xml:space="preserve">Changes to Tax Laws and Regulations. </w:t>
      </w:r>
      <w:r>
        <w:rPr>
          <w:rFonts w:ascii="Arial" w:cs="Arial" w:eastAsia="Arial" w:hAnsi="Arial"/>
          <w:sz w:val="16"/>
          <w:szCs w:val="16"/>
          <w:color w:val="auto"/>
        </w:rPr>
        <w:t>The rules dealing with federal income taxation are subject to revision by the U.S. Congress, the IRS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U.S. Department of 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substantial December 2017 amendments to the Code.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sell the securities being offered by this prospectus in one or more of the following ways from time to time: (1) through underwriters or dealers; (2) through agents; (3) in “at the market offerings” to or through a market maker or into an existing trading market or securities exchange or otherwise; (4) 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1080" w:right="160" w:hanging="532"/>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65"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72"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0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2017, filed with the SEC on February 13, 2018;</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Our </w:t>
      </w:r>
      <w:hyperlink r:id="rId109">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2018 Annual Meeting of Shareholders, filed with the SEC on March 23, 2018;</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1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2018, filed with the SEC on May 2, 2018;</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111">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4, 2018;</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Description of our common shares contained in the Registration Statement on </w:t>
      </w:r>
      <w:hyperlink r:id="rId112">
        <w:r>
          <w:rPr>
            <w:rFonts w:ascii="Arial" w:cs="Arial" w:eastAsia="Arial" w:hAnsi="Arial"/>
            <w:sz w:val="17"/>
            <w:szCs w:val="17"/>
            <w:u w:val="single" w:color="auto"/>
            <w:color w:val="0000EE"/>
          </w:rPr>
          <w:t>Form 8-A/A</w:t>
        </w:r>
      </w:hyperlink>
      <w:r>
        <w:rPr>
          <w:rFonts w:ascii="Arial" w:cs="Arial" w:eastAsia="Arial" w:hAnsi="Arial"/>
          <w:sz w:val="17"/>
          <w:szCs w:val="17"/>
          <w:color w:val="auto"/>
        </w:rPr>
        <w:t>, filed with the SEC on June 6, 2002; and</w:t>
      </w:r>
    </w:p>
    <w:p>
      <w:pPr>
        <w:spacing w:after="0" w:line="142"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Description of our Series C preferred shares contained in the Registration Statement on </w:t>
      </w:r>
      <w:hyperlink r:id="rId113">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September 29, 2017.</w:t>
      </w:r>
    </w:p>
    <w:p>
      <w:pPr>
        <w:spacing w:after="0" w:line="170" w:lineRule="exact"/>
        <w:rPr>
          <w:rFonts w:ascii="Arial" w:cs="Arial" w:eastAsia="Arial" w:hAnsi="Arial"/>
          <w:sz w:val="17"/>
          <w:szCs w:val="17"/>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7"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308610</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30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174625</wp:posOffset>
            </wp:positionV>
            <wp:extent cx="1920240" cy="5740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60"/>
        <w:spacing w:after="0"/>
        <w:rPr>
          <w:sz w:val="20"/>
          <w:szCs w:val="20"/>
          <w:color w:val="auto"/>
        </w:rPr>
      </w:pPr>
      <w:r>
        <w:rPr>
          <w:rFonts w:ascii="Arial" w:cs="Arial" w:eastAsia="Arial" w:hAnsi="Arial"/>
          <w:sz w:val="21"/>
          <w:szCs w:val="21"/>
          <w:b w:val="1"/>
          <w:bCs w:val="1"/>
          <w:color w:val="auto"/>
        </w:rPr>
        <w:t>$</w:t>
      </w:r>
    </w:p>
    <w:p>
      <w:pPr>
        <w:spacing w:after="0" w:line="84" w:lineRule="exact"/>
        <w:rPr>
          <w:sz w:val="20"/>
          <w:szCs w:val="20"/>
          <w:color w:val="auto"/>
        </w:rPr>
      </w:pPr>
    </w:p>
    <w:p>
      <w:pPr>
        <w:ind w:left="400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80"/>
        <w:spacing w:after="0"/>
        <w:rPr>
          <w:sz w:val="20"/>
          <w:szCs w:val="20"/>
          <w:color w:val="auto"/>
        </w:rPr>
      </w:pPr>
      <w:r>
        <w:rPr>
          <w:rFonts w:ascii="Arial" w:cs="Arial" w:eastAsia="Arial" w:hAnsi="Arial"/>
          <w:sz w:val="23"/>
          <w:szCs w:val="23"/>
          <w:b w:val="1"/>
          <w:bCs w:val="1"/>
          <w:color w:val="auto"/>
        </w:rPr>
        <w:t>% Notes due 2030</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3.95%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410210</wp:posOffset>
            </wp:positionV>
            <wp:extent cx="1474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4180" w:space="700"/>
            <w:col w:w="5259"/>
          </w:cols>
          <w:pgMar w:left="320" w:top="4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Citigroup</w:t>
      </w:r>
    </w:p>
    <w:p>
      <w:pPr>
        <w:spacing w:after="0" w:line="36"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Deutsche Bank Securities</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Jefferies</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US Bancorp</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Wells Fargo Securities</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Regions Securities LLC</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SunTrust Robinson Humphrey</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TD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396875</wp:posOffset>
            </wp:positionV>
            <wp:extent cx="1474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60"/>
        <w:spacing w:after="0"/>
        <w:tabs>
          <w:tab w:leader="none" w:pos="5820" w:val="left"/>
        </w:tabs>
        <w:rPr>
          <w:sz w:val="20"/>
          <w:szCs w:val="20"/>
          <w:color w:val="auto"/>
        </w:rPr>
      </w:pPr>
      <w:r>
        <w:rPr>
          <w:rFonts w:ascii="Arial" w:cs="Arial" w:eastAsia="Arial" w:hAnsi="Arial"/>
          <w:sz w:val="18"/>
          <w:szCs w:val="18"/>
          <w:b w:val="1"/>
          <w:bCs w:val="1"/>
          <w:color w:val="auto"/>
        </w:rPr>
        <w:t>May</w:t>
      </w:r>
      <w:r>
        <w:rPr>
          <w:sz w:val="20"/>
          <w:szCs w:val="20"/>
          <w:color w:val="auto"/>
        </w:rPr>
        <w:tab/>
      </w: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454660</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506095</wp:posOffset>
            </wp:positionV>
            <wp:extent cx="699516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lvl w:ilvl="1">
      <w:lvlJc w:val="left"/>
      <w:lvlText w:val="•"/>
      <w:numFmt w:val="bullet"/>
      <w:start w:val="1"/>
    </w:lvl>
  </w:abstractNum>
  <w:abstractNum w:abstractNumId="4">
    <w:nsid w:val="520EEDD1"/>
    <w:multiLevelType w:val="hybridMultilevel"/>
    <w:lvl w:ilvl="0">
      <w:lvlJc w:val="left"/>
      <w:lvlText w:val="(%1)"/>
      <w:numFmt w:val="decimal"/>
      <w:start w:val="30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1)"/>
      <w:numFmt w:val="decimal"/>
      <w:start w:val="4"/>
    </w:lvl>
  </w:abstractNum>
  <w:abstractNum w:abstractNumId="7">
    <w:nsid w:val="23F9C13C"/>
    <w:multiLevelType w:val="hybridMultilevel"/>
    <w:lvl w:ilvl="0">
      <w:lvlJc w:val="left"/>
      <w:lvlText w:val="(%1)"/>
      <w:numFmt w:val="decimal"/>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1)"/>
      <w:numFmt w:val="lowerLetter"/>
      <w:start w:val="1"/>
    </w:lvl>
  </w:abstractNum>
  <w:abstractNum w:abstractNumId="12">
    <w:nsid w:val="180115BE"/>
    <w:multiLevelType w:val="hybridMultilevel"/>
    <w:lvl w:ilvl="0">
      <w:lvlJc w:val="left"/>
      <w:lvlText w:val="%1."/>
      <w:numFmt w:val="decimal"/>
      <w:start w:val="1"/>
    </w:lvl>
  </w:abstractNum>
  <w:abstractNum w:abstractNumId="13">
    <w:nsid w:val="235BA861"/>
    <w:multiLevelType w:val="hybridMultilevel"/>
    <w:lvl w:ilvl="0">
      <w:lvlJc w:val="left"/>
      <w:lvlText w:val="(%1)"/>
      <w:numFmt w:val="lowerLetter"/>
      <w:start w:val="1"/>
    </w:lvl>
  </w:abstractNum>
  <w:abstractNum w:abstractNumId="14">
    <w:nsid w:val="47398C89"/>
    <w:multiLevelType w:val="hybridMultilevel"/>
    <w:lvl w:ilvl="0">
      <w:lvlJc w:val="left"/>
      <w:lvlText w:val="(%1)"/>
      <w:numFmt w:val="lowerLetter"/>
      <w:start w:val="1"/>
    </w:lvl>
  </w:abstractNum>
  <w:abstractNum w:abstractNumId="15">
    <w:nsid w:val="354FE9F9"/>
    <w:multiLevelType w:val="hybridMultilevel"/>
    <w:lvl w:ilvl="0">
      <w:lvlJc w:val="left"/>
      <w:lvlText w:val="%1."/>
      <w:numFmt w:val="decimal"/>
      <w:start w:val="6"/>
    </w:lvl>
  </w:abstractNum>
  <w:abstractNum w:abstractNumId="16">
    <w:nsid w:val="15B5AF5C"/>
    <w:multiLevelType w:val="hybridMultilevel"/>
    <w:lvl w:ilvl="0">
      <w:lvlJc w:val="left"/>
      <w:lvlText w:val="(%1)"/>
      <w:numFmt w:val="lowerLetter"/>
      <w:start w:val="1"/>
    </w:lvl>
  </w:abstractNum>
  <w:abstractNum w:abstractNumId="17">
    <w:nsid w:val="741226BB"/>
    <w:multiLevelType w:val="hybridMultilevel"/>
    <w:lvl w:ilvl="0">
      <w:lvlJc w:val="left"/>
      <w:lvlText w:val="(%1)"/>
      <w:numFmt w:val="decimal"/>
      <w:start w:val="2"/>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lvl w:ilvl="1">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1)"/>
      <w:numFmt w:val="lowerLetter"/>
      <w:start w:val="2"/>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1)"/>
      <w:numFmt w:val="decimal"/>
      <w:start w:val="301"/>
    </w:lvl>
  </w:abstractNum>
  <w:abstractNum w:abstractNumId="27">
    <w:nsid w:val="2F305DEF"/>
    <w:multiLevelType w:val="hybridMultilevel"/>
    <w:lvl w:ilvl="0">
      <w:lvlJc w:val="left"/>
      <w:lvlText w:val="(%1)"/>
      <w:numFmt w:val="lowerLetter"/>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lvl w:ilvl="1">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lvl w:ilvl="1">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1."/>
      <w:numFmt w:val="decimal"/>
      <w:start w:val="1"/>
    </w:lvl>
  </w:abstractNum>
  <w:abstractNum w:abstractNumId="49">
    <w:nsid w:val="613EFDC5"/>
    <w:multiLevelType w:val="hybridMultilevel"/>
    <w:lvl w:ilvl="0">
      <w:lvlJc w:val="left"/>
      <w:lvlText w:val="(%1)"/>
      <w:numFmt w:val="lowerLetter"/>
      <w:start w:val="1"/>
    </w:lvl>
  </w:abstractNum>
  <w:abstractNum w:abstractNumId="50">
    <w:nsid w:val="BF72B14"/>
    <w:multiLevelType w:val="hybridMultilevel"/>
    <w:lvl w:ilvl="0">
      <w:lvlJc w:val="left"/>
      <w:lvlText w:val="%1."/>
      <w:numFmt w:val="decimal"/>
      <w:start w:val="5"/>
    </w:lvl>
  </w:abstractNum>
  <w:abstractNum w:abstractNumId="51">
    <w:nsid w:val="11447B73"/>
    <w:multiLevelType w:val="hybridMultilevel"/>
    <w:lvl w:ilvl="0">
      <w:lvlJc w:val="left"/>
      <w:lvlText w:val="(%1)"/>
      <w:numFmt w:val="lowerLetter"/>
      <w:start w:val="1"/>
    </w:lvl>
  </w:abstractNum>
  <w:abstractNum w:abstractNumId="52">
    <w:nsid w:val="42963E5A"/>
    <w:multiLevelType w:val="hybridMultilevel"/>
    <w:lvl w:ilvl="0">
      <w:lvlJc w:val="left"/>
      <w:lvlText w:val="(%1)"/>
      <w:numFmt w:val="lowerLetter"/>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lvl w:ilvl="1">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lvl w:ilvl="1">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
      <w:numFmt w:val="bullet"/>
      <w:start w:val="1"/>
    </w:lvl>
    <w:lvl w:ilvl="1">
      <w:lvlJc w:val="left"/>
      <w:lvlText w:val="•"/>
      <w:numFmt w:val="bullet"/>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
      <w:numFmt w:val="bullet"/>
      <w:start w:val="1"/>
    </w:lvl>
    <w:lvl w:ilvl="1">
      <w:lvlJc w:val="left"/>
      <w:lvlText w:val="•"/>
      <w:numFmt w:val="bullet"/>
      <w:start w:val="1"/>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
      <w:numFmt w:val="bullet"/>
      <w:start w:val="1"/>
    </w:lvl>
  </w:abstractNum>
  <w:abstractNum w:abstractNumId="83">
    <w:nsid w:val="CC1016F"/>
    <w:multiLevelType w:val="hybridMultilevel"/>
    <w:lvl w:ilvl="0">
      <w:lvlJc w:val="left"/>
      <w:lvlText w:val="•"/>
      <w:numFmt w:val="bullet"/>
      <w:start w:val="1"/>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1."/>
      <w:numFmt w:val="decimal"/>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1)"/>
      <w:numFmt w:val="lowerRoman"/>
      <w:start w:val="3"/>
    </w:lvl>
  </w:abstractNum>
  <w:abstractNum w:abstractNumId="92">
    <w:nsid w:val="488AC1A"/>
    <w:multiLevelType w:val="hybridMultilevel"/>
    <w:lvl w:ilvl="0">
      <w:lvlJc w:val="left"/>
      <w:lvlText w:val="•"/>
      <w:numFmt w:val="bullet"/>
      <w:start w:val="1"/>
    </w:lvl>
    <w:lvl w:ilvl="1">
      <w:lvlJc w:val="left"/>
      <w:lvlText w:val="•"/>
      <w:numFmt w:val="bullet"/>
      <w:start w:val="1"/>
    </w:lvl>
  </w:abstractNum>
  <w:abstractNum w:abstractNumId="93">
    <w:nsid w:val="5FB8011C"/>
    <w:multiLevelType w:val="hybridMultilevel"/>
    <w:lvl w:ilvl="0">
      <w:lvlJc w:val="left"/>
      <w:lvlText w:val="•"/>
      <w:numFmt w:val="bullet"/>
      <w:start w:val="1"/>
    </w:lvl>
    <w:lvl w:ilvl="1">
      <w:lvlJc w:val="left"/>
      <w:lvlText w:val="(%2)"/>
      <w:numFmt w:val="lowerRoman"/>
      <w:start w:val="2"/>
    </w:lvl>
  </w:abstractNum>
  <w:abstractNum w:abstractNumId="94">
    <w:nsid w:val="6AA78F7F"/>
    <w:multiLevelType w:val="hybridMultilevel"/>
    <w:lvl w:ilvl="0">
      <w:lvlJc w:val="left"/>
      <w:lvlText w:val="•"/>
      <w:numFmt w:val="bullet"/>
      <w:start w:val="1"/>
    </w:lvl>
    <w:lvl w:ilvl="1">
      <w:lvlJc w:val="left"/>
      <w:lvlText w:val="(%2)"/>
      <w:numFmt w:val="lowerRoman"/>
      <w:start w:val="5"/>
    </w:lvl>
  </w:abstractNum>
  <w:abstractNum w:abstractNumId="95">
    <w:nsid w:val="7672BD23"/>
    <w:multiLevelType w:val="hybridMultilevel"/>
    <w:lvl w:ilvl="0">
      <w:lvlJc w:val="left"/>
      <w:lvlText w:val="•"/>
      <w:numFmt w:val="bullet"/>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1)"/>
      <w:numFmt w:val="decimal"/>
      <w:start w:val="2"/>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jpe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6" Type="http://schemas.openxmlformats.org/officeDocument/2006/relationships/hyperlink" Target="http://www.sec.gov/ix?doc=/Archives/edgar/data/34903/000003490320000021/frt-03312020x10q.htm" TargetMode="External"/><Relationship Id="rId108" Type="http://schemas.openxmlformats.org/officeDocument/2006/relationships/hyperlink" Target="http://www.sec.gov/Archives/edgar/data/34903/000003490318000009/frt-1231201710k.htm" TargetMode="External"/><Relationship Id="rId109" Type="http://schemas.openxmlformats.org/officeDocument/2006/relationships/hyperlink" Target="http://www.sec.gov/Archives/edgar/data/34903/000119312518093016/d501572ddef14a.htm" TargetMode="External"/><Relationship Id="rId110" Type="http://schemas.openxmlformats.org/officeDocument/2006/relationships/hyperlink" Target="http://www.sec.gov/Archives/edgar/data/34903/000003490318000016/frt-03312018x10q.htm" TargetMode="External"/><Relationship Id="rId111" Type="http://schemas.openxmlformats.org/officeDocument/2006/relationships/hyperlink" Target="http://www.sec.gov/Archives/edgar/data/34903/000003490318000018/frt-050420188kdocument.htm" TargetMode="External"/><Relationship Id="rId112" Type="http://schemas.openxmlformats.org/officeDocument/2006/relationships/hyperlink" Target="http://www.sec.gov/Archives/edgar/data/34903/000092838502002234/d8a12ba.txt" TargetMode="External"/><Relationship Id="rId113" Type="http://schemas.openxmlformats.org/officeDocument/2006/relationships/hyperlink" Target="http://www.sec.gov/Archives/edgar/data/34903/000119312517299279/d4535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2020-05-07T08:51:35Z</dcterms:created>
  <dcterms:modified xsi:type="dcterms:W3CDTF">2020-05-07T08:51:35Z</dcterms:modified>
</cp:coreProperties>
</file>