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4,039,858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4,039,858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4,039,858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Federal Realty Investment Trust</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909 Rose Avenue, Suite 200, North Bethesda, MD 20852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313747206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4,039,858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5.2%</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4,039,858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4,039,858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4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CRGI's divisions of each of the investment management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280"/>
        <w:spacing w:after="0" w:line="329" w:lineRule="auto"/>
        <w:rPr>
          <w:sz w:val="20"/>
          <w:szCs w:val="20"/>
          <w:color w:val="auto"/>
        </w:rPr>
      </w:pPr>
      <w:r>
        <w:rPr>
          <w:rFonts w:ascii="Arial" w:cs="Arial" w:eastAsia="Arial" w:hAnsi="Arial"/>
          <w:sz w:val="19"/>
          <w:szCs w:val="19"/>
          <w:color w:val="auto"/>
        </w:rPr>
        <w:t>entities collectively provide investment management services under the name "Capital Research Global Investors." CRGI is deemed to be the beneficial owner of 4,039,858 shares or 5.2% of the 77,789,491 shares believed to be outstanding.</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2022-02-12T02:03:05Z</dcterms:created>
  <dcterms:modified xsi:type="dcterms:W3CDTF">2022-02-12T02:03:05Z</dcterms:modified>
</cp:coreProperties>
</file>