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December 31, 2011</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22"/>
          <w:szCs w:val="22"/>
          <w:color w:val="auto"/>
        </w:rPr>
        <w:t>On February 15, 2012, Federal Realty Investment Trust issued supplemental data pertaining to its operations, as well as a press release, to report its financial results for the quarter ended December 31, 2011.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2011 (including press release dated February 15,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85"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FEDERAL REALTY INVESTMENT TRUST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640" w:val="left"/>
          <w:tab w:leader="none" w:pos="2640" w:val="left"/>
        </w:tabs>
        <w:rPr>
          <w:sz w:val="20"/>
          <w:szCs w:val="20"/>
          <w:color w:val="auto"/>
        </w:rPr>
      </w:pPr>
      <w:r>
        <w:rPr>
          <w:rFonts w:ascii="Arial" w:cs="Arial" w:eastAsia="Arial" w:hAnsi="Arial"/>
          <w:sz w:val="22"/>
          <w:szCs w:val="22"/>
          <w:color w:val="auto"/>
        </w:rPr>
        <w:t>Date:</w:t>
        <w:tab/>
        <w:t>February 15, 2012</w:t>
      </w:r>
      <w:r>
        <w:rPr>
          <w:sz w:val="20"/>
          <w:szCs w:val="20"/>
          <w:color w:val="auto"/>
        </w:rPr>
        <w:tab/>
      </w:r>
      <w:r>
        <w:rPr>
          <w:rFonts w:ascii="Arial" w:cs="Arial" w:eastAsia="Arial" w:hAnsi="Arial"/>
          <w:sz w:val="19"/>
          <w:szCs w:val="19"/>
          <w:u w:val="single" w:color="auto"/>
          <w:color w:val="auto"/>
        </w:rPr>
        <w:t>/s/ Andrew P. Blocher</w:t>
      </w:r>
    </w:p>
    <w:p>
      <w:pPr>
        <w:spacing w:after="0" w:line="2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Andrew P. Blocher</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2011</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Fourth Quarter 2011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Development and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9">
              <w:r>
                <w:rPr>
                  <w:rFonts w:ascii="Arial" w:cs="Arial" w:eastAsia="Arial" w:hAnsi="Arial"/>
                  <w:sz w:val="18"/>
                  <w:szCs w:val="18"/>
                  <w:color w:val="0000FF"/>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2011 Significant Acquisitions and Dispositions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1">
              <w:r>
                <w:rPr>
                  <w:rFonts w:ascii="Arial" w:cs="Arial" w:eastAsia="Arial" w:hAnsi="Arial"/>
                  <w:sz w:val="18"/>
                  <w:szCs w:val="18"/>
                  <w:color w:val="0000FF"/>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4">
              <w:r>
                <w:rPr>
                  <w:rFonts w:ascii="Arial" w:cs="Arial" w:eastAsia="Arial" w:hAnsi="Arial"/>
                  <w:sz w:val="18"/>
                  <w:szCs w:val="18"/>
                  <w:color w:val="0000FF"/>
                  <w:w w:val="79"/>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6">
              <w:r>
                <w:rPr>
                  <w:rFonts w:ascii="Arial" w:cs="Arial" w:eastAsia="Arial" w:hAnsi="Arial"/>
                  <w:sz w:val="18"/>
                  <w:szCs w:val="18"/>
                  <w:color w:val="0000FF"/>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13</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26</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28</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15, 2012,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15, 2012.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1252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54"/>
        </w:trPr>
        <w:tc>
          <w:tcPr>
            <w:tcW w:w="2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i w:val="1"/>
                <w:iCs w:val="1"/>
                <w:color w:val="auto"/>
                <w:w w:val="98"/>
              </w:rPr>
              <w:t>Media Inquiries</w:t>
            </w:r>
          </w:p>
        </w:tc>
        <w:tc>
          <w:tcPr>
            <w:tcW w:w="2760" w:type="dxa"/>
            <w:vAlign w:val="bottom"/>
          </w:tcPr>
          <w:p>
            <w:pPr>
              <w:spacing w:after="0"/>
              <w:rPr>
                <w:sz w:val="24"/>
                <w:szCs w:val="24"/>
                <w:color w:val="auto"/>
              </w:rPr>
            </w:pPr>
          </w:p>
        </w:tc>
        <w:tc>
          <w:tcPr>
            <w:tcW w:w="4100" w:type="dxa"/>
            <w:vAlign w:val="bottom"/>
            <w:gridSpan w:val="3"/>
          </w:tcPr>
          <w:p>
            <w:pPr>
              <w:ind w:left="1680"/>
              <w:spacing w:after="0"/>
              <w:rPr>
                <w:sz w:val="20"/>
                <w:szCs w:val="20"/>
                <w:color w:val="auto"/>
              </w:rPr>
            </w:pPr>
            <w:r>
              <w:rPr>
                <w:rFonts w:ascii="Arial" w:cs="Arial" w:eastAsia="Arial" w:hAnsi="Arial"/>
                <w:sz w:val="18"/>
                <w:szCs w:val="18"/>
                <w:i w:val="1"/>
                <w:iCs w:val="1"/>
                <w:color w:val="auto"/>
              </w:rPr>
              <w:t>Investor Inquiries</w:t>
            </w:r>
          </w:p>
        </w:tc>
      </w:tr>
      <w:tr>
        <w:trPr>
          <w:trHeight w:val="20"/>
        </w:trPr>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Andrea Simpson</w:t>
            </w:r>
          </w:p>
        </w:tc>
        <w:tc>
          <w:tcPr>
            <w:tcW w:w="4100" w:type="dxa"/>
            <w:vAlign w:val="bottom"/>
            <w:gridSpan w:val="3"/>
          </w:tcPr>
          <w:p>
            <w:pPr>
              <w:ind w:left="1680"/>
              <w:spacing w:after="0"/>
              <w:rPr>
                <w:sz w:val="20"/>
                <w:szCs w:val="20"/>
                <w:color w:val="auto"/>
              </w:rPr>
            </w:pPr>
            <w:r>
              <w:rPr>
                <w:rFonts w:ascii="Arial" w:cs="Arial" w:eastAsia="Arial" w:hAnsi="Arial"/>
                <w:sz w:val="18"/>
                <w:szCs w:val="18"/>
                <w:color w:val="auto"/>
              </w:rPr>
              <w:t>Kristina Lennox</w:t>
            </w:r>
          </w:p>
        </w:tc>
      </w:tr>
      <w:tr>
        <w:trPr>
          <w:trHeight w:val="257"/>
        </w:trPr>
        <w:tc>
          <w:tcPr>
            <w:tcW w:w="200" w:type="dxa"/>
            <w:vAlign w:val="bottom"/>
          </w:tcPr>
          <w:p>
            <w:pPr>
              <w:spacing w:after="0"/>
              <w:rPr>
                <w:sz w:val="22"/>
                <w:szCs w:val="22"/>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Director, Marketing</w:t>
            </w:r>
          </w:p>
        </w:tc>
        <w:tc>
          <w:tcPr>
            <w:tcW w:w="4100" w:type="dxa"/>
            <w:vAlign w:val="bottom"/>
            <w:gridSpan w:val="3"/>
          </w:tcPr>
          <w:p>
            <w:pPr>
              <w:ind w:left="1680"/>
              <w:spacing w:after="0"/>
              <w:rPr>
                <w:sz w:val="20"/>
                <w:szCs w:val="20"/>
                <w:color w:val="auto"/>
              </w:rPr>
            </w:pPr>
            <w:r>
              <w:rPr>
                <w:rFonts w:ascii="Arial" w:cs="Arial" w:eastAsia="Arial" w:hAnsi="Arial"/>
                <w:sz w:val="18"/>
                <w:szCs w:val="18"/>
                <w:color w:val="auto"/>
                <w:w w:val="98"/>
              </w:rPr>
              <w:t>Investor Relations Coordinator</w:t>
            </w:r>
          </w:p>
        </w:tc>
      </w:tr>
      <w:tr>
        <w:trPr>
          <w:trHeight w:val="257"/>
        </w:trPr>
        <w:tc>
          <w:tcPr>
            <w:tcW w:w="1420" w:type="dxa"/>
            <w:vAlign w:val="bottom"/>
            <w:gridSpan w:val="2"/>
          </w:tcPr>
          <w:p>
            <w:pPr>
              <w:ind w:left="200"/>
              <w:spacing w:after="0"/>
              <w:rPr>
                <w:sz w:val="20"/>
                <w:szCs w:val="20"/>
                <w:color w:val="auto"/>
              </w:rPr>
            </w:pPr>
            <w:r>
              <w:rPr>
                <w:rFonts w:ascii="Arial" w:cs="Arial" w:eastAsia="Arial" w:hAnsi="Arial"/>
                <w:sz w:val="18"/>
                <w:szCs w:val="18"/>
                <w:color w:val="auto"/>
              </w:rPr>
              <w:t>617/684-1511</w:t>
            </w:r>
          </w:p>
        </w:tc>
        <w:tc>
          <w:tcPr>
            <w:tcW w:w="2760" w:type="dxa"/>
            <w:vAlign w:val="bottom"/>
          </w:tcPr>
          <w:p>
            <w:pPr>
              <w:spacing w:after="0"/>
              <w:rPr>
                <w:sz w:val="22"/>
                <w:szCs w:val="22"/>
                <w:color w:val="auto"/>
              </w:rPr>
            </w:pPr>
          </w:p>
        </w:tc>
        <w:tc>
          <w:tcPr>
            <w:tcW w:w="3040" w:type="dxa"/>
            <w:vAlign w:val="bottom"/>
            <w:gridSpan w:val="2"/>
          </w:tcPr>
          <w:p>
            <w:pPr>
              <w:ind w:left="1680"/>
              <w:spacing w:after="0"/>
              <w:rPr>
                <w:sz w:val="20"/>
                <w:szCs w:val="20"/>
                <w:color w:val="auto"/>
              </w:rPr>
            </w:pPr>
            <w:r>
              <w:rPr>
                <w:rFonts w:ascii="Arial" w:cs="Arial" w:eastAsia="Arial" w:hAnsi="Arial"/>
                <w:sz w:val="18"/>
                <w:szCs w:val="18"/>
                <w:color w:val="auto"/>
              </w:rPr>
              <w:t>301/998-8265</w:t>
            </w:r>
          </w:p>
        </w:tc>
        <w:tc>
          <w:tcPr>
            <w:tcW w:w="106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asimpson@federalrealty.com</w:t>
            </w:r>
          </w:p>
        </w:tc>
        <w:tc>
          <w:tcPr>
            <w:tcW w:w="4100" w:type="dxa"/>
            <w:vAlign w:val="bottom"/>
            <w:gridSpan w:val="3"/>
          </w:tcPr>
          <w:p>
            <w:pPr>
              <w:ind w:left="1680"/>
              <w:spacing w:after="0"/>
              <w:rPr>
                <w:sz w:val="20"/>
                <w:szCs w:val="20"/>
                <w:color w:val="auto"/>
              </w:rPr>
            </w:pPr>
            <w:r>
              <w:rPr>
                <w:rFonts w:ascii="Arial" w:cs="Arial" w:eastAsia="Arial" w:hAnsi="Arial"/>
                <w:sz w:val="18"/>
                <w:szCs w:val="18"/>
                <w:i w:val="1"/>
                <w:iCs w:val="1"/>
                <w:color w:val="auto"/>
              </w:rPr>
              <w:t>klennox@federalrealty.com</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FOURTH QUARTER AND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YEAR-END 2011 OPERATING RESULTS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-Solid core performance drives record 2011 FFO per share and improved 2012 guidance-</w:t>
      </w:r>
    </w:p>
    <w:p>
      <w:pPr>
        <w:spacing w:after="0" w:line="279"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 xml:space="preserve">ROCKVILLE, Md. (February 15, 2012) - </w:t>
      </w:r>
      <w:r>
        <w:rPr>
          <w:rFonts w:ascii="Arial" w:cs="Arial" w:eastAsia="Arial" w:hAnsi="Arial"/>
          <w:sz w:val="18"/>
          <w:szCs w:val="18"/>
          <w:u w:val="single" w:color="auto"/>
          <w:color w:val="0000FF"/>
        </w:rPr>
        <w:t>Federal Realty Investment Trust</w:t>
      </w:r>
      <w:r>
        <w:rPr>
          <w:rFonts w:ascii="Arial" w:cs="Arial" w:eastAsia="Arial" w:hAnsi="Arial"/>
          <w:sz w:val="18"/>
          <w:szCs w:val="18"/>
          <w:color w:val="auto"/>
        </w:rPr>
        <w:t xml:space="preserve"> (NYSE:FRT) today reported operating results for its fourth quarter and year ended December 31, 2011.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generated funds from operations available for common shareholders (FFO) of $62.1 million, or $0.97 per diluted share for fourth quarter 2011 compared to $62.2 million, or $1.01 per diluted share, in fourth quarter 2010. For the year ended December 31, 2011, Federal Realty reported FFO of $251.6 million, or $4.00 per diluted share compared to $239.2 million, or $3.88 per diluted share, for the year ending December 31, 2010. FFO for fourth quarter and full year 2011 was negatively impacted by $2.6 million ($0.04 per diluted share) and $3.4 million ($0.05 per diluted share), respectively, of expensed closing costs for the acquisitions of Plaza El Segundo and Montrose Crossing, both of which were acquired in late December 2011.</w:t>
      </w:r>
    </w:p>
    <w:p>
      <w:pPr>
        <w:spacing w:after="0" w:line="30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Net income available for common shareholders was $30.8 million and earnings per diluted share was $0.48 for fourth quarter 2011 versus $32.7 million and $0.53, respectively, for fourth quarter 2010. For the year ended December 31, 2011, net income available for common shareholders was $143.4 million and earnings per diluted share was $2.28 compared to $122.2 million and $1.98 for 2010. Net income available for common shareholders and earnings per diluted share for both fourth quarter and the year ended December 31, 2011 were impacted by the same total and per diluted share closing costs described above.</w:t>
      </w:r>
    </w:p>
    <w:p>
      <w:pPr>
        <w:spacing w:after="0" w:line="298"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FFO is a non-GAAP supplemental earnings measure defined by the National Association of Real Estate Investment Trusts which the Trust considers meaningful in measuring its operating performance. A reconciliation of net income to FFO is attached to this press release.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Same-center property operating income in fourth quarter 2011 increased 3.6% including redevelopment and expansion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2011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7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properties, and increased 2.8% excluding redevelopment and expansion properties, compared to fourth quarter 2010. For the year, same-center property operating income in 2011 increased 1.8% including redevelopments and expansions, and increased 1.9% excluding redevelopments and expansions, compared to 2010.</w:t>
      </w:r>
    </w:p>
    <w:p>
      <w:pPr>
        <w:spacing w:after="0" w:line="20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93.4% leased as of December 31, 2011, compared to 93.3% on September 30, 2011 and 93.9% on December 31, 2010. Federal Realty's same-center portfolio was 93.9% leased on December 31, 2011, compared to 94.0% on September 30, 2011 and 94.4% on December 31, 2010.</w:t>
      </w:r>
    </w:p>
    <w:p>
      <w:pPr>
        <w:spacing w:after="0" w:line="18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During fourth quarter 2011, the Trust signed 82 leases for 254,557 square feet of retail space.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231,394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10%. The average contractual rent on this comparable space for the first year of the new lease is $32.81 per square foot compared to the average contractual rent of $29.80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22% for fourth quarter 2011.</w:t>
      </w:r>
    </w:p>
    <w:p>
      <w:pPr>
        <w:spacing w:after="0" w:line="205"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all of 2011, Federal Realty signed 339 leases representing 1.3 million square feet of comparable retail space at an average cash-basis contractual rent increase per square foot of 9%, and 20% on a GAAP-basis. The average cash-basis contractual rent on this comparable space for the first year of the new lease is $30.57 per square foot compared to the average cash-basis contractual rent of $28.15 per square foot for the last year of the prior lease. As of December 31, 2011, Federal Realty's average contractual minimum rent for retail and commercial space in its portfolio is $23.37 per square foot, as compared to $22.77 on December 31, 2010.</w:t>
      </w:r>
    </w:p>
    <w:p>
      <w:pPr>
        <w:spacing w:after="0" w:line="204"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“A strong and consistent leasing effort over the past few years as well as solid property operations were key drivers of our record FFO per share results in 2011,” commented Don Wood, president and chief executive officer of Federal Realty. "With the addition of high quality acquisitions like Tower Shops, Plaza El Segundo and Montrose Crossing and the significant development activities at Pike &amp; Rose, Assembly Row and Santana Row to complement our proven internal growth strategy, we are confident in our ability to continue to provide earnings growth and value creation for our shareholders going forward."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$0.69 per share on its common shares, resulting in an indicated annual rate of $2.76 per share. The regular common dividend will be payable on April 16, 2012 to common shareholders of record on March 19,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2011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Federal Realty's 2012 guidance for FFO per diluted share was increased to a range of $4.19 to $4.25 and 2012 earnings per diluted share guidance was increased to $2.27 to $2.33.</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8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January 2012 - Federal Realty announced the acquisition of the following properties:</w:t>
      </w:r>
    </w:p>
    <w:p>
      <w:pPr>
        <w:spacing w:after="0" w:line="103" w:lineRule="exact"/>
        <w:rPr>
          <w:rFonts w:ascii="Arial" w:cs="Arial" w:eastAsia="Arial" w:hAnsi="Arial"/>
          <w:sz w:val="18"/>
          <w:szCs w:val="18"/>
          <w:color w:val="auto"/>
        </w:rPr>
      </w:pPr>
    </w:p>
    <w:p>
      <w:pPr>
        <w:jc w:val="both"/>
        <w:ind w:left="560" w:hanging="322"/>
        <w:spacing w:after="0" w:line="356" w:lineRule="auto"/>
        <w:tabs>
          <w:tab w:leader="none" w:pos="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Plaza El Segundo (January 3, 2012) - a controlling interest in Plaza El Segundo, a 381,000 square foot, landmark, retail property in El Segundo, California for $8.5 million. We are entitled to receive the majority of the cash flow associated with the operating property up to approximately 75%. In addition, the Trust acquired a 100% interest in an adjacent, unimproved 8.1-acre land parcel for future development for $15.9 million of cash.</w:t>
      </w:r>
    </w:p>
    <w:p>
      <w:pPr>
        <w:spacing w:after="0" w:line="14" w:lineRule="exact"/>
        <w:rPr>
          <w:rFonts w:ascii="Arial" w:cs="Arial" w:eastAsia="Arial" w:hAnsi="Arial"/>
          <w:sz w:val="18"/>
          <w:szCs w:val="18"/>
          <w:color w:val="auto"/>
        </w:rPr>
      </w:pPr>
    </w:p>
    <w:p>
      <w:pPr>
        <w:jc w:val="both"/>
        <w:ind w:left="560" w:hanging="322"/>
        <w:spacing w:after="0" w:line="356" w:lineRule="auto"/>
        <w:tabs>
          <w:tab w:leader="none" w:pos="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Montrose Crossing (January 9, 2012) - an 89.9% controlling interest in Montrose Crossing, a 357,000 square foot, grocery-anchored shopping center in Rockville, Maryland. With the acquisition, Federal Realty controls 1.2 million square feet of existing retail space on Rockville Pike within a mile of Montrose Crossing - at Congressional Plaza, Federal Plaza and Mid-Pike Plaza - with expectations of expanding that presence with the development of Pike &amp; Rose.</w:t>
      </w:r>
    </w:p>
    <w:p>
      <w:pPr>
        <w:spacing w:after="0" w:line="14" w:lineRule="exact"/>
        <w:rPr>
          <w:rFonts w:ascii="Arial" w:cs="Arial" w:eastAsia="Arial" w:hAnsi="Arial"/>
          <w:sz w:val="18"/>
          <w:szCs w:val="18"/>
          <w:color w:val="auto"/>
        </w:rPr>
      </w:pPr>
    </w:p>
    <w:p>
      <w:pPr>
        <w:ind w:left="340" w:right="20" w:hanging="332"/>
        <w:spacing w:after="0" w:line="35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February 8, 2012 - Federal Realty announced the execution of a 44,000 square foot lease with iPic Entertainment for an eight-screen theater, dining, and entertainment venue at Pike &amp; Rose, its 24+ acre mixed use development in Rockville, Maryland.</w:t>
      </w:r>
    </w:p>
    <w:p>
      <w:pPr>
        <w:spacing w:after="0" w:line="14" w:lineRule="exact"/>
        <w:rPr>
          <w:rFonts w:ascii="Arial" w:cs="Arial" w:eastAsia="Arial" w:hAnsi="Arial"/>
          <w:sz w:val="18"/>
          <w:szCs w:val="18"/>
          <w:color w:val="auto"/>
        </w:rPr>
      </w:pPr>
    </w:p>
    <w:p>
      <w:pPr>
        <w:jc w:val="both"/>
        <w:ind w:left="340" w:hanging="332"/>
        <w:spacing w:after="0" w:line="35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January 6, 2012 - The execution of binding documents with AvalonBay Communities for the first phase of construction at Assembly Row was announced, the issuance of the Notice to Proceed by the Massachusetts Bay Transportation Authority (MBTA) for the construction of a new rapid transit station, and the execution of a 60,000 square foot lease with AMC Theatres for a 12-screen theatre. These milestones clear the remaining obstacles for construction to commence at Assembly Row, Federal Realty's 50+ acre mixed use development in Somerville, MA.</w:t>
      </w:r>
    </w:p>
    <w:p>
      <w:pPr>
        <w:spacing w:after="0" w:line="13" w:lineRule="exact"/>
        <w:rPr>
          <w:rFonts w:ascii="Arial" w:cs="Arial" w:eastAsia="Arial" w:hAnsi="Arial"/>
          <w:sz w:val="18"/>
          <w:szCs w:val="18"/>
          <w:color w:val="auto"/>
        </w:rPr>
      </w:pPr>
    </w:p>
    <w:p>
      <w:pPr>
        <w:jc w:val="both"/>
        <w:ind w:left="340" w:hanging="332"/>
        <w:spacing w:after="0" w:line="36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November 28, 2011 - Federal Realty announced the closing of a new $275 million unsecured term loan that bears interest at an annual rate of LIBOR plus 145 basis points and will mature in November 2018. Prior to closing, Federal Realty swapped $275 million of LIBOR exposure through November 1, 2018 at a rate of 1.72%, resulting in a fixed rate of 3.17% throughout the term of the loan.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fourth quarter and year-end 2011 earnings conference call, which is scheduled for February 16, 2012, at 11 a.m. Eastern Standard Time. To participate, please call (800) 299-7089 five to ten minutes prior to the call start time and use the passcode FRT EARNINGS (required). Federal Realty will also provide an online webcast on the Company's web 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YEAR-END 2011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call will also be available through March 16, 2012, by dialing (888) 286-8010 and using the passcode 84931684.</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 xml:space="preserve">In 2012, Federal Realty celebrates 50 years of being a proven leader in the ownership, operation, and redevelopment of high quality retail real estate in the country's best markets. Federal Realty's portfolio (excluding joint venture properties) contains approximately 19.3 million square feet located primarily in strategically selected metropolitan markets in the Northeast and Mid-Atlantic regions of the United States, as well as in California. In addition, the Trust has an ownership interest in approximately 1.0 million square feet of retail space through a joint venture in which the Trust has a 30% interest. Our operating portfolio (excluding joint venture properties) was 93.4% leased to national, regional, and local retailers as of December 31, 2011, with no single tenant accounting for more than approximately 2.5% of annualized base rent. Federal Realty has paid quarterly dividends to its shareholders continuously since its founding in 1962, and has increased its dividend rate for 44 consecutive years, the longest record in the REIT industry. Federal Realty is an S&amp;P MidCap 400 company and its shares are traded on the NYSE under the symbol FRT. For more information, please visit </w:t>
      </w:r>
      <w:r>
        <w:rPr>
          <w:rFonts w:ascii="Arial" w:cs="Arial" w:eastAsia="Arial" w:hAnsi="Arial"/>
          <w:sz w:val="18"/>
          <w:szCs w:val="18"/>
          <w:u w:val="single" w:color="auto"/>
          <w:color w:val="0000FF"/>
        </w:rPr>
        <w:t>www.federalrealty.com.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15, 2012, and include the following:</w:t>
      </w:r>
    </w:p>
    <w:p>
      <w:pPr>
        <w:spacing w:after="0" w:line="206" w:lineRule="exact"/>
        <w:rPr>
          <w:sz w:val="20"/>
          <w:szCs w:val="20"/>
          <w:color w:val="auto"/>
        </w:rPr>
      </w:pPr>
    </w:p>
    <w:p>
      <w:pPr>
        <w:ind w:left="66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30" w:lineRule="exact"/>
        <w:rPr>
          <w:rFonts w:ascii="Arial" w:cs="Arial" w:eastAsia="Arial" w:hAnsi="Arial"/>
          <w:sz w:val="18"/>
          <w:szCs w:val="18"/>
          <w:color w:val="auto"/>
        </w:rPr>
      </w:pPr>
    </w:p>
    <w:p>
      <w:pPr>
        <w:ind w:left="660" w:right="200" w:hanging="652"/>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652"/>
        <w:spacing w:after="0" w:line="23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652"/>
        <w:spacing w:after="0" w:line="28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652"/>
        <w:spacing w:after="0" w:line="29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15,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24"/>
                <w:szCs w:val="24"/>
                <w:color w:val="auto"/>
              </w:rPr>
            </w:pPr>
          </w:p>
        </w:tc>
      </w:tr>
      <w:tr>
        <w:trPr>
          <w:trHeight w:val="250"/>
        </w:trPr>
        <w:tc>
          <w:tcPr>
            <w:tcW w:w="5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2010</w:t>
            </w: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9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137,249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132,663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538,701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522,651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4,601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141,466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553,059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541,797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110,519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14,619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60,620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58,663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31,853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29,654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126,208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118,878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325,362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312,579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57,233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58,762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227,697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229,218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(101,882)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1,060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125,851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 - gain on deconsolidation of VIE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37"/>
        </w:trPr>
        <w:tc>
          <w:tcPr>
            <w:tcW w:w="5620" w:type="dxa"/>
            <w:vAlign w:val="bottom"/>
          </w:tcPr>
          <w:p>
            <w:pPr>
              <w:ind w:left="500"/>
              <w:spacing w:after="0"/>
              <w:rPr>
                <w:sz w:val="20"/>
                <w:szCs w:val="20"/>
                <w:color w:val="auto"/>
              </w:rPr>
            </w:pPr>
            <w:r>
              <w:rPr>
                <w:rFonts w:ascii="Arial" w:cs="Arial" w:eastAsia="Arial" w:hAnsi="Arial"/>
                <w:sz w:val="18"/>
                <w:szCs w:val="18"/>
                <w:color w:val="auto"/>
              </w:rPr>
              <w:t>Results from discontinued operations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18,058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1,976</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127,827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128,237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(5,447)</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122,790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30,786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32,681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143,376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122,249</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63,224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61,251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62,438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61,182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63,379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61,405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62,603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61,324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449"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449"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$271,468 and $78,846 of consolidated variable interest entities, respectively)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4,240,708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3,695,848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193,836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163,200</w:t>
            </w: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7"/>
              </w:rPr>
              <w:t>Assets held for sale/disposal (discontinued operations) (including $0 and $18,311 of consolidated variable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interest entities, respectively)</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36,894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4,434,544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3,895,942</w:t>
            </w: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2"/>
              </w:rPr>
              <w:t>Less accumulated depreciation and amortization (including $4,991 and $4,431 of consolidated variable interest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(1,127,588)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(1,035,204)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 estate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3,306,956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2,860,738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67,806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68,997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Mortgage notes receivable, net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55,967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44,813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real estate partnerships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118,675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117,602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3,659,908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3,159,553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Mortgages and capital lease obligations (including $207,683 and $22,785 of consolidated variable interest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entities, respectively)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810,616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589,441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Notes payable</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295,159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97,881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and debentures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1,004,635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1,079,827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223,569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211,274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2,333,979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1,978,423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85,325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65,362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Preferred shares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1,206,095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1,084,739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 of the Trust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1,216,092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1,094,736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21,032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1,240,604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1,115,768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3,659,908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3,159,553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r>
      <w:tr>
        <w:trPr>
          <w:trHeight w:val="250"/>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09"/>
        </w:trPr>
        <w:tc>
          <w:tcPr>
            <w:tcW w:w="40" w:type="dxa"/>
            <w:vAlign w:val="bottom"/>
            <w:shd w:val="clear" w:color="auto" w:fill="CCEEFF"/>
          </w:tcPr>
          <w:p>
            <w:pPr>
              <w:spacing w:after="0"/>
              <w:rPr>
                <w:sz w:val="18"/>
                <w:szCs w:val="18"/>
                <w:color w:val="auto"/>
              </w:rPr>
            </w:pPr>
          </w:p>
        </w:tc>
        <w:tc>
          <w:tcPr>
            <w:tcW w:w="4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0"/>
              </w:rPr>
              <w:t>(FFO) (1)</w:t>
            </w:r>
          </w:p>
        </w:tc>
        <w:tc>
          <w:tcPr>
            <w:tcW w:w="3540" w:type="dxa"/>
            <w:vAlign w:val="bottom"/>
            <w:tcBorders>
              <w:top w:val="single" w:sz="8" w:color="auto"/>
              <w:bottom w:val="single" w:sz="8" w:color="CCEEFF"/>
            </w:tcBorders>
            <w:gridSpan w:val="3"/>
            <w:shd w:val="clear" w:color="auto" w:fill="CCEEFF"/>
          </w:tcPr>
          <w:p>
            <w:pPr>
              <w:spacing w:after="0"/>
              <w:rPr>
                <w:sz w:val="21"/>
                <w:szCs w:val="21"/>
                <w:color w:val="auto"/>
              </w:rPr>
            </w:pPr>
          </w:p>
        </w:tc>
        <w:tc>
          <w:tcPr>
            <w:tcW w:w="5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32,455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34,305</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149,612</w:t>
            </w: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128,237</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(1,489)</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(5,447)</w:t>
            </w: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15,075</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(15,075)</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1,410</w:t>
            </w: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(1,410)</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Gain on deconsolidation of VIE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Depreciation and amortization of real estate assets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28,465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26,812</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113,188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107,187</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2,326</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9,552</w:t>
            </w: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Depreciation of joint venture real estate assets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435</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1,499</w:t>
            </w: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62,273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62,389</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239,618</w:t>
            </w: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Dividends on preferred shares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(135)</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(541)</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244</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980</w:t>
            </w: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Income attributable to unvested shares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(259)</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(847)</w:t>
            </w: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62,108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62,239</w:t>
            </w:r>
          </w:p>
        </w:tc>
        <w:tc>
          <w:tcPr>
            <w:tcW w:w="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251,576</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239,210</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FFO per diluted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w:t>
            </w: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3.88</w:t>
            </w:r>
          </w:p>
        </w:tc>
      </w:tr>
      <w:tr>
        <w:trPr>
          <w:trHeight w:val="251"/>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780" w:type="dxa"/>
            <w:vAlign w:val="bottom"/>
            <w:tcBorders>
              <w:top w:val="single" w:sz="8" w:color="CCEEFF"/>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63,740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61,769</w:t>
            </w: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62,964</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61,693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7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Summary of Capital Expenditures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Non-maintenance capital expenditures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37,530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13,568</w:t>
            </w:r>
          </w:p>
        </w:tc>
        <w:tc>
          <w:tcPr>
            <w:tcW w:w="9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99,843</w:t>
            </w:r>
          </w:p>
        </w:tc>
        <w:tc>
          <w:tcPr>
            <w:tcW w:w="9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57,792</w:t>
            </w:r>
          </w:p>
        </w:tc>
      </w:tr>
      <w:tr>
        <w:trPr>
          <w:trHeight w:val="243"/>
        </w:trPr>
        <w:tc>
          <w:tcPr>
            <w:tcW w:w="40" w:type="dxa"/>
            <w:vAlign w:val="bottom"/>
          </w:tcPr>
          <w:p>
            <w:pPr>
              <w:spacing w:after="0"/>
              <w:rPr>
                <w:sz w:val="21"/>
                <w:szCs w:val="21"/>
                <w:color w:val="auto"/>
              </w:rPr>
            </w:pPr>
          </w:p>
        </w:tc>
        <w:tc>
          <w:tcPr>
            <w:tcW w:w="4780" w:type="dxa"/>
            <w:vAlign w:val="bottom"/>
            <w:gridSpan w:val="5"/>
          </w:tcPr>
          <w:p>
            <w:pPr>
              <w:ind w:left="340"/>
              <w:spacing w:after="0"/>
              <w:rPr>
                <w:sz w:val="20"/>
                <w:szCs w:val="20"/>
                <w:color w:val="auto"/>
              </w:rPr>
            </w:pPr>
            <w:r>
              <w:rPr>
                <w:rFonts w:ascii="Arial" w:cs="Arial" w:eastAsia="Arial" w:hAnsi="Arial"/>
                <w:sz w:val="18"/>
                <w:szCs w:val="18"/>
                <w:color w:val="auto"/>
              </w:rPr>
              <w:t>Tenant improvements and incentives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11,333</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25,846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22,618</w:t>
            </w: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45,030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24,901</w:t>
            </w:r>
          </w:p>
        </w:tc>
        <w:tc>
          <w:tcPr>
            <w:tcW w:w="6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80,410</w:t>
            </w:r>
          </w:p>
        </w:tc>
      </w:tr>
      <w:tr>
        <w:trPr>
          <w:trHeight w:val="243"/>
        </w:trPr>
        <w:tc>
          <w:tcPr>
            <w:tcW w:w="40" w:type="dxa"/>
            <w:vAlign w:val="bottom"/>
          </w:tcPr>
          <w:p>
            <w:pPr>
              <w:spacing w:after="0"/>
              <w:rPr>
                <w:sz w:val="21"/>
                <w:szCs w:val="21"/>
                <w:color w:val="auto"/>
              </w:rPr>
            </w:pPr>
          </w:p>
        </w:tc>
        <w:tc>
          <w:tcPr>
            <w:tcW w:w="4780" w:type="dxa"/>
            <w:vAlign w:val="bottom"/>
            <w:gridSpan w:val="5"/>
          </w:tcPr>
          <w:p>
            <w:pPr>
              <w:ind w:left="34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8,042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5,651</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17,121</w:t>
            </w: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0" w:type="dxa"/>
            <w:vAlign w:val="bottom"/>
            <w:shd w:val="clear" w:color="auto" w:fill="CCEEFF"/>
          </w:tcPr>
          <w:p>
            <w:pPr>
              <w:spacing w:after="0"/>
              <w:rPr>
                <w:sz w:val="22"/>
                <w:szCs w:val="22"/>
                <w:color w:val="auto"/>
              </w:rPr>
            </w:pPr>
          </w:p>
        </w:tc>
        <w:tc>
          <w:tcPr>
            <w:tcW w:w="4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53,072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30,552</w:t>
            </w:r>
          </w:p>
        </w:tc>
        <w:tc>
          <w:tcPr>
            <w:tcW w:w="9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146,481</w:t>
            </w:r>
          </w:p>
        </w:tc>
        <w:tc>
          <w:tcPr>
            <w:tcW w:w="9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97,531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7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Dividends and Payout Ratios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Regular common dividends declared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43,847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41,213</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171,335</w:t>
            </w:r>
          </w:p>
        </w:tc>
        <w:tc>
          <w:tcPr>
            <w:tcW w:w="9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163,382</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780" w:type="dxa"/>
            <w:vAlign w:val="bottom"/>
            <w:gridSpan w:val="5"/>
          </w:tcPr>
          <w:p>
            <w:pPr>
              <w:spacing w:after="0"/>
              <w:rPr>
                <w:sz w:val="20"/>
                <w:szCs w:val="20"/>
                <w:color w:val="auto"/>
              </w:rPr>
            </w:pPr>
            <w:r>
              <w:rPr>
                <w:rFonts w:ascii="Arial" w:cs="Arial" w:eastAsia="Arial" w:hAnsi="Arial"/>
                <w:sz w:val="18"/>
                <w:szCs w:val="18"/>
                <w:color w:val="auto"/>
              </w:rPr>
              <w:t>Dividend payout ratio as a percentage of FFO</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50"/>
        </w:trPr>
        <w:tc>
          <w:tcPr>
            <w:tcW w:w="8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2010</w:t>
            </w:r>
          </w:p>
        </w:tc>
      </w:tr>
      <w:tr>
        <w:trPr>
          <w:trHeight w:val="250"/>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3"/>
              </w:rPr>
              <w:t>(in thousands, except per share data)</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Common shares outstanding (1)</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63,544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61,526</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Market price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90.75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77.93</w:t>
            </w:r>
          </w:p>
        </w:tc>
      </w:tr>
      <w:tr>
        <w:trPr>
          <w:trHeight w:val="237"/>
        </w:trPr>
        <w:tc>
          <w:tcPr>
            <w:tcW w:w="8580" w:type="dxa"/>
            <w:vAlign w:val="bottom"/>
          </w:tcPr>
          <w:p>
            <w:pPr>
              <w:ind w:left="620"/>
              <w:spacing w:after="0"/>
              <w:rPr>
                <w:sz w:val="20"/>
                <w:szCs w:val="20"/>
                <w:color w:val="auto"/>
              </w:rPr>
            </w:pPr>
            <w:r>
              <w:rPr>
                <w:rFonts w:ascii="Arial" w:cs="Arial" w:eastAsia="Arial" w:hAnsi="Arial"/>
                <w:sz w:val="18"/>
                <w:szCs w:val="18"/>
                <w:color w:val="auto"/>
              </w:rPr>
              <w:t>Common equity market capitalization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5,766,618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4,794,721</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Series 1 preferred shares outstanding (2)</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Liquidation price per Series 1 preferred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r>
      <w:tr>
        <w:trPr>
          <w:trHeight w:val="237"/>
        </w:trPr>
        <w:tc>
          <w:tcPr>
            <w:tcW w:w="8580" w:type="dxa"/>
            <w:vAlign w:val="bottom"/>
          </w:tcPr>
          <w:p>
            <w:pPr>
              <w:ind w:left="620"/>
              <w:spacing w:after="0"/>
              <w:rPr>
                <w:sz w:val="20"/>
                <w:szCs w:val="20"/>
                <w:color w:val="auto"/>
              </w:rPr>
            </w:pPr>
            <w:r>
              <w:rPr>
                <w:rFonts w:ascii="Arial" w:cs="Arial" w:eastAsia="Arial" w:hAnsi="Arial"/>
                <w:sz w:val="18"/>
                <w:szCs w:val="18"/>
                <w:color w:val="auto"/>
              </w:rPr>
              <w:t>Series 1 preferred equity market capitalization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Equity market capitalization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5,776,618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4,804,721</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Total debt (3)</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2,110,410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1,767,149</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97"/>
        </w:trPr>
        <w:tc>
          <w:tcPr>
            <w:tcW w:w="8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market capitalization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7,887,028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6,571,870</w:t>
            </w: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Total debt to market capitalization</w:t>
            </w:r>
          </w:p>
        </w:tc>
        <w:tc>
          <w:tcPr>
            <w:tcW w:w="220" w:type="dxa"/>
            <w:vAlign w:val="bottom"/>
          </w:tcPr>
          <w:p>
            <w:pPr>
              <w:spacing w:after="0"/>
              <w:rPr>
                <w:sz w:val="21"/>
                <w:szCs w:val="21"/>
                <w:color w:val="auto"/>
              </w:rPr>
            </w:pPr>
          </w:p>
        </w:tc>
        <w:tc>
          <w:tcPr>
            <w:tcW w:w="1140" w:type="dxa"/>
            <w:vAlign w:val="bottom"/>
          </w:tcPr>
          <w:p>
            <w:pPr>
              <w:jc w:val="center"/>
              <w:ind w:right="113"/>
              <w:spacing w:after="0"/>
              <w:rPr>
                <w:sz w:val="20"/>
                <w:szCs w:val="20"/>
                <w:color w:val="auto"/>
              </w:rPr>
            </w:pPr>
            <w:r>
              <w:rPr>
                <w:rFonts w:ascii="Arial" w:cs="Arial" w:eastAsia="Arial" w:hAnsi="Arial"/>
                <w:sz w:val="18"/>
                <w:szCs w:val="18"/>
                <w:color w:val="auto"/>
                <w:w w:val="94"/>
              </w:rPr>
              <w:t>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center"/>
              <w:ind w:right="331"/>
              <w:spacing w:after="0"/>
              <w:rPr>
                <w:sz w:val="20"/>
                <w:szCs w:val="20"/>
                <w:color w:val="auto"/>
              </w:rPr>
            </w:pPr>
            <w:r>
              <w:rPr>
                <w:rFonts w:ascii="Arial" w:cs="Arial" w:eastAsia="Arial" w:hAnsi="Arial"/>
                <w:sz w:val="18"/>
                <w:szCs w:val="18"/>
                <w:color w:val="auto"/>
                <w:w w:val="88"/>
              </w:rPr>
              <w:t>27%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Fixed rate debt ratio:</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Fixed rate debt and capital lease obligations (4)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331"/>
              <w:spacing w:after="0"/>
              <w:rPr>
                <w:sz w:val="20"/>
                <w:szCs w:val="20"/>
                <w:color w:val="auto"/>
              </w:rPr>
            </w:pPr>
            <w:r>
              <w:rPr>
                <w:rFonts w:ascii="Arial" w:cs="Arial" w:eastAsia="Arial" w:hAnsi="Arial"/>
                <w:sz w:val="18"/>
                <w:szCs w:val="18"/>
                <w:color w:val="auto"/>
                <w:w w:val="88"/>
              </w:rPr>
              <w:t>95%</w:t>
            </w:r>
          </w:p>
        </w:tc>
      </w:tr>
      <w:tr>
        <w:trPr>
          <w:trHeight w:val="243"/>
        </w:trPr>
        <w:tc>
          <w:tcPr>
            <w:tcW w:w="8580" w:type="dxa"/>
            <w:vAlign w:val="bottom"/>
          </w:tcPr>
          <w:p>
            <w:pPr>
              <w:ind w:left="620"/>
              <w:spacing w:after="0"/>
              <w:rPr>
                <w:sz w:val="20"/>
                <w:szCs w:val="20"/>
                <w:color w:val="auto"/>
              </w:rPr>
            </w:pPr>
            <w:r>
              <w:rPr>
                <w:rFonts w:ascii="Arial" w:cs="Arial" w:eastAsia="Arial" w:hAnsi="Arial"/>
                <w:sz w:val="18"/>
                <w:szCs w:val="18"/>
                <w:color w:val="auto"/>
              </w:rPr>
              <w:t>Variable rate debt</w:t>
            </w:r>
          </w:p>
        </w:tc>
        <w:tc>
          <w:tcPr>
            <w:tcW w:w="220" w:type="dxa"/>
            <w:vAlign w:val="bottom"/>
          </w:tcPr>
          <w:p>
            <w:pPr>
              <w:spacing w:after="0"/>
              <w:rPr>
                <w:sz w:val="21"/>
                <w:szCs w:val="21"/>
                <w:color w:val="auto"/>
              </w:rPr>
            </w:pPr>
          </w:p>
        </w:tc>
        <w:tc>
          <w:tcPr>
            <w:tcW w:w="1140" w:type="dxa"/>
            <w:vAlign w:val="bottom"/>
          </w:tcPr>
          <w:p>
            <w:pPr>
              <w:jc w:val="center"/>
              <w:ind w:right="113"/>
              <w:spacing w:after="0"/>
              <w:rPr>
                <w:sz w:val="20"/>
                <w:szCs w:val="20"/>
                <w:color w:val="auto"/>
              </w:rPr>
            </w:pPr>
            <w:r>
              <w:rPr>
                <w:rFonts w:ascii="Arial" w:cs="Arial" w:eastAsia="Arial" w:hAnsi="Arial"/>
                <w:sz w:val="18"/>
                <w:szCs w:val="18"/>
                <w:color w:val="auto"/>
                <w:w w:val="92"/>
              </w:rPr>
              <w:t>&lt;1%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center"/>
              <w:ind w:right="331"/>
              <w:spacing w:after="0"/>
              <w:rPr>
                <w:sz w:val="20"/>
                <w:szCs w:val="20"/>
                <w:color w:val="auto"/>
              </w:rPr>
            </w:pPr>
            <w:r>
              <w:rPr>
                <w:rFonts w:ascii="Arial" w:cs="Arial" w:eastAsia="Arial" w:hAnsi="Arial"/>
                <w:sz w:val="18"/>
                <w:szCs w:val="18"/>
                <w:color w:val="auto"/>
                <w:w w:val="92"/>
              </w:rPr>
              <w:t>5%</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351"/>
              <w:spacing w:after="0"/>
              <w:rPr>
                <w:sz w:val="20"/>
                <w:szCs w:val="20"/>
                <w:color w:val="auto"/>
              </w:rPr>
            </w:pPr>
            <w:r>
              <w:rPr>
                <w:rFonts w:ascii="Arial" w:cs="Arial" w:eastAsia="Arial" w:hAnsi="Arial"/>
                <w:sz w:val="18"/>
                <w:szCs w:val="18"/>
                <w:color w:val="auto"/>
                <w:w w:val="91"/>
              </w:rPr>
              <w:t>100%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Amounts do not include 360,314 and 362,314 Operating Partnership Units outstanding at December 31, 2011 and 2010,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80" w:hanging="652"/>
        <w:spacing w:after="0" w:line="278"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debt includes capital leases, mortgages payable, notes payable, senior notes and debentures, net of premiums and discounts from our consolidated balance sheet. It does not include $17.2 million and $17.3 million which is the Trust's 30% share of the total mortgages payable of $57.4 million and $57.6 million at December 31, 2011 and 2010, respectively, of the partnership with a discretionary fund created and advised by ING Clarion Partners. It also excludes $8.8 million at December 31, 2010 in mortgage loans on our former Newbury Street Partnership for which we were the lender.</w:t>
      </w:r>
    </w:p>
    <w:p>
      <w:pPr>
        <w:spacing w:after="0" w:line="11" w:lineRule="exact"/>
        <w:rPr>
          <w:rFonts w:ascii="Arial" w:cs="Arial" w:eastAsia="Arial" w:hAnsi="Arial"/>
          <w:sz w:val="15"/>
          <w:szCs w:val="15"/>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60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99,035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96,010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392,657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378,836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21,583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26,264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26,257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106,347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107,008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9,020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8,866</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137,249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132,663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538,701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522,651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Minimum rents include $1.8 million and $1.0 million for the three months ended December 31, 2011 and 2010, respectively, and $5.7 million and $4.6 million for the year ended December 31, 2011 and 2010, respectively, to recognize minimum rents on a straight-line basis. In addition, minimum rents include $0.4 million and $0.3 million for the three months ended December 31, 2011 and 2010, respectively, and $1.4 million and $1.6 million for the year ended December 31, 2011 and 2010, respectively, to recognize income from the amortization of in-place leases.</w:t>
      </w:r>
    </w:p>
    <w:p>
      <w:pPr>
        <w:spacing w:after="0" w:line="25"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Residential minimum rents consist of the rental amounts for residential units at Rollingwood Apartments, the Crest at Congressional Plaza Apartments, Santana Row and Bethesda 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As of December 31, 2011</w:t>
            </w:r>
          </w:p>
        </w:tc>
        <w:tc>
          <w:tcPr>
            <w:tcW w:w="1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Stated maturity date</w:t>
            </w: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w:t>
            </w:r>
          </w:p>
        </w:tc>
        <w:tc>
          <w:tcPr>
            <w:tcW w:w="220" w:type="dxa"/>
            <w:vAlign w:val="bottom"/>
          </w:tcPr>
          <w:p>
            <w:pPr>
              <w:spacing w:after="0"/>
              <w:rPr>
                <w:sz w:val="13"/>
                <w:szCs w:val="13"/>
                <w:color w:val="auto"/>
              </w:rPr>
            </w:pPr>
          </w:p>
        </w:tc>
        <w:tc>
          <w:tcPr>
            <w:tcW w:w="126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Balance</w:t>
            </w:r>
          </w:p>
        </w:tc>
        <w:tc>
          <w:tcPr>
            <w:tcW w:w="1220" w:type="dxa"/>
            <w:vAlign w:val="bottom"/>
          </w:tcPr>
          <w:p>
            <w:pPr>
              <w:spacing w:after="0"/>
              <w:rPr>
                <w:sz w:val="13"/>
                <w:szCs w:val="13"/>
                <w:color w:val="auto"/>
              </w:rPr>
            </w:pPr>
          </w:p>
        </w:tc>
        <w:tc>
          <w:tcPr>
            <w:tcW w:w="13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effective rate (9)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7"/>
              </w:rPr>
              <w:t>(in thousands)</w:t>
            </w:r>
          </w:p>
        </w:tc>
        <w:tc>
          <w:tcPr>
            <w:tcW w:w="12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6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Mortgages Payable (1)</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Courtyard Shops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7/1/2012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7,045</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Bethesda Row</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1/1/2013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19,993</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Bethesda Row</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4,016</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White Marsh Plaza (2)</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4/1/2013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9,284</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Crow Canyon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19,951</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Idylwood Plaza</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16,276</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Leesburg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28,320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Loehmann's Plaza</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36,621</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Pentagon Row</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6/5/2014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52,572</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Melville Mall (3)</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9/1/2014</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22,325</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THE AVENUE at White Marsh</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56,603</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Barracks Road</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38,995</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Hauppauge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Lawrence Park</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27,640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Wildwood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24,295</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Wynnewood</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28,168</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Brick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11/1/2015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28,757</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Plaza El Segundo</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8/5/2017</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Rollingwood Apartments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5/1/2019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23,236</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Shoppers' World</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1/31/2021</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5,444</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Montrose Crossing</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1/10/2022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Mount Vernon (4)</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4/15/2028</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10,554</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Chelsea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1/15/2031</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7,628</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737,423</w:t>
            </w: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Net unamortized premium</w:t>
            </w: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10,100</w:t>
            </w: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747,523</w:t>
            </w:r>
          </w:p>
        </w:tc>
        <w:tc>
          <w:tcPr>
            <w:tcW w:w="2060" w:type="dxa"/>
            <w:vAlign w:val="bottom"/>
            <w:gridSpan w:val="2"/>
          </w:tcPr>
          <w:p>
            <w:pPr>
              <w:jc w:val="right"/>
              <w:ind w:right="88"/>
              <w:spacing w:after="0"/>
              <w:rPr>
                <w:sz w:val="20"/>
                <w:szCs w:val="20"/>
                <w:color w:val="auto"/>
              </w:rPr>
            </w:pPr>
            <w:r>
              <w:rPr>
                <w:rFonts w:ascii="Arial" w:cs="Arial" w:eastAsia="Arial" w:hAnsi="Arial"/>
                <w:sz w:val="16"/>
                <w:szCs w:val="16"/>
                <w:color w:val="auto"/>
              </w:rPr>
              <w:t>6.22%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680" w:type="dxa"/>
            <w:vAlign w:val="bottom"/>
            <w:gridSpan w:val="6"/>
          </w:tcPr>
          <w:p>
            <w:pPr>
              <w:ind w:left="40"/>
              <w:spacing w:after="0"/>
              <w:rPr>
                <w:sz w:val="20"/>
                <w:szCs w:val="20"/>
                <w:color w:val="auto"/>
              </w:rPr>
            </w:pPr>
            <w:r>
              <w:rPr>
                <w:rFonts w:ascii="Arial" w:cs="Arial" w:eastAsia="Arial" w:hAnsi="Arial"/>
                <w:sz w:val="16"/>
                <w:szCs w:val="16"/>
                <w:color w:val="auto"/>
              </w:rPr>
              <w:t>Notes payable</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Various (5)</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Various through 2013</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3.27%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10,759</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Term loan (6)</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11/21/2018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LIBOR + 1.45%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Revolving credit facility (7)</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7/6/2015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LIBOR + 1.15%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Escondido (Municipal bonds) (8)</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10/1/2016</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295,159</w:t>
            </w:r>
          </w:p>
        </w:tc>
        <w:tc>
          <w:tcPr>
            <w:tcW w:w="20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3.28%</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6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Senior notes and debentures</w:t>
            </w: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1820" w:type="dxa"/>
            <w:vAlign w:val="bottom"/>
            <w:tcBorders>
              <w:top w:val="single" w:sz="8" w:color="auto"/>
            </w:tcBorders>
            <w:gridSpan w:val="4"/>
          </w:tcPr>
          <w:p>
            <w:pPr>
              <w:ind w:left="340"/>
              <w:spacing w:after="0"/>
              <w:rPr>
                <w:sz w:val="20"/>
                <w:szCs w:val="20"/>
                <w:color w:val="auto"/>
              </w:rPr>
            </w:pPr>
            <w:r>
              <w:rPr>
                <w:rFonts w:ascii="Arial" w:cs="Arial" w:eastAsia="Arial" w:hAnsi="Arial"/>
                <w:sz w:val="16"/>
                <w:szCs w:val="16"/>
                <w:i w:val="1"/>
                <w:iCs w:val="1"/>
                <w:color w:val="auto"/>
                <w:w w:val="98"/>
              </w:rPr>
              <w:t>Unsecured fixed rate</w:t>
            </w:r>
          </w:p>
        </w:tc>
        <w:tc>
          <w:tcPr>
            <w:tcW w:w="1820" w:type="dxa"/>
            <w:vAlign w:val="bottom"/>
            <w:tcBorders>
              <w:top w:val="single" w:sz="8" w:color="CCEEFF"/>
            </w:tcBorders>
          </w:tcPr>
          <w:p>
            <w:pPr>
              <w:spacing w:after="0"/>
              <w:rPr>
                <w:sz w:val="20"/>
                <w:szCs w:val="20"/>
                <w:color w:val="auto"/>
              </w:rPr>
            </w:pPr>
          </w:p>
        </w:tc>
        <w:tc>
          <w:tcPr>
            <w:tcW w:w="18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tcPr>
          <w:p>
            <w:pPr>
              <w:spacing w:after="0"/>
              <w:rPr>
                <w:sz w:val="20"/>
                <w:szCs w:val="20"/>
                <w:color w:val="auto"/>
              </w:rPr>
            </w:pPr>
          </w:p>
        </w:tc>
        <w:tc>
          <w:tcPr>
            <w:tcW w:w="122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6.00%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7/15/2012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5.40%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12/1/2013</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135,000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5.95%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8/15/2014</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5.65%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6/1/2016</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6.20%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1/15/2017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5.90%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4/1/2020</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7.48% debentures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8/15/2026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6.82% medium term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89"/>
              </w:rPr>
              <w:t>8/1/2027</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40,000</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1,004,200</w:t>
            </w:r>
          </w:p>
        </w:tc>
        <w:tc>
          <w:tcPr>
            <w:tcW w:w="1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40" w:type="dxa"/>
            <w:vAlign w:val="bottom"/>
            <w:gridSpan w:val="5"/>
          </w:tcPr>
          <w:p>
            <w:pPr>
              <w:ind w:left="340"/>
              <w:spacing w:after="0"/>
              <w:rPr>
                <w:sz w:val="20"/>
                <w:szCs w:val="20"/>
                <w:color w:val="auto"/>
              </w:rPr>
            </w:pPr>
            <w:r>
              <w:rPr>
                <w:rFonts w:ascii="Arial" w:cs="Arial" w:eastAsia="Arial" w:hAnsi="Arial"/>
                <w:sz w:val="16"/>
                <w:szCs w:val="16"/>
                <w:color w:val="auto"/>
              </w:rPr>
              <w:t>Net unamortized premium</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1,004,635</w:t>
            </w:r>
          </w:p>
        </w:tc>
        <w:tc>
          <w:tcPr>
            <w:tcW w:w="20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6.04%</w:t>
            </w: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368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CCEEFF"/>
            </w:tcBorders>
          </w:tcPr>
          <w:p>
            <w:pPr>
              <w:spacing w:after="0"/>
              <w:rPr>
                <w:sz w:val="20"/>
                <w:szCs w:val="20"/>
                <w:color w:val="auto"/>
              </w:rPr>
            </w:pPr>
          </w:p>
        </w:tc>
        <w:tc>
          <w:tcPr>
            <w:tcW w:w="1580" w:type="dxa"/>
            <w:vAlign w:val="bottom"/>
            <w:tcBorders>
              <w:top w:val="single" w:sz="8" w:color="auto"/>
            </w:tcBorders>
            <w:gridSpan w:val="3"/>
          </w:tcPr>
          <w:p>
            <w:pPr>
              <w:ind w:left="340"/>
              <w:spacing w:after="0"/>
              <w:rPr>
                <w:sz w:val="20"/>
                <w:szCs w:val="20"/>
                <w:color w:val="auto"/>
              </w:rPr>
            </w:pPr>
            <w:r>
              <w:rPr>
                <w:rFonts w:ascii="Arial" w:cs="Arial" w:eastAsia="Arial" w:hAnsi="Arial"/>
                <w:sz w:val="16"/>
                <w:szCs w:val="16"/>
                <w:color w:val="auto"/>
              </w:rPr>
              <w:t>Various</w:t>
            </w:r>
          </w:p>
        </w:tc>
        <w:tc>
          <w:tcPr>
            <w:tcW w:w="2060" w:type="dxa"/>
            <w:vAlign w:val="bottom"/>
            <w:tcBorders>
              <w:top w:val="single" w:sz="8" w:color="CCEEFF"/>
            </w:tcBorders>
            <w:gridSpan w:val="2"/>
          </w:tcPr>
          <w:p>
            <w:pPr>
              <w:spacing w:after="0"/>
              <w:rPr>
                <w:sz w:val="20"/>
                <w:szCs w:val="20"/>
                <w:color w:val="auto"/>
              </w:rPr>
            </w:pPr>
          </w:p>
        </w:tc>
        <w:tc>
          <w:tcPr>
            <w:tcW w:w="19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1"/>
              </w:rPr>
              <w:t>Various through 2106</w:t>
            </w:r>
          </w:p>
        </w:tc>
        <w:tc>
          <w:tcPr>
            <w:tcW w:w="172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220" w:type="dxa"/>
            <w:vAlign w:val="bottom"/>
            <w:tcBorders>
              <w:top w:val="single" w:sz="8" w:color="CCEEFF"/>
            </w:tcBorders>
          </w:tcPr>
          <w:p>
            <w:pPr>
              <w:spacing w:after="0"/>
              <w:rPr>
                <w:sz w:val="20"/>
                <w:szCs w:val="20"/>
                <w:color w:val="auto"/>
              </w:rPr>
            </w:pPr>
          </w:p>
        </w:tc>
        <w:tc>
          <w:tcPr>
            <w:tcW w:w="126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rPr>
              <w:t>63,093</w:t>
            </w:r>
          </w:p>
        </w:tc>
        <w:tc>
          <w:tcPr>
            <w:tcW w:w="2060" w:type="dxa"/>
            <w:vAlign w:val="bottom"/>
            <w:tcBorders>
              <w:top w:val="single" w:sz="8" w:color="CCEEFF"/>
            </w:tcBorders>
            <w:gridSpan w:val="2"/>
          </w:tcPr>
          <w:p>
            <w:pPr>
              <w:jc w:val="right"/>
              <w:ind w:right="88"/>
              <w:spacing w:after="0"/>
              <w:rPr>
                <w:sz w:val="20"/>
                <w:szCs w:val="20"/>
                <w:color w:val="auto"/>
              </w:rPr>
            </w:pPr>
            <w:r>
              <w:rPr>
                <w:rFonts w:ascii="Arial" w:cs="Arial" w:eastAsia="Arial" w:hAnsi="Arial"/>
                <w:sz w:val="16"/>
                <w:szCs w:val="16"/>
                <w:color w:val="auto"/>
              </w:rPr>
              <w:t>6.86%</w:t>
            </w:r>
          </w:p>
        </w:tc>
        <w:tc>
          <w:tcPr>
            <w:tcW w:w="52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7"/>
        </w:trPr>
        <w:tc>
          <w:tcPr>
            <w:tcW w:w="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747" w:right="239" w:bottom="0" w:gutter="0" w:footer="0" w:header="0"/>
        </w:sectPr>
      </w:pPr>
    </w:p>
    <w:bookmarkStart w:id="15" w:name="page16"/>
    <w:bookmarkEnd w:id="15"/>
    <w:p>
      <w:pPr>
        <w:spacing w:after="0"/>
        <w:tabs>
          <w:tab w:leader="none" w:pos="7340" w:val="left"/>
          <w:tab w:leader="none" w:pos="8040" w:val="left"/>
        </w:tabs>
        <w:rPr>
          <w:sz w:val="20"/>
          <w:szCs w:val="20"/>
          <w:color w:val="auto"/>
        </w:rPr>
      </w:pPr>
      <w:r>
        <w:rPr>
          <w:rFonts w:ascii="Arial" w:cs="Arial" w:eastAsia="Arial" w:hAnsi="Arial"/>
          <w:sz w:val="16"/>
          <w:szCs w:val="16"/>
          <w:color w:val="auto"/>
        </w:rPr>
        <w:t>Total debt and capital lease obligations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2,110,410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-109855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0179"/>
          </w:cols>
          <w:pgMar w:left="280" w:top="1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179"/>
          </w:cols>
          <w:pgMar w:left="280" w:top="130"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6"/>
        </w:trPr>
        <w:tc>
          <w:tcPr>
            <w:tcW w:w="7320" w:type="dxa"/>
            <w:vAlign w:val="bottom"/>
            <w:gridSpan w:val="5"/>
          </w:tcPr>
          <w:p>
            <w:pPr>
              <w:ind w:left="40"/>
              <w:spacing w:after="0"/>
              <w:rPr>
                <w:sz w:val="20"/>
                <w:szCs w:val="20"/>
                <w:color w:val="auto"/>
              </w:rPr>
            </w:pPr>
            <w:r>
              <w:rPr>
                <w:rFonts w:ascii="Arial" w:cs="Arial" w:eastAsia="Arial" w:hAnsi="Arial"/>
                <w:sz w:val="16"/>
                <w:szCs w:val="16"/>
                <w:color w:val="auto"/>
              </w:rPr>
              <w:t>Total fixed rate debt and capital lease obligations</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w w:val="95"/>
              </w:rPr>
              <w:t>2,101,010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60"/>
              <w:spacing w:after="0"/>
              <w:rPr>
                <w:sz w:val="20"/>
                <w:szCs w:val="20"/>
                <w:color w:val="auto"/>
              </w:rPr>
            </w:pPr>
            <w:r>
              <w:rPr>
                <w:rFonts w:ascii="Arial" w:cs="Arial" w:eastAsia="Arial" w:hAnsi="Arial"/>
                <w:sz w:val="16"/>
                <w:szCs w:val="16"/>
                <w:color w:val="auto"/>
              </w:rPr>
              <w:t>5.76%</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Total variable rate debt</w:t>
            </w:r>
          </w:p>
        </w:tc>
        <w:tc>
          <w:tcPr>
            <w:tcW w:w="4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9,400</w:t>
            </w: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rPr>
              <w:t>&lt;1%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1.87%</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(10)</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44"/>
        </w:trPr>
        <w:tc>
          <w:tcPr>
            <w:tcW w:w="7320" w:type="dxa"/>
            <w:vAlign w:val="bottom"/>
            <w:gridSpan w:val="5"/>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4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95"/>
              </w:rPr>
              <w:t>2,110,410</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100%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color w:val="auto"/>
              </w:rPr>
              <w:t>5.75%</w:t>
            </w:r>
          </w:p>
        </w:tc>
        <w:tc>
          <w:tcPr>
            <w:tcW w:w="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(10)</w:t>
            </w:r>
          </w:p>
        </w:tc>
        <w:tc>
          <w:tcPr>
            <w:tcW w:w="60" w:type="dxa"/>
            <w:vAlign w:val="bottom"/>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0"/>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4"/>
          </w:tcPr>
          <w:p>
            <w:pPr>
              <w:ind w:left="18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Year Ended</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6"/>
        </w:trPr>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80" w:type="dxa"/>
            <w:vAlign w:val="bottom"/>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55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Operational Statistics</w:t>
            </w:r>
          </w:p>
        </w:tc>
        <w:tc>
          <w:tcPr>
            <w:tcW w:w="5720" w:type="dxa"/>
            <w:vAlign w:val="bottom"/>
            <w:tcBorders>
              <w:bottom w:val="single" w:sz="8" w:color="CCEEFF"/>
            </w:tcBorders>
            <w:gridSpan w:val="2"/>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20" w:type="dxa"/>
            <w:vAlign w:val="bottom"/>
            <w:gridSpan w:val="3"/>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(11)</w:t>
            </w:r>
          </w:p>
        </w:tc>
        <w:tc>
          <w:tcPr>
            <w:tcW w:w="400" w:type="dxa"/>
            <w:vAlign w:val="bottom"/>
          </w:tcPr>
          <w:p>
            <w:pPr>
              <w:jc w:val="right"/>
              <w:spacing w:after="0"/>
              <w:rPr>
                <w:sz w:val="20"/>
                <w:szCs w:val="20"/>
                <w:color w:val="auto"/>
              </w:rPr>
            </w:pPr>
            <w:r>
              <w:rPr>
                <w:rFonts w:ascii="Arial" w:cs="Arial" w:eastAsia="Arial" w:hAnsi="Arial"/>
                <w:sz w:val="16"/>
                <w:szCs w:val="16"/>
                <w:color w:val="auto"/>
              </w:rPr>
              <w:t>3.17</w:t>
            </w:r>
          </w:p>
        </w:tc>
        <w:tc>
          <w:tcPr>
            <w:tcW w:w="260" w:type="dxa"/>
            <w:vAlign w:val="bottom"/>
          </w:tcPr>
          <w:p>
            <w:pPr>
              <w:ind w:left="120"/>
              <w:spacing w:after="0"/>
              <w:rPr>
                <w:sz w:val="20"/>
                <w:szCs w:val="20"/>
                <w:color w:val="auto"/>
              </w:rPr>
            </w:pPr>
            <w:r>
              <w:rPr>
                <w:rFonts w:ascii="Arial" w:cs="Arial" w:eastAsia="Arial" w:hAnsi="Arial"/>
                <w:sz w:val="16"/>
                <w:szCs w:val="16"/>
                <w:color w:val="auto"/>
              </w:rPr>
              <w:t>x</w:t>
            </w:r>
          </w:p>
        </w:tc>
        <w:tc>
          <w:tcPr>
            <w:tcW w:w="800" w:type="dxa"/>
            <w:vAlign w:val="bottom"/>
          </w:tcPr>
          <w:p>
            <w:pPr>
              <w:jc w:val="right"/>
              <w:spacing w:after="0"/>
              <w:rPr>
                <w:sz w:val="20"/>
                <w:szCs w:val="20"/>
                <w:color w:val="auto"/>
              </w:rPr>
            </w:pPr>
            <w:r>
              <w:rPr>
                <w:rFonts w:ascii="Arial" w:cs="Arial" w:eastAsia="Arial" w:hAnsi="Arial"/>
                <w:sz w:val="16"/>
                <w:szCs w:val="16"/>
                <w:color w:val="auto"/>
              </w:rPr>
              <w:t>3.33</w:t>
            </w:r>
          </w:p>
        </w:tc>
        <w:tc>
          <w:tcPr>
            <w:tcW w:w="6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x</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3.48</w:t>
            </w:r>
          </w:p>
        </w:tc>
        <w:tc>
          <w:tcPr>
            <w:tcW w:w="2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x</w:t>
            </w:r>
          </w:p>
        </w:tc>
        <w:tc>
          <w:tcPr>
            <w:tcW w:w="760" w:type="dxa"/>
            <w:vAlign w:val="bottom"/>
          </w:tcPr>
          <w:p>
            <w:pPr>
              <w:jc w:val="right"/>
              <w:spacing w:after="0"/>
              <w:rPr>
                <w:sz w:val="20"/>
                <w:szCs w:val="20"/>
                <w:color w:val="auto"/>
              </w:rPr>
            </w:pPr>
            <w:r>
              <w:rPr>
                <w:rFonts w:ascii="Arial" w:cs="Arial" w:eastAsia="Arial" w:hAnsi="Arial"/>
                <w:sz w:val="16"/>
                <w:szCs w:val="16"/>
                <w:color w:val="auto"/>
              </w:rPr>
              <w:t>3.13</w:t>
            </w:r>
          </w:p>
        </w:tc>
        <w:tc>
          <w:tcPr>
            <w:tcW w:w="6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x</w:t>
            </w:r>
          </w:p>
        </w:tc>
      </w:tr>
      <w:tr>
        <w:trPr>
          <w:trHeight w:val="33"/>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12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(11)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x</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x</w:t>
            </w:r>
          </w:p>
        </w:tc>
        <w:tc>
          <w:tcPr>
            <w:tcW w:w="60" w:type="dxa"/>
            <w:vAlign w:val="bottom"/>
          </w:tcPr>
          <w:p>
            <w:pPr>
              <w:spacing w:after="0"/>
              <w:rPr>
                <w:sz w:val="20"/>
                <w:szCs w:val="20"/>
                <w:color w:val="auto"/>
              </w:rPr>
            </w:pPr>
          </w:p>
        </w:tc>
      </w:tr>
      <w:tr>
        <w:trPr>
          <w:trHeight w:val="33"/>
        </w:trPr>
        <w:tc>
          <w:tcPr>
            <w:tcW w:w="80" w:type="dxa"/>
            <w:vAlign w:val="bottom"/>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Mortgages payable do not include our 30% share ($17.2 million) of the $57.4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12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interest rate of 6.04% represents the weighted average interest rate for two mortgage loans secured by this property. The loan balance represents an interest only loan of $4.4 million at a stated rate of 6.18% and the remaining balance at a stated rate of 5.96%.</w:t>
      </w:r>
    </w:p>
    <w:p>
      <w:pPr>
        <w:spacing w:after="0" w:line="11" w:lineRule="exact"/>
        <w:rPr>
          <w:rFonts w:ascii="Arial" w:cs="Arial" w:eastAsia="Arial" w:hAnsi="Arial"/>
          <w:sz w:val="14"/>
          <w:szCs w:val="14"/>
          <w:color w:val="auto"/>
        </w:rPr>
      </w:pPr>
    </w:p>
    <w:p>
      <w:pPr>
        <w:ind w:left="660" w:right="28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interest rate is fixed at 5.66% for the first ten years and then will be reset to a market rate in 2013. The lender has the option to call the loan on April 15, 2013 or any time thereafter.</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interest rate of 3.27% represents the weighted average interest rate for three unsecured fixed rate notes payable. These notes mature between April 1, 2012 and January 31, 2013.</w:t>
      </w:r>
    </w:p>
    <w:p>
      <w:pPr>
        <w:spacing w:after="0" w:line="66" w:lineRule="exact"/>
        <w:rPr>
          <w:rFonts w:ascii="Arial" w:cs="Arial" w:eastAsia="Arial" w:hAnsi="Arial"/>
          <w:sz w:val="13"/>
          <w:szCs w:val="13"/>
          <w:color w:val="auto"/>
        </w:rPr>
      </w:pPr>
    </w:p>
    <w:p>
      <w:pPr>
        <w:ind w:left="660" w:right="8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from December 1, 2011 through November 1, 2018. The swap agreements effectively fix the rate on the term loan at 3.17% and thus, the loan is included in fixed rate debt.</w:t>
      </w:r>
    </w:p>
    <w:p>
      <w:pPr>
        <w:spacing w:after="0" w:line="11" w:lineRule="exact"/>
        <w:rPr>
          <w:rFonts w:ascii="Arial" w:cs="Arial" w:eastAsia="Arial" w:hAnsi="Arial"/>
          <w:sz w:val="14"/>
          <w:szCs w:val="14"/>
          <w:color w:val="auto"/>
        </w:rPr>
      </w:pPr>
    </w:p>
    <w:p>
      <w:pPr>
        <w:ind w:left="660" w:right="22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was $227.0 million and $265.0 million during the three months and year ended December 31, 2011, respectively . The weighted average effective interest rate on borrowings under our revolving credit facility, before amortization of debt fees, was 1.37% and 0.96% for the three months and year ended December 31, 2011, respectively.</w:t>
      </w:r>
    </w:p>
    <w:p>
      <w:pPr>
        <w:spacing w:after="0" w:line="23"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10.</w:t>
      </w:r>
    </w:p>
    <w:p>
      <w:pPr>
        <w:spacing w:after="0" w:line="55" w:lineRule="exact"/>
        <w:rPr>
          <w:rFonts w:ascii="Arial" w:cs="Arial" w:eastAsia="Arial" w:hAnsi="Arial"/>
          <w:sz w:val="14"/>
          <w:szCs w:val="14"/>
          <w:color w:val="auto"/>
        </w:rPr>
      </w:pPr>
    </w:p>
    <w:p>
      <w:pPr>
        <w:jc w:val="both"/>
        <w:ind w:left="660" w:right="80" w:hanging="652"/>
        <w:spacing w:after="0" w:line="257"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balance on December 31, 2011. In addition, the weighted average effective interest rate is calculated using the fixed rate on our term loan of 3.17% as the result of the interest rate swap agreements discussed in Note 6. The term loan is included in fixed rate debt.</w:t>
      </w:r>
    </w:p>
    <w:p>
      <w:pPr>
        <w:spacing w:after="0" w:line="23" w:lineRule="exact"/>
        <w:rPr>
          <w:rFonts w:ascii="Arial" w:cs="Arial" w:eastAsia="Arial" w:hAnsi="Arial"/>
          <w:sz w:val="14"/>
          <w:szCs w:val="14"/>
          <w:color w:val="auto"/>
        </w:rPr>
      </w:pPr>
    </w:p>
    <w:p>
      <w:pPr>
        <w:ind w:left="660" w:right="60" w:hanging="652"/>
        <w:spacing w:after="0" w:line="249"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Fixed charges for the year ended December 31, 2011 include $0.3 million of income from early extinguishment of debt due to the write-off of the unamortized debt premium net of a 3% prepayment premium and unamortized debt fees related to the payoff of our mortgage loan on Tower Shops prior to its contractual prepayment date. Fixed charges for the year ended December 31, 2010 include $2.8 million of early extinguishment of debt expense due to the write-off of unamortized debt fees related to the $250 million payoff of the term loan prior to its maturity date. Adjusted EBITDA is reconciled to net income in the Glossary of Terms.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4"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2012</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13,774</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191,916</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205,690</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2013</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13,282</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196,893</w:t>
            </w:r>
          </w:p>
        </w:tc>
        <w:tc>
          <w:tcPr>
            <w:tcW w:w="340" w:type="dxa"/>
            <w:vAlign w:val="bottom"/>
          </w:tcPr>
          <w:p>
            <w:pPr>
              <w:jc w:val="right"/>
              <w:ind w:right="62"/>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210,175</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19.8%</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11,715</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297,864</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309,579</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8,412</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198,391</w:t>
            </w:r>
          </w:p>
        </w:tc>
        <w:tc>
          <w:tcPr>
            <w:tcW w:w="340" w:type="dxa"/>
            <w:vAlign w:val="bottom"/>
          </w:tcPr>
          <w:p>
            <w:pPr>
              <w:jc w:val="right"/>
              <w:ind w:right="62"/>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206,803</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44.4%</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4,523</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134,400</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138,923</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4,801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375,000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379,801</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69.1%</w:t>
            </w: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5,084</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280,084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5,040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25,200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83.6%</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5,158</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155,158</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91.0%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5,199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8,824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91.4%</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46,819</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132,819</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179,638</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123,807</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1,976,068</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2,099,875</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42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the repayment of the outstanding mortgage payable balance on Mount Vernon. The lender has the option to call the loan on April 15, 2013 or any time thereafter.</w:t>
      </w:r>
    </w:p>
    <w:p>
      <w:pPr>
        <w:spacing w:after="0" w:line="10" w:lineRule="exact"/>
        <w:rPr>
          <w:rFonts w:ascii="Arial" w:cs="Arial" w:eastAsia="Arial" w:hAnsi="Arial"/>
          <w:sz w:val="16"/>
          <w:szCs w:val="16"/>
          <w:color w:val="auto"/>
        </w:rPr>
      </w:pPr>
    </w:p>
    <w:p>
      <w:pPr>
        <w:ind w:left="660" w:right="6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July 7, 2011, we replaced our existing revolving credit facility with a new $400.0 million unsecured revolving credit facility that matures on July 6, 2015, subject to a one-year extension at our option. As of December 31, 2011, there was $0 drawn under this credit facility.</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December 31, 2011.</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weighted average rate excludes </w:t>
      </w:r>
      <w:r>
        <w:rPr>
          <w:rFonts w:ascii="Arial" w:cs="Arial" w:eastAsia="Arial" w:hAnsi="Arial"/>
          <w:sz w:val="14"/>
          <w:szCs w:val="14"/>
          <w:color w:val="auto"/>
        </w:rPr>
        <w:t>$0.5 million</w:t>
      </w:r>
      <w:r>
        <w:rPr>
          <w:rFonts w:ascii="Arial" w:cs="Arial" w:eastAsia="Arial" w:hAnsi="Arial"/>
          <w:sz w:val="16"/>
          <w:szCs w:val="16"/>
          <w:color w:val="auto"/>
        </w:rPr>
        <w:t xml:space="preserve">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Development and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2011</w:t>
      </w:r>
    </w:p>
    <w:p>
      <w:pPr>
        <w:spacing w:after="0" w:line="248" w:lineRule="exact"/>
        <w:rPr>
          <w:sz w:val="20"/>
          <w:szCs w:val="20"/>
          <w:color w:val="auto"/>
        </w:rPr>
      </w:pPr>
    </w:p>
    <w:p>
      <w:pPr>
        <w:ind w:left="40" w:right="1120"/>
        <w:spacing w:after="0" w:line="293" w:lineRule="auto"/>
        <w:rPr>
          <w:sz w:val="20"/>
          <w:szCs w:val="20"/>
          <w:color w:val="auto"/>
        </w:rPr>
      </w:pPr>
      <w:r>
        <w:rPr>
          <w:rFonts w:ascii="Arial" w:cs="Arial" w:eastAsia="Arial" w:hAnsi="Arial"/>
          <w:sz w:val="16"/>
          <w:szCs w:val="16"/>
          <w:b w:val="1"/>
          <w:bCs w:val="1"/>
          <w:color w:val="auto"/>
        </w:rPr>
        <w:t>The following development and redevelopment opportunities have received or will shortly receive all necessary approvals to proceed and are actively being worked on by the Trust (1) ($ millions)</w:t>
      </w:r>
    </w:p>
    <w:tbl>
      <w:tblPr>
        <w:tblLayout w:type="fixed"/>
        <w:tblInd w:w="0" w:type="dxa"/>
        <w:tblCellMar>
          <w:top w:w="0" w:type="dxa"/>
          <w:left w:w="0" w:type="dxa"/>
          <w:bottom w:w="0" w:type="dxa"/>
          <w:right w:w="0" w:type="dxa"/>
        </w:tblCellMar>
      </w:tblPr>
      <w:tr>
        <w:trPr>
          <w:trHeight w:val="150"/>
        </w:trPr>
        <w:tc>
          <w:tcPr>
            <w:tcW w:w="1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Projected</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Cost to</w:t>
            </w:r>
          </w:p>
        </w:tc>
        <w:tc>
          <w:tcPr>
            <w:tcW w:w="100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Property</w:t>
            </w:r>
          </w:p>
        </w:tc>
        <w:tc>
          <w:tcPr>
            <w:tcW w:w="12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Location</w:t>
            </w:r>
          </w:p>
        </w:tc>
        <w:tc>
          <w:tcPr>
            <w:tcW w:w="336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Opportunity</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Redevelopment/Development</w:t>
            </w:r>
          </w:p>
        </w:tc>
        <w:tc>
          <w:tcPr>
            <w:tcW w:w="8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Stabilization</w:t>
            </w:r>
          </w:p>
        </w:tc>
        <w:tc>
          <w:tcPr>
            <w:tcW w:w="0" w:type="dxa"/>
            <w:vAlign w:val="bottom"/>
          </w:tcPr>
          <w:p>
            <w:pPr>
              <w:spacing w:after="0"/>
              <w:rPr>
                <w:sz w:val="1"/>
                <w:szCs w:val="1"/>
                <w:color w:val="auto"/>
              </w:rPr>
            </w:pPr>
          </w:p>
        </w:tc>
      </w:tr>
      <w:tr>
        <w:trPr>
          <w:trHeight w:val="192"/>
        </w:trPr>
        <w:tc>
          <w:tcPr>
            <w:tcW w:w="15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ROI (2)</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Cost (2)</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264"/>
        </w:trPr>
        <w:tc>
          <w:tcPr>
            <w:tcW w:w="2860" w:type="dxa"/>
            <w:vAlign w:val="bottom"/>
            <w:gridSpan w:val="2"/>
          </w:tcPr>
          <w:p>
            <w:pPr>
              <w:ind w:left="40"/>
              <w:spacing w:after="0"/>
              <w:rPr>
                <w:sz w:val="20"/>
                <w:szCs w:val="20"/>
                <w:color w:val="auto"/>
              </w:rPr>
            </w:pPr>
            <w:r>
              <w:rPr>
                <w:rFonts w:ascii="Arial" w:cs="Arial" w:eastAsia="Arial" w:hAnsi="Arial"/>
                <w:sz w:val="14"/>
                <w:szCs w:val="14"/>
                <w:b w:val="1"/>
                <w:bCs w:val="1"/>
                <w:color w:val="auto"/>
              </w:rPr>
              <w:t>Projects Stabilized in 2011 (4)</w:t>
            </w:r>
          </w:p>
        </w:tc>
        <w:tc>
          <w:tcPr>
            <w:tcW w:w="33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w:t>
            </w: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San Jose, CA</w:t>
            </w:r>
          </w:p>
        </w:tc>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Five-story building with 15,000 square feet of ground</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level retail and 65,000 square feet of office space</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Crossroads</w:t>
            </w:r>
          </w:p>
        </w:tc>
        <w:tc>
          <w:tcPr>
            <w:tcW w:w="1280" w:type="dxa"/>
            <w:vAlign w:val="bottom"/>
          </w:tcPr>
          <w:p>
            <w:pPr>
              <w:ind w:left="120"/>
              <w:spacing w:after="0" w:line="157" w:lineRule="exact"/>
              <w:rPr>
                <w:sz w:val="20"/>
                <w:szCs w:val="20"/>
                <w:color w:val="auto"/>
              </w:rPr>
            </w:pPr>
            <w:r>
              <w:rPr>
                <w:rFonts w:ascii="Arial" w:cs="Arial" w:eastAsia="Arial" w:hAnsi="Arial"/>
                <w:sz w:val="14"/>
                <w:szCs w:val="14"/>
                <w:color w:val="auto"/>
              </w:rPr>
              <w:t>Highland Park, IL</w:t>
            </w:r>
          </w:p>
        </w:tc>
        <w:tc>
          <w:tcPr>
            <w:tcW w:w="3360" w:type="dxa"/>
            <w:vAlign w:val="bottom"/>
          </w:tcPr>
          <w:p>
            <w:pPr>
              <w:ind w:left="40"/>
              <w:spacing w:after="0" w:line="157" w:lineRule="exact"/>
              <w:rPr>
                <w:sz w:val="20"/>
                <w:szCs w:val="20"/>
                <w:color w:val="auto"/>
              </w:rPr>
            </w:pPr>
            <w:r>
              <w:rPr>
                <w:rFonts w:ascii="Arial" w:cs="Arial" w:eastAsia="Arial" w:hAnsi="Arial"/>
                <w:sz w:val="14"/>
                <w:szCs w:val="14"/>
                <w:color w:val="auto"/>
              </w:rPr>
              <w:t>Combine four spaces in preparation for new fitness</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R</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11%</w:t>
            </w:r>
          </w:p>
        </w:tc>
        <w:tc>
          <w:tcPr>
            <w:tcW w:w="8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w w:val="93"/>
              </w:rPr>
              <w:t>operator, replacing vacant anchor and small shop space.</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w:t>
            </w: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Brick, NJ</w:t>
            </w:r>
          </w:p>
        </w:tc>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Redevelopment and expansion of existing pad site</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220" w:type="dxa"/>
            <w:vAlign w:val="bottom"/>
            <w:gridSpan w:val="3"/>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220" w:type="dxa"/>
            <w:vAlign w:val="bottom"/>
            <w:gridSpan w:val="3"/>
          </w:tcPr>
          <w:p>
            <w:pPr>
              <w:ind w:left="740"/>
              <w:spacing w:after="0"/>
              <w:rPr>
                <w:sz w:val="20"/>
                <w:szCs w:val="20"/>
                <w:color w:val="auto"/>
              </w:rPr>
            </w:pPr>
            <w:r>
              <w:rPr>
                <w:rFonts w:ascii="Arial" w:cs="Arial" w:eastAsia="Arial" w:hAnsi="Arial"/>
                <w:sz w:val="14"/>
                <w:szCs w:val="14"/>
                <w:b w:val="1"/>
                <w:bCs w:val="1"/>
                <w:color w:val="auto"/>
              </w:rPr>
              <w:t>Subtotal: Projects Stabilized in 2011 (4)</w:t>
            </w:r>
          </w:p>
        </w:tc>
        <w:tc>
          <w:tcPr>
            <w:tcW w:w="186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Active projects which are expected to stabilize in 2012 and beyond</w:t>
            </w:r>
          </w:p>
        </w:tc>
        <w:tc>
          <w:tcPr>
            <w:tcW w:w="1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220" w:type="dxa"/>
            <w:vAlign w:val="bottom"/>
            <w:gridSpan w:val="3"/>
            <w:vMerge w:val="continue"/>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Shops at Willow Lawn</w:t>
            </w: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Richmond, VA</w:t>
            </w:r>
          </w:p>
        </w:tc>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Demo interior mall, relocate mall tenants, construct new</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exterior GLA, new pad buildings, and gas station</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Westgate Mall</w:t>
            </w:r>
          </w:p>
        </w:tc>
        <w:tc>
          <w:tcPr>
            <w:tcW w:w="1280" w:type="dxa"/>
            <w:vAlign w:val="bottom"/>
          </w:tcPr>
          <w:p>
            <w:pPr>
              <w:ind w:left="120"/>
              <w:spacing w:after="0" w:line="157" w:lineRule="exact"/>
              <w:rPr>
                <w:sz w:val="20"/>
                <w:szCs w:val="20"/>
                <w:color w:val="auto"/>
              </w:rPr>
            </w:pPr>
            <w:r>
              <w:rPr>
                <w:rFonts w:ascii="Arial" w:cs="Arial" w:eastAsia="Arial" w:hAnsi="Arial"/>
                <w:sz w:val="14"/>
                <w:szCs w:val="14"/>
                <w:color w:val="auto"/>
              </w:rPr>
              <w:t>San Jose, CA</w:t>
            </w:r>
          </w:p>
        </w:tc>
        <w:tc>
          <w:tcPr>
            <w:tcW w:w="3360" w:type="dxa"/>
            <w:vAlign w:val="bottom"/>
          </w:tcPr>
          <w:p>
            <w:pPr>
              <w:ind w:left="40"/>
              <w:spacing w:after="0" w:line="157" w:lineRule="exact"/>
              <w:rPr>
                <w:sz w:val="20"/>
                <w:szCs w:val="20"/>
                <w:color w:val="auto"/>
              </w:rPr>
            </w:pPr>
            <w:r>
              <w:rPr>
                <w:rFonts w:ascii="Arial" w:cs="Arial" w:eastAsia="Arial" w:hAnsi="Arial"/>
                <w:sz w:val="14"/>
                <w:szCs w:val="14"/>
                <w:color w:val="auto"/>
                <w:w w:val="95"/>
              </w:rPr>
              <w:t>Façade and interior mall renovation and addition of food</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R</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8%</w:t>
            </w:r>
          </w:p>
        </w:tc>
        <w:tc>
          <w:tcPr>
            <w:tcW w:w="8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2014/2015</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court</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 Cynwyd</w:t>
            </w: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Bala Cynwyd, PA</w:t>
            </w:r>
          </w:p>
        </w:tc>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Construction of two retail pad buildings</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80"/>
        </w:trPr>
        <w:tc>
          <w:tcPr>
            <w:tcW w:w="15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336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Shoppers World</w:t>
            </w:r>
          </w:p>
        </w:tc>
        <w:tc>
          <w:tcPr>
            <w:tcW w:w="1280" w:type="dxa"/>
            <w:vAlign w:val="bottom"/>
          </w:tcPr>
          <w:p>
            <w:pPr>
              <w:ind w:left="120"/>
              <w:spacing w:after="0" w:line="157" w:lineRule="exact"/>
              <w:rPr>
                <w:sz w:val="20"/>
                <w:szCs w:val="20"/>
                <w:color w:val="auto"/>
              </w:rPr>
            </w:pPr>
            <w:r>
              <w:rPr>
                <w:rFonts w:ascii="Arial" w:cs="Arial" w:eastAsia="Arial" w:hAnsi="Arial"/>
                <w:sz w:val="14"/>
                <w:szCs w:val="14"/>
                <w:color w:val="auto"/>
                <w:w w:val="99"/>
              </w:rPr>
              <w:t>Charlottesville, VA</w:t>
            </w:r>
          </w:p>
        </w:tc>
        <w:tc>
          <w:tcPr>
            <w:tcW w:w="3360" w:type="dxa"/>
            <w:vAlign w:val="bottom"/>
          </w:tcPr>
          <w:p>
            <w:pPr>
              <w:ind w:left="40"/>
              <w:spacing w:after="0" w:line="157" w:lineRule="exact"/>
              <w:rPr>
                <w:sz w:val="20"/>
                <w:szCs w:val="20"/>
                <w:color w:val="auto"/>
              </w:rPr>
            </w:pPr>
            <w:r>
              <w:rPr>
                <w:rFonts w:ascii="Arial" w:cs="Arial" w:eastAsia="Arial" w:hAnsi="Arial"/>
                <w:sz w:val="14"/>
                <w:szCs w:val="14"/>
                <w:color w:val="auto"/>
              </w:rPr>
              <w:t>Renovate canopy and reconfigure anchor spaces to</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R</w:t>
            </w:r>
          </w:p>
        </w:tc>
        <w:tc>
          <w:tcPr>
            <w:tcW w:w="860" w:type="dxa"/>
            <w:vAlign w:val="bottom"/>
          </w:tcPr>
          <w:p>
            <w:pPr>
              <w:jc w:val="right"/>
              <w:ind w:right="8"/>
              <w:spacing w:after="0" w:line="157" w:lineRule="exact"/>
              <w:rPr>
                <w:sz w:val="20"/>
                <w:szCs w:val="20"/>
                <w:color w:val="auto"/>
              </w:rPr>
            </w:pPr>
            <w:r>
              <w:rPr>
                <w:rFonts w:ascii="Arial" w:cs="Arial" w:eastAsia="Arial" w:hAnsi="Arial"/>
                <w:sz w:val="14"/>
                <w:szCs w:val="14"/>
                <w:color w:val="auto"/>
              </w:rPr>
              <w:t>10%</w:t>
            </w:r>
          </w:p>
        </w:tc>
        <w:tc>
          <w:tcPr>
            <w:tcW w:w="8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$0</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accommodate new tenants</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Fresh Meadows</w:t>
            </w: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Queens, NY</w:t>
            </w:r>
          </w:p>
        </w:tc>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2nd floor office space for new sporting</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R</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goods retailer.</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Mixed Use Projects</w:t>
            </w:r>
          </w:p>
        </w:tc>
        <w:tc>
          <w:tcPr>
            <w:tcW w:w="1280" w:type="dxa"/>
            <w:vAlign w:val="bottom"/>
            <w:shd w:val="clear" w:color="auto" w:fill="CCEEFF"/>
          </w:tcPr>
          <w:p>
            <w:pPr>
              <w:spacing w:after="0"/>
              <w:rPr>
                <w:sz w:val="23"/>
                <w:szCs w:val="23"/>
                <w:color w:val="auto"/>
              </w:rPr>
            </w:pPr>
          </w:p>
        </w:tc>
        <w:tc>
          <w:tcPr>
            <w:tcW w:w="33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28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Pike &amp; Rose (Mid-Pike) (5) Rockville, MD</w:t>
            </w:r>
          </w:p>
        </w:tc>
        <w:tc>
          <w:tcPr>
            <w:tcW w:w="3360" w:type="dxa"/>
            <w:vAlign w:val="bottom"/>
          </w:tcPr>
          <w:p>
            <w:pPr>
              <w:ind w:left="40"/>
              <w:spacing w:after="0" w:line="157" w:lineRule="exact"/>
              <w:rPr>
                <w:sz w:val="20"/>
                <w:szCs w:val="20"/>
                <w:color w:val="auto"/>
              </w:rPr>
            </w:pPr>
            <w:r>
              <w:rPr>
                <w:rFonts w:ascii="Arial" w:cs="Arial" w:eastAsia="Arial" w:hAnsi="Arial"/>
                <w:sz w:val="14"/>
                <w:szCs w:val="14"/>
                <w:color w:val="auto"/>
              </w:rPr>
              <w:t>Ground up mixed use development on site of existing</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D</w:t>
            </w:r>
          </w:p>
        </w:tc>
        <w:tc>
          <w:tcPr>
            <w:tcW w:w="86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8% - 9%</w:t>
            </w:r>
          </w:p>
        </w:tc>
        <w:tc>
          <w:tcPr>
            <w:tcW w:w="8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$245 -</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$11</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2015/2016</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60" w:type="dxa"/>
            <w:vAlign w:val="bottom"/>
          </w:tcPr>
          <w:p>
            <w:pPr>
              <w:ind w:left="40"/>
              <w:spacing w:after="0" w:line="149" w:lineRule="exact"/>
              <w:rPr>
                <w:sz w:val="20"/>
                <w:szCs w:val="20"/>
                <w:color w:val="auto"/>
              </w:rPr>
            </w:pPr>
            <w:r>
              <w:rPr>
                <w:rFonts w:ascii="Arial" w:cs="Arial" w:eastAsia="Arial" w:hAnsi="Arial"/>
                <w:sz w:val="14"/>
                <w:szCs w:val="14"/>
                <w:color w:val="auto"/>
              </w:rPr>
              <w:t>Mid-Pike Shopping Center. Phase I of development</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$255</w:t>
            </w: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60" w:type="dxa"/>
            <w:vAlign w:val="bottom"/>
          </w:tcPr>
          <w:p>
            <w:pPr>
              <w:ind w:left="40"/>
              <w:spacing w:after="0" w:line="149" w:lineRule="exact"/>
              <w:rPr>
                <w:sz w:val="20"/>
                <w:szCs w:val="20"/>
                <w:color w:val="auto"/>
              </w:rPr>
            </w:pPr>
            <w:r>
              <w:rPr>
                <w:rFonts w:ascii="Arial" w:cs="Arial" w:eastAsia="Arial" w:hAnsi="Arial"/>
                <w:sz w:val="14"/>
                <w:szCs w:val="14"/>
                <w:color w:val="auto"/>
              </w:rPr>
              <w:t>involves demolition of roughly 25% of existing GLA,</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60" w:type="dxa"/>
            <w:vAlign w:val="bottom"/>
          </w:tcPr>
          <w:p>
            <w:pPr>
              <w:ind w:left="40"/>
              <w:spacing w:after="0" w:line="149" w:lineRule="exact"/>
              <w:rPr>
                <w:sz w:val="20"/>
                <w:szCs w:val="20"/>
                <w:color w:val="auto"/>
              </w:rPr>
            </w:pPr>
            <w:r>
              <w:rPr>
                <w:rFonts w:ascii="Arial" w:cs="Arial" w:eastAsia="Arial" w:hAnsi="Arial"/>
                <w:sz w:val="14"/>
                <w:szCs w:val="14"/>
                <w:color w:val="auto"/>
                <w:w w:val="93"/>
              </w:rPr>
              <w:t>and construction of 493 residential units, 151,000 square</w:t>
            </w:r>
          </w:p>
        </w:tc>
        <w:tc>
          <w:tcPr>
            <w:tcW w:w="1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feet of retail, and 79,000 square feet of office space.</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Assembly Row - Phase I</w:t>
            </w: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Somerville, MA</w:t>
            </w:r>
          </w:p>
        </w:tc>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Ground up mixed use development. Initial phase consists</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 - 7%</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$145 -</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(5)</w:t>
            </w:r>
          </w:p>
        </w:tc>
        <w:tc>
          <w:tcPr>
            <w:tcW w:w="1280" w:type="dxa"/>
            <w:vAlign w:val="bottom"/>
            <w:shd w:val="clear" w:color="auto" w:fill="CCEEFF"/>
          </w:tcPr>
          <w:p>
            <w:pPr>
              <w:spacing w:after="0"/>
              <w:rPr>
                <w:sz w:val="12"/>
                <w:szCs w:val="12"/>
                <w:color w:val="auto"/>
              </w:rPr>
            </w:pPr>
          </w:p>
        </w:tc>
        <w:tc>
          <w:tcPr>
            <w:tcW w:w="3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of 575 residential units (by AvalonBay) and 323,000</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$160</w:t>
            </w: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3"/>
              </w:rPr>
              <w:t>square feet of retail space (including restaurant pad site).</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33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A new Orange Line T-Stop will also be constructed by</w:t>
            </w:r>
          </w:p>
        </w:tc>
        <w:tc>
          <w:tcPr>
            <w:tcW w:w="18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Massachusetts Bay Transit Authority, as part of Phase I.</w:t>
            </w:r>
          </w:p>
        </w:tc>
        <w:tc>
          <w:tcPr>
            <w:tcW w:w="1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Santana Row - Lot 8B</w:t>
            </w:r>
          </w:p>
        </w:tc>
        <w:tc>
          <w:tcPr>
            <w:tcW w:w="1280" w:type="dxa"/>
            <w:vAlign w:val="bottom"/>
          </w:tcPr>
          <w:p>
            <w:pPr>
              <w:ind w:left="120"/>
              <w:spacing w:after="0" w:line="157" w:lineRule="exact"/>
              <w:rPr>
                <w:sz w:val="20"/>
                <w:szCs w:val="20"/>
                <w:color w:val="auto"/>
              </w:rPr>
            </w:pPr>
            <w:r>
              <w:rPr>
                <w:rFonts w:ascii="Arial" w:cs="Arial" w:eastAsia="Arial" w:hAnsi="Arial"/>
                <w:sz w:val="14"/>
                <w:szCs w:val="14"/>
                <w:color w:val="auto"/>
              </w:rPr>
              <w:t>San Jose, CA</w:t>
            </w:r>
          </w:p>
        </w:tc>
        <w:tc>
          <w:tcPr>
            <w:tcW w:w="3360" w:type="dxa"/>
            <w:vAlign w:val="bottom"/>
          </w:tcPr>
          <w:p>
            <w:pPr>
              <w:ind w:left="40"/>
              <w:spacing w:after="0" w:line="157" w:lineRule="exact"/>
              <w:rPr>
                <w:sz w:val="20"/>
                <w:szCs w:val="20"/>
                <w:color w:val="auto"/>
              </w:rPr>
            </w:pPr>
            <w:r>
              <w:rPr>
                <w:rFonts w:ascii="Arial" w:cs="Arial" w:eastAsia="Arial" w:hAnsi="Arial"/>
                <w:sz w:val="14"/>
                <w:szCs w:val="14"/>
                <w:color w:val="auto"/>
              </w:rPr>
              <w:t>Ground up development of a 5-story rental apartment</w:t>
            </w:r>
          </w:p>
        </w:tc>
        <w:tc>
          <w:tcPr>
            <w:tcW w:w="1860" w:type="dxa"/>
            <w:vAlign w:val="bottom"/>
          </w:tcPr>
          <w:p>
            <w:pPr>
              <w:jc w:val="center"/>
              <w:spacing w:after="0" w:line="157" w:lineRule="exact"/>
              <w:rPr>
                <w:sz w:val="20"/>
                <w:szCs w:val="20"/>
                <w:color w:val="auto"/>
              </w:rPr>
            </w:pPr>
            <w:r>
              <w:rPr>
                <w:rFonts w:ascii="Arial" w:cs="Arial" w:eastAsia="Arial" w:hAnsi="Arial"/>
                <w:sz w:val="14"/>
                <w:szCs w:val="14"/>
                <w:color w:val="auto"/>
                <w:w w:val="98"/>
              </w:rPr>
              <w:t>D</w:t>
            </w:r>
          </w:p>
        </w:tc>
        <w:tc>
          <w:tcPr>
            <w:tcW w:w="86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6.5% -</w:t>
            </w:r>
          </w:p>
        </w:tc>
        <w:tc>
          <w:tcPr>
            <w:tcW w:w="8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$68 - $73</w:t>
            </w:r>
          </w:p>
        </w:tc>
        <w:tc>
          <w:tcPr>
            <w:tcW w:w="64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360" w:type="dxa"/>
            <w:vAlign w:val="bottom"/>
          </w:tcPr>
          <w:p>
            <w:pPr>
              <w:ind w:left="40"/>
              <w:spacing w:after="0" w:line="149" w:lineRule="exact"/>
              <w:rPr>
                <w:sz w:val="20"/>
                <w:szCs w:val="20"/>
                <w:color w:val="auto"/>
              </w:rPr>
            </w:pPr>
            <w:r>
              <w:rPr>
                <w:rFonts w:ascii="Arial" w:cs="Arial" w:eastAsia="Arial" w:hAnsi="Arial"/>
                <w:sz w:val="14"/>
                <w:szCs w:val="14"/>
                <w:color w:val="auto"/>
              </w:rPr>
              <w:t>building, which will include 212 residential units and</w:t>
            </w:r>
          </w:p>
        </w:tc>
        <w:tc>
          <w:tcPr>
            <w:tcW w:w="1860" w:type="dxa"/>
            <w:vAlign w:val="bottom"/>
          </w:tcPr>
          <w:p>
            <w:pPr>
              <w:spacing w:after="0"/>
              <w:rPr>
                <w:sz w:val="12"/>
                <w:szCs w:val="12"/>
                <w:color w:val="auto"/>
              </w:rPr>
            </w:pPr>
          </w:p>
        </w:tc>
        <w:tc>
          <w:tcPr>
            <w:tcW w:w="8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7.5%</w:t>
            </w: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360" w:type="dxa"/>
            <w:vAlign w:val="bottom"/>
          </w:tcPr>
          <w:p>
            <w:pPr>
              <w:ind w:left="40"/>
              <w:spacing w:after="0"/>
              <w:rPr>
                <w:sz w:val="20"/>
                <w:szCs w:val="20"/>
                <w:color w:val="auto"/>
              </w:rPr>
            </w:pPr>
            <w:r>
              <w:rPr>
                <w:rFonts w:ascii="Arial" w:cs="Arial" w:eastAsia="Arial" w:hAnsi="Arial"/>
                <w:sz w:val="14"/>
                <w:szCs w:val="14"/>
                <w:color w:val="auto"/>
              </w:rPr>
              <w:t>associated parking.</w:t>
            </w:r>
          </w:p>
        </w:tc>
        <w:tc>
          <w:tcPr>
            <w:tcW w:w="1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 - Lot 6B</w:t>
            </w:r>
          </w:p>
        </w:tc>
        <w:tc>
          <w:tcPr>
            <w:tcW w:w="1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San Jose, CA</w:t>
            </w:r>
          </w:p>
        </w:tc>
        <w:tc>
          <w:tcPr>
            <w:tcW w:w="3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108 unit residential building</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D</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80"/>
        </w:trPr>
        <w:tc>
          <w:tcPr>
            <w:tcW w:w="6220" w:type="dxa"/>
            <w:vAlign w:val="bottom"/>
            <w:gridSpan w:val="3"/>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8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2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Active Projects Anticipated to Stabilize in 2012 and beyond (4)</w:t>
            </w:r>
          </w:p>
        </w:tc>
        <w:tc>
          <w:tcPr>
            <w:tcW w:w="1860" w:type="dxa"/>
            <w:vAlign w:val="bottom"/>
          </w:tcPr>
          <w:p>
            <w:pPr>
              <w:spacing w:after="0"/>
              <w:rPr>
                <w:sz w:val="22"/>
                <w:szCs w:val="22"/>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 - 8%</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$534 - $564</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$81</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right="60" w:hanging="652"/>
        <w:spacing w:after="0" w:line="26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20" w:hanging="652"/>
        <w:spacing w:after="0" w:line="260"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incremental capital,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development projects reflects the deal specific cash, unleveraged Property Operating Income (POI) generated by the development and is calculated as POI divided by cost. Projected ROI for development and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future phases.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6" w:right="239" w:bottom="1440" w:gutter="0" w:footer="0" w:header="0"/>
        </w:sectPr>
      </w:pPr>
    </w:p>
    <w:bookmarkStart w:id="19" w:name="page20"/>
    <w:bookmarkEnd w:id="19"/>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Future Development Opportunities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2011</w:t>
      </w:r>
    </w:p>
    <w:p>
      <w:pPr>
        <w:spacing w:after="0" w:line="374" w:lineRule="exact"/>
        <w:rPr>
          <w:sz w:val="20"/>
          <w:szCs w:val="20"/>
          <w:color w:val="auto"/>
        </w:rPr>
      </w:pPr>
    </w:p>
    <w:p>
      <w:pPr>
        <w:ind w:left="2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20" w:right="9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Brick Plaza</w:t>
            </w:r>
          </w:p>
        </w:tc>
        <w:tc>
          <w:tcPr>
            <w:tcW w:w="21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Brick Township, NJ</w:t>
            </w:r>
          </w:p>
        </w:tc>
        <w:tc>
          <w:tcPr>
            <w:tcW w:w="1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Melville Mall</w:t>
            </w:r>
          </w:p>
        </w:tc>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Huntington, NY</w:t>
            </w:r>
          </w:p>
        </w:tc>
      </w:tr>
      <w:tr>
        <w:trPr>
          <w:trHeight w:val="237"/>
        </w:trPr>
        <w:tc>
          <w:tcPr>
            <w:tcW w:w="1800" w:type="dxa"/>
            <w:vAlign w:val="bottom"/>
          </w:tcPr>
          <w:p>
            <w:pPr>
              <w:ind w:left="500"/>
              <w:spacing w:after="0"/>
              <w:rPr>
                <w:sz w:val="20"/>
                <w:szCs w:val="20"/>
                <w:color w:val="auto"/>
              </w:rPr>
            </w:pPr>
            <w:r>
              <w:rPr>
                <w:rFonts w:ascii="Arial" w:cs="Arial" w:eastAsia="Arial" w:hAnsi="Arial"/>
                <w:sz w:val="16"/>
                <w:szCs w:val="16"/>
                <w:b w:val="1"/>
                <w:bCs w:val="1"/>
                <w:color w:val="auto"/>
              </w:rPr>
              <w:t>Dedham Plaza</w:t>
            </w:r>
          </w:p>
        </w:tc>
        <w:tc>
          <w:tcPr>
            <w:tcW w:w="2100" w:type="dxa"/>
            <w:vAlign w:val="bottom"/>
          </w:tcPr>
          <w:p>
            <w:pPr>
              <w:ind w:left="300"/>
              <w:spacing w:after="0"/>
              <w:rPr>
                <w:sz w:val="20"/>
                <w:szCs w:val="20"/>
                <w:color w:val="auto"/>
              </w:rPr>
            </w:pPr>
            <w:r>
              <w:rPr>
                <w:rFonts w:ascii="Arial" w:cs="Arial" w:eastAsia="Arial" w:hAnsi="Arial"/>
                <w:sz w:val="16"/>
                <w:szCs w:val="16"/>
                <w:color w:val="auto"/>
              </w:rPr>
              <w:t>Dedham, MA</w:t>
            </w:r>
          </w:p>
        </w:tc>
        <w:tc>
          <w:tcPr>
            <w:tcW w:w="1900" w:type="dxa"/>
            <w:vAlign w:val="bottom"/>
          </w:tcPr>
          <w:p>
            <w:pPr>
              <w:ind w:left="480"/>
              <w:spacing w:after="0"/>
              <w:rPr>
                <w:sz w:val="20"/>
                <w:szCs w:val="20"/>
                <w:color w:val="auto"/>
              </w:rPr>
            </w:pPr>
            <w:r>
              <w:rPr>
                <w:rFonts w:ascii="Arial" w:cs="Arial" w:eastAsia="Arial" w:hAnsi="Arial"/>
                <w:sz w:val="16"/>
                <w:szCs w:val="16"/>
                <w:b w:val="1"/>
                <w:bCs w:val="1"/>
                <w:color w:val="auto"/>
              </w:rPr>
              <w:t>Mercer Mall</w:t>
            </w:r>
          </w:p>
        </w:tc>
        <w:tc>
          <w:tcPr>
            <w:tcW w:w="5580" w:type="dxa"/>
            <w:vAlign w:val="bottom"/>
          </w:tcPr>
          <w:p>
            <w:pPr>
              <w:ind w:left="500"/>
              <w:spacing w:after="0"/>
              <w:rPr>
                <w:sz w:val="20"/>
                <w:szCs w:val="20"/>
                <w:color w:val="auto"/>
              </w:rPr>
            </w:pPr>
            <w:r>
              <w:rPr>
                <w:rFonts w:ascii="Arial" w:cs="Arial" w:eastAsia="Arial" w:hAnsi="Arial"/>
                <w:sz w:val="16"/>
                <w:szCs w:val="16"/>
                <w:color w:val="auto"/>
              </w:rPr>
              <w:t>Lawrenceville, NJ</w:t>
            </w:r>
          </w:p>
        </w:tc>
      </w:tr>
      <w:tr>
        <w:trPr>
          <w:trHeight w:val="33"/>
        </w:trPr>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50"/>
        </w:trPr>
        <w:tc>
          <w:tcPr>
            <w:tcW w:w="1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Escondido</w:t>
            </w:r>
          </w:p>
        </w:tc>
        <w:tc>
          <w:tcPr>
            <w:tcW w:w="21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Escondido, CA</w:t>
            </w:r>
          </w:p>
        </w:tc>
        <w:tc>
          <w:tcPr>
            <w:tcW w:w="1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Troy</w:t>
            </w:r>
          </w:p>
        </w:tc>
        <w:tc>
          <w:tcPr>
            <w:tcW w:w="5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Parsippany-Troy, NJ</w:t>
            </w:r>
          </w:p>
        </w:tc>
      </w:tr>
      <w:tr>
        <w:trPr>
          <w:trHeight w:val="237"/>
        </w:trPr>
        <w:tc>
          <w:tcPr>
            <w:tcW w:w="1800" w:type="dxa"/>
            <w:vAlign w:val="bottom"/>
          </w:tcPr>
          <w:p>
            <w:pPr>
              <w:ind w:left="500"/>
              <w:spacing w:after="0"/>
              <w:rPr>
                <w:sz w:val="20"/>
                <w:szCs w:val="20"/>
                <w:color w:val="auto"/>
              </w:rPr>
            </w:pPr>
            <w:r>
              <w:rPr>
                <w:rFonts w:ascii="Arial" w:cs="Arial" w:eastAsia="Arial" w:hAnsi="Arial"/>
                <w:sz w:val="16"/>
                <w:szCs w:val="16"/>
                <w:b w:val="1"/>
                <w:bCs w:val="1"/>
                <w:color w:val="auto"/>
              </w:rPr>
              <w:t>Federal Plaza</w:t>
            </w:r>
          </w:p>
        </w:tc>
        <w:tc>
          <w:tcPr>
            <w:tcW w:w="2100" w:type="dxa"/>
            <w:vAlign w:val="bottom"/>
          </w:tcPr>
          <w:p>
            <w:pPr>
              <w:ind w:left="300"/>
              <w:spacing w:after="0"/>
              <w:rPr>
                <w:sz w:val="20"/>
                <w:szCs w:val="20"/>
                <w:color w:val="auto"/>
              </w:rPr>
            </w:pPr>
            <w:r>
              <w:rPr>
                <w:rFonts w:ascii="Arial" w:cs="Arial" w:eastAsia="Arial" w:hAnsi="Arial"/>
                <w:sz w:val="16"/>
                <w:szCs w:val="16"/>
                <w:color w:val="auto"/>
              </w:rPr>
              <w:t>Rockville, MD</w:t>
            </w:r>
          </w:p>
        </w:tc>
        <w:tc>
          <w:tcPr>
            <w:tcW w:w="1900" w:type="dxa"/>
            <w:vAlign w:val="bottom"/>
          </w:tcPr>
          <w:p>
            <w:pPr>
              <w:ind w:left="480"/>
              <w:spacing w:after="0"/>
              <w:rPr>
                <w:sz w:val="20"/>
                <w:szCs w:val="20"/>
                <w:color w:val="auto"/>
              </w:rPr>
            </w:pPr>
            <w:r>
              <w:rPr>
                <w:rFonts w:ascii="Arial" w:cs="Arial" w:eastAsia="Arial" w:hAnsi="Arial"/>
                <w:sz w:val="16"/>
                <w:szCs w:val="16"/>
                <w:b w:val="1"/>
                <w:bCs w:val="1"/>
                <w:color w:val="auto"/>
              </w:rPr>
              <w:t>Wildwood</w:t>
            </w:r>
          </w:p>
        </w:tc>
        <w:tc>
          <w:tcPr>
            <w:tcW w:w="5580" w:type="dxa"/>
            <w:vAlign w:val="bottom"/>
          </w:tcPr>
          <w:p>
            <w:pPr>
              <w:ind w:left="500"/>
              <w:spacing w:after="0"/>
              <w:rPr>
                <w:sz w:val="20"/>
                <w:szCs w:val="20"/>
                <w:color w:val="auto"/>
              </w:rPr>
            </w:pPr>
            <w:r>
              <w:rPr>
                <w:rFonts w:ascii="Arial" w:cs="Arial" w:eastAsia="Arial" w:hAnsi="Arial"/>
                <w:sz w:val="16"/>
                <w:szCs w:val="16"/>
                <w:color w:val="auto"/>
              </w:rPr>
              <w:t>Bethesda, MD</w:t>
            </w:r>
          </w:p>
        </w:tc>
      </w:tr>
      <w:tr>
        <w:trPr>
          <w:trHeight w:val="33"/>
        </w:trPr>
        <w:tc>
          <w:tcPr>
            <w:tcW w:w="18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580" w:type="dxa"/>
            <w:vAlign w:val="bottom"/>
          </w:tcPr>
          <w:p>
            <w:pPr>
              <w:spacing w:after="0"/>
              <w:rPr>
                <w:sz w:val="2"/>
                <w:szCs w:val="2"/>
                <w:color w:val="auto"/>
              </w:rPr>
            </w:pPr>
          </w:p>
        </w:tc>
      </w:tr>
      <w:tr>
        <w:trPr>
          <w:trHeight w:val="237"/>
        </w:trPr>
        <w:tc>
          <w:tcPr>
            <w:tcW w:w="180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Flourtown</w:t>
            </w:r>
          </w:p>
        </w:tc>
        <w:tc>
          <w:tcPr>
            <w:tcW w:w="21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Flourtown, PA</w:t>
            </w:r>
          </w:p>
        </w:tc>
        <w:tc>
          <w:tcPr>
            <w:tcW w:w="1900" w:type="dxa"/>
            <w:vAlign w:val="bottom"/>
            <w:shd w:val="clear" w:color="auto" w:fill="CCEEFF"/>
          </w:tcPr>
          <w:p>
            <w:pPr>
              <w:spacing w:after="0"/>
              <w:rPr>
                <w:sz w:val="20"/>
                <w:szCs w:val="20"/>
                <w:color w:val="auto"/>
              </w:rPr>
            </w:pPr>
          </w:p>
        </w:tc>
        <w:tc>
          <w:tcPr>
            <w:tcW w:w="5580" w:type="dxa"/>
            <w:vAlign w:val="bottom"/>
            <w:shd w:val="clear" w:color="auto" w:fill="CCEEFF"/>
          </w:tcPr>
          <w:p>
            <w:pPr>
              <w:spacing w:after="0"/>
              <w:rPr>
                <w:sz w:val="20"/>
                <w:szCs w:val="20"/>
                <w:color w:val="auto"/>
              </w:rPr>
            </w:pPr>
          </w:p>
        </w:tc>
      </w:tr>
      <w:tr>
        <w:trPr>
          <w:trHeight w:val="33"/>
        </w:trPr>
        <w:tc>
          <w:tcPr>
            <w:tcW w:w="18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7229475"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291465"/>
                    </a:xfrm>
                    <a:prstGeom prst="rect">
                      <a:avLst/>
                    </a:prstGeom>
                    <a:noFill/>
                  </pic:spPr>
                </pic:pic>
              </a:graphicData>
            </a:graphic>
          </wp:anchor>
        </w:drawing>
      </w:r>
    </w:p>
    <w:p>
      <w:pPr>
        <w:spacing w:after="0" w:line="290" w:lineRule="exact"/>
        <w:rPr>
          <w:sz w:val="20"/>
          <w:szCs w:val="20"/>
          <w:color w:val="auto"/>
        </w:rPr>
      </w:pPr>
    </w:p>
    <w:p>
      <w:pPr>
        <w:ind w:left="20" w:right="50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ind w:left="500"/>
              <w:spacing w:after="0"/>
              <w:rPr>
                <w:sz w:val="20"/>
                <w:szCs w:val="20"/>
                <w:color w:val="auto"/>
              </w:rPr>
            </w:pPr>
            <w:r>
              <w:rPr>
                <w:rFonts w:ascii="Arial" w:cs="Arial" w:eastAsia="Arial" w:hAnsi="Arial"/>
                <w:sz w:val="16"/>
                <w:szCs w:val="16"/>
                <w:b w:val="1"/>
                <w:bCs w:val="1"/>
                <w:color w:val="auto"/>
              </w:rPr>
              <w:t>Fresh Meadows</w:t>
            </w:r>
          </w:p>
        </w:tc>
        <w:tc>
          <w:tcPr>
            <w:tcW w:w="1800" w:type="dxa"/>
            <w:vAlign w:val="bottom"/>
          </w:tcPr>
          <w:p>
            <w:pPr>
              <w:ind w:left="140"/>
              <w:spacing w:after="0"/>
              <w:rPr>
                <w:sz w:val="20"/>
                <w:szCs w:val="20"/>
                <w:color w:val="auto"/>
              </w:rPr>
            </w:pPr>
            <w:r>
              <w:rPr>
                <w:rFonts w:ascii="Arial" w:cs="Arial" w:eastAsia="Arial" w:hAnsi="Arial"/>
                <w:sz w:val="16"/>
                <w:szCs w:val="16"/>
                <w:color w:val="auto"/>
              </w:rPr>
              <w:t>Queens, NY</w:t>
            </w:r>
          </w:p>
        </w:tc>
        <w:tc>
          <w:tcPr>
            <w:tcW w:w="2440" w:type="dxa"/>
            <w:vAlign w:val="bottom"/>
          </w:tcPr>
          <w:p>
            <w:pPr>
              <w:ind w:left="620"/>
              <w:spacing w:after="0"/>
              <w:rPr>
                <w:sz w:val="20"/>
                <w:szCs w:val="20"/>
                <w:color w:val="auto"/>
              </w:rPr>
            </w:pPr>
            <w:r>
              <w:rPr>
                <w:rFonts w:ascii="Arial" w:cs="Arial" w:eastAsia="Arial" w:hAnsi="Arial"/>
                <w:sz w:val="16"/>
                <w:szCs w:val="16"/>
                <w:b w:val="1"/>
                <w:bCs w:val="1"/>
                <w:color w:val="auto"/>
                <w:w w:val="96"/>
              </w:rPr>
              <w:t>Plaza El Segundo (Land)</w:t>
            </w:r>
          </w:p>
        </w:tc>
        <w:tc>
          <w:tcPr>
            <w:tcW w:w="5180" w:type="dxa"/>
            <w:vAlign w:val="bottom"/>
          </w:tcPr>
          <w:p>
            <w:pPr>
              <w:ind w:left="100"/>
              <w:spacing w:after="0"/>
              <w:rPr>
                <w:sz w:val="20"/>
                <w:szCs w:val="20"/>
                <w:color w:val="auto"/>
              </w:rPr>
            </w:pPr>
            <w:r>
              <w:rPr>
                <w:rFonts w:ascii="Arial" w:cs="Arial" w:eastAsia="Arial" w:hAnsi="Arial"/>
                <w:sz w:val="16"/>
                <w:szCs w:val="16"/>
                <w:color w:val="auto"/>
              </w:rPr>
              <w:t>El Segundo, CA</w:t>
            </w:r>
          </w:p>
        </w:tc>
      </w:tr>
      <w:tr>
        <w:trPr>
          <w:trHeight w:val="33"/>
        </w:trPr>
        <w:tc>
          <w:tcPr>
            <w:tcW w:w="1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Hollywood Blvd</w:t>
            </w:r>
          </w:p>
        </w:tc>
        <w:tc>
          <w:tcPr>
            <w:tcW w:w="1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Hollywood, CA</w:t>
            </w:r>
          </w:p>
        </w:tc>
        <w:tc>
          <w:tcPr>
            <w:tcW w:w="2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w w:val="99"/>
              </w:rPr>
              <w:t>Third Street Promenade</w:t>
            </w:r>
          </w:p>
        </w:tc>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Santa Monica, CA</w:t>
            </w:r>
          </w:p>
        </w:tc>
      </w:tr>
      <w:tr>
        <w:trPr>
          <w:trHeight w:val="237"/>
        </w:trPr>
        <w:tc>
          <w:tcPr>
            <w:tcW w:w="1960" w:type="dxa"/>
            <w:vAlign w:val="bottom"/>
          </w:tcPr>
          <w:p>
            <w:pPr>
              <w:ind w:left="500"/>
              <w:spacing w:after="0"/>
              <w:rPr>
                <w:sz w:val="20"/>
                <w:szCs w:val="20"/>
                <w:color w:val="auto"/>
              </w:rPr>
            </w:pPr>
            <w:r>
              <w:rPr>
                <w:rFonts w:ascii="Arial" w:cs="Arial" w:eastAsia="Arial" w:hAnsi="Arial"/>
                <w:sz w:val="16"/>
                <w:szCs w:val="16"/>
                <w:b w:val="1"/>
                <w:bCs w:val="1"/>
                <w:color w:val="auto"/>
                <w:w w:val="98"/>
              </w:rPr>
              <w:t>Montrose Crossing</w:t>
            </w:r>
          </w:p>
        </w:tc>
        <w:tc>
          <w:tcPr>
            <w:tcW w:w="1800" w:type="dxa"/>
            <w:vAlign w:val="bottom"/>
          </w:tcPr>
          <w:p>
            <w:pPr>
              <w:ind w:left="140"/>
              <w:spacing w:after="0"/>
              <w:rPr>
                <w:sz w:val="20"/>
                <w:szCs w:val="20"/>
                <w:color w:val="auto"/>
              </w:rPr>
            </w:pPr>
            <w:r>
              <w:rPr>
                <w:rFonts w:ascii="Arial" w:cs="Arial" w:eastAsia="Arial" w:hAnsi="Arial"/>
                <w:sz w:val="16"/>
                <w:szCs w:val="16"/>
                <w:color w:val="auto"/>
              </w:rPr>
              <w:t>Rockville, MD</w:t>
            </w:r>
          </w:p>
        </w:tc>
        <w:tc>
          <w:tcPr>
            <w:tcW w:w="2440" w:type="dxa"/>
            <w:vAlign w:val="bottom"/>
          </w:tcPr>
          <w:p>
            <w:pPr>
              <w:ind w:left="620"/>
              <w:spacing w:after="0"/>
              <w:rPr>
                <w:sz w:val="20"/>
                <w:szCs w:val="20"/>
                <w:color w:val="auto"/>
              </w:rPr>
            </w:pPr>
            <w:r>
              <w:rPr>
                <w:rFonts w:ascii="Arial" w:cs="Arial" w:eastAsia="Arial" w:hAnsi="Arial"/>
                <w:sz w:val="16"/>
                <w:szCs w:val="16"/>
                <w:b w:val="1"/>
                <w:bCs w:val="1"/>
                <w:color w:val="auto"/>
              </w:rPr>
              <w:t>Tower Shops</w:t>
            </w:r>
          </w:p>
        </w:tc>
        <w:tc>
          <w:tcPr>
            <w:tcW w:w="5180" w:type="dxa"/>
            <w:vAlign w:val="bottom"/>
          </w:tcPr>
          <w:p>
            <w:pPr>
              <w:ind w:left="100"/>
              <w:spacing w:after="0"/>
              <w:rPr>
                <w:sz w:val="20"/>
                <w:szCs w:val="20"/>
                <w:color w:val="auto"/>
              </w:rPr>
            </w:pPr>
            <w:r>
              <w:rPr>
                <w:rFonts w:ascii="Arial" w:cs="Arial" w:eastAsia="Arial" w:hAnsi="Arial"/>
                <w:sz w:val="16"/>
                <w:szCs w:val="16"/>
                <w:color w:val="auto"/>
              </w:rPr>
              <w:t>Davie, FL</w:t>
            </w:r>
          </w:p>
        </w:tc>
      </w:tr>
      <w:tr>
        <w:trPr>
          <w:trHeight w:val="33"/>
        </w:trPr>
        <w:tc>
          <w:tcPr>
            <w:tcW w:w="1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37"/>
        </w:trPr>
        <w:tc>
          <w:tcPr>
            <w:tcW w:w="196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Pentagon Row</w:t>
            </w:r>
          </w:p>
        </w:tc>
        <w:tc>
          <w:tcPr>
            <w:tcW w:w="1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Arlington, VA</w:t>
            </w:r>
          </w:p>
        </w:tc>
        <w:tc>
          <w:tcPr>
            <w:tcW w:w="244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Wildwood</w:t>
            </w:r>
          </w:p>
        </w:tc>
        <w:tc>
          <w:tcPr>
            <w:tcW w:w="5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Bethesda, MD</w:t>
            </w:r>
          </w:p>
        </w:tc>
      </w:tr>
      <w:tr>
        <w:trPr>
          <w:trHeight w:val="33"/>
        </w:trPr>
        <w:tc>
          <w:tcPr>
            <w:tcW w:w="19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51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7229475"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6"/>
                <w:szCs w:val="16"/>
                <w:b w:val="1"/>
                <w:bCs w:val="1"/>
                <w:color w:val="auto"/>
              </w:rPr>
              <w:t>Barracks Road</w:t>
            </w:r>
          </w:p>
        </w:tc>
        <w:tc>
          <w:tcPr>
            <w:tcW w:w="1920" w:type="dxa"/>
            <w:vAlign w:val="bottom"/>
          </w:tcPr>
          <w:p>
            <w:pPr>
              <w:ind w:left="160"/>
              <w:spacing w:after="0"/>
              <w:rPr>
                <w:sz w:val="20"/>
                <w:szCs w:val="20"/>
                <w:color w:val="auto"/>
              </w:rPr>
            </w:pPr>
            <w:r>
              <w:rPr>
                <w:rFonts w:ascii="Arial" w:cs="Arial" w:eastAsia="Arial" w:hAnsi="Arial"/>
                <w:sz w:val="16"/>
                <w:szCs w:val="16"/>
                <w:color w:val="auto"/>
              </w:rPr>
              <w:t>Charlottesville, VA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Village of Shirlington</w:t>
            </w:r>
          </w:p>
        </w:tc>
        <w:tc>
          <w:tcPr>
            <w:tcW w:w="5220" w:type="dxa"/>
            <w:vAlign w:val="bottom"/>
          </w:tcPr>
          <w:p>
            <w:pPr>
              <w:ind w:left="140"/>
              <w:spacing w:after="0"/>
              <w:rPr>
                <w:sz w:val="20"/>
                <w:szCs w:val="20"/>
                <w:color w:val="auto"/>
              </w:rPr>
            </w:pPr>
            <w:r>
              <w:rPr>
                <w:rFonts w:ascii="Arial" w:cs="Arial" w:eastAsia="Arial" w:hAnsi="Arial"/>
                <w:sz w:val="16"/>
                <w:szCs w:val="16"/>
                <w:color w:val="auto"/>
              </w:rPr>
              <w:t>Arlington, VA</w:t>
            </w:r>
          </w:p>
        </w:tc>
      </w:tr>
      <w:tr>
        <w:trPr>
          <w:trHeight w:val="33"/>
        </w:trPr>
        <w:tc>
          <w:tcPr>
            <w:tcW w:w="3860" w:type="dxa"/>
            <w:vAlign w:val="bottom"/>
            <w:gridSpan w:val="3"/>
          </w:tcPr>
          <w:p>
            <w:pPr>
              <w:spacing w:after="0"/>
              <w:rPr>
                <w:sz w:val="2"/>
                <w:szCs w:val="2"/>
                <w:color w:val="auto"/>
              </w:rPr>
            </w:pPr>
          </w:p>
        </w:tc>
        <w:tc>
          <w:tcPr>
            <w:tcW w:w="23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97"/>
        </w:trPr>
        <w:tc>
          <w:tcPr>
            <w:tcW w:w="3860" w:type="dxa"/>
            <w:vAlign w:val="bottom"/>
            <w:gridSpan w:val="3"/>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5220" w:type="dxa"/>
            <w:vAlign w:val="bottom"/>
            <w:shd w:val="clear" w:color="auto" w:fill="CCEEFF"/>
          </w:tcPr>
          <w:p>
            <w:pPr>
              <w:spacing w:after="0"/>
              <w:rPr>
                <w:sz w:val="24"/>
                <w:szCs w:val="24"/>
                <w:color w:val="auto"/>
              </w:rPr>
            </w:pPr>
          </w:p>
        </w:tc>
      </w:tr>
      <w:tr>
        <w:trPr>
          <w:trHeight w:val="224"/>
        </w:trPr>
        <w:tc>
          <w:tcPr>
            <w:tcW w:w="3860" w:type="dxa"/>
            <w:vAlign w:val="bottom"/>
            <w:gridSpan w:val="3"/>
          </w:tcPr>
          <w:p>
            <w:pPr>
              <w:ind w:left="20"/>
              <w:spacing w:after="0"/>
              <w:rPr>
                <w:sz w:val="20"/>
                <w:szCs w:val="20"/>
                <w:color w:val="auto"/>
              </w:rPr>
            </w:pPr>
            <w:r>
              <w:rPr>
                <w:rFonts w:ascii="Arial" w:cs="Arial" w:eastAsia="Arial" w:hAnsi="Arial"/>
                <w:sz w:val="16"/>
                <w:szCs w:val="16"/>
                <w:b w:val="1"/>
                <w:bCs w:val="1"/>
                <w:color w:val="auto"/>
              </w:rPr>
              <w:t>Longer Term Mixed-Use Opportunities</w:t>
            </w:r>
          </w:p>
        </w:tc>
        <w:tc>
          <w:tcPr>
            <w:tcW w:w="2300" w:type="dxa"/>
            <w:vAlign w:val="bottom"/>
          </w:tcPr>
          <w:p>
            <w:pPr>
              <w:spacing w:after="0"/>
              <w:rPr>
                <w:sz w:val="19"/>
                <w:szCs w:val="19"/>
                <w:color w:val="auto"/>
              </w:rPr>
            </w:pPr>
          </w:p>
        </w:tc>
        <w:tc>
          <w:tcPr>
            <w:tcW w:w="5220" w:type="dxa"/>
            <w:vAlign w:val="bottom"/>
          </w:tcPr>
          <w:p>
            <w:pPr>
              <w:spacing w:after="0"/>
              <w:rPr>
                <w:sz w:val="19"/>
                <w:szCs w:val="19"/>
                <w:color w:val="auto"/>
              </w:rPr>
            </w:pPr>
          </w:p>
        </w:tc>
      </w:tr>
      <w:tr>
        <w:trPr>
          <w:trHeight w:val="33"/>
        </w:trPr>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Assembly Row (1)</w:t>
            </w:r>
          </w:p>
        </w:tc>
        <w:tc>
          <w:tcPr>
            <w:tcW w:w="1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Somerville, MA</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Pike 7 Plaza</w:t>
            </w: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Vienna, VA</w:t>
            </w:r>
          </w:p>
        </w:tc>
      </w:tr>
      <w:tr>
        <w:trPr>
          <w:trHeight w:val="216"/>
        </w:trPr>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Pike &amp; Rose (Mid-Pike)</w:t>
            </w:r>
          </w:p>
        </w:tc>
        <w:tc>
          <w:tcPr>
            <w:tcW w:w="5220" w:type="dxa"/>
            <w:vAlign w:val="bottom"/>
          </w:tcPr>
          <w:p>
            <w:pPr>
              <w:spacing w:after="0"/>
              <w:rPr>
                <w:sz w:val="18"/>
                <w:szCs w:val="18"/>
                <w:color w:val="auto"/>
              </w:rPr>
            </w:pPr>
          </w:p>
        </w:tc>
      </w:tr>
      <w:tr>
        <w:trPr>
          <w:trHeight w:val="210"/>
        </w:trPr>
        <w:tc>
          <w:tcPr>
            <w:tcW w:w="46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Arial" w:cs="Arial" w:eastAsia="Arial" w:hAnsi="Arial"/>
                <w:sz w:val="16"/>
                <w:szCs w:val="16"/>
                <w:b w:val="1"/>
                <w:bCs w:val="1"/>
                <w:color w:val="auto"/>
              </w:rPr>
              <w:t>Bala Cynwyd</w:t>
            </w:r>
          </w:p>
        </w:tc>
        <w:tc>
          <w:tcPr>
            <w:tcW w:w="1920" w:type="dxa"/>
            <w:vAlign w:val="bottom"/>
          </w:tcPr>
          <w:p>
            <w:pPr>
              <w:ind w:left="160"/>
              <w:spacing w:after="0"/>
              <w:rPr>
                <w:sz w:val="20"/>
                <w:szCs w:val="20"/>
                <w:color w:val="auto"/>
              </w:rPr>
            </w:pPr>
            <w:r>
              <w:rPr>
                <w:rFonts w:ascii="Arial" w:cs="Arial" w:eastAsia="Arial" w:hAnsi="Arial"/>
                <w:sz w:val="16"/>
                <w:szCs w:val="16"/>
                <w:color w:val="auto"/>
              </w:rPr>
              <w:t>Bala Cynwyd, PA</w:t>
            </w:r>
          </w:p>
        </w:tc>
        <w:tc>
          <w:tcPr>
            <w:tcW w:w="2300" w:type="dxa"/>
            <w:vAlign w:val="bottom"/>
          </w:tcPr>
          <w:p>
            <w:pPr>
              <w:ind w:left="520"/>
              <w:spacing w:after="0"/>
              <w:rPr>
                <w:sz w:val="20"/>
                <w:szCs w:val="20"/>
                <w:color w:val="auto"/>
              </w:rPr>
            </w:pPr>
            <w:r>
              <w:rPr>
                <w:rFonts w:ascii="Arial" w:cs="Arial" w:eastAsia="Arial" w:hAnsi="Arial"/>
                <w:sz w:val="16"/>
                <w:szCs w:val="16"/>
                <w:b w:val="1"/>
                <w:bCs w:val="1"/>
                <w:color w:val="auto"/>
              </w:rPr>
              <w:t>(2)</w:t>
            </w:r>
          </w:p>
        </w:tc>
        <w:tc>
          <w:tcPr>
            <w:tcW w:w="5220" w:type="dxa"/>
            <w:vAlign w:val="bottom"/>
          </w:tcPr>
          <w:p>
            <w:pPr>
              <w:ind w:left="140"/>
              <w:spacing w:after="0"/>
              <w:rPr>
                <w:sz w:val="20"/>
                <w:szCs w:val="20"/>
                <w:color w:val="auto"/>
              </w:rPr>
            </w:pPr>
            <w:r>
              <w:rPr>
                <w:rFonts w:ascii="Arial" w:cs="Arial" w:eastAsia="Arial" w:hAnsi="Arial"/>
                <w:sz w:val="16"/>
                <w:szCs w:val="16"/>
                <w:color w:val="auto"/>
              </w:rPr>
              <w:t>Rockville, MD</w:t>
            </w:r>
          </w:p>
        </w:tc>
      </w:tr>
      <w:tr>
        <w:trPr>
          <w:trHeight w:val="33"/>
        </w:trPr>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Forest Hills</w:t>
            </w:r>
          </w:p>
        </w:tc>
        <w:tc>
          <w:tcPr>
            <w:tcW w:w="1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Forest Hills, NY</w:t>
            </w:r>
          </w:p>
        </w:tc>
        <w:tc>
          <w:tcPr>
            <w:tcW w:w="2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Santana Row (3)</w:t>
            </w:r>
          </w:p>
        </w:tc>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San Jose, CA</w:t>
            </w:r>
          </w:p>
        </w:tc>
      </w:tr>
      <w:tr>
        <w:trPr>
          <w:trHeight w:val="324"/>
        </w:trPr>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440" w:type="dxa"/>
            <w:vAlign w:val="bottom"/>
            <w:gridSpan w:val="3"/>
          </w:tcPr>
          <w:p>
            <w:pPr>
              <w:spacing w:after="0"/>
              <w:rPr>
                <w:sz w:val="24"/>
                <w:szCs w:val="24"/>
                <w:color w:val="auto"/>
              </w:rPr>
            </w:pPr>
          </w:p>
        </w:tc>
      </w:tr>
      <w:tr>
        <w:trPr>
          <w:trHeight w:val="237"/>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Assembly Row</w:t>
            </w:r>
          </w:p>
        </w:tc>
        <w:tc>
          <w:tcPr>
            <w:tcW w:w="94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w w:val="92"/>
              </w:rPr>
              <w:t>Remaining entitlements after Phase 1 include 2 million square feet of commercial-use buildings, 1,525 residential units, and a 200 room hotel.</w:t>
            </w:r>
          </w:p>
        </w:tc>
      </w:tr>
      <w:tr>
        <w:trPr>
          <w:trHeight w:val="220"/>
        </w:trPr>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480" w:type="dxa"/>
            <w:vAlign w:val="bottom"/>
          </w:tcPr>
          <w:p>
            <w:pPr>
              <w:ind w:left="40"/>
              <w:spacing w:after="0"/>
              <w:rPr>
                <w:sz w:val="20"/>
                <w:szCs w:val="20"/>
                <w:color w:val="auto"/>
              </w:rPr>
            </w:pPr>
            <w:r>
              <w:rPr>
                <w:rFonts w:ascii="Arial" w:cs="Arial" w:eastAsia="Arial" w:hAnsi="Arial"/>
                <w:sz w:val="16"/>
                <w:szCs w:val="16"/>
                <w:color w:val="auto"/>
              </w:rPr>
              <w:t>Pike &amp; Rose (Mid-</w:t>
            </w:r>
          </w:p>
        </w:tc>
        <w:tc>
          <w:tcPr>
            <w:tcW w:w="9440" w:type="dxa"/>
            <w:vAlign w:val="bottom"/>
            <w:gridSpan w:val="3"/>
          </w:tcPr>
          <w:p>
            <w:pPr>
              <w:ind w:left="160"/>
              <w:spacing w:after="0"/>
              <w:rPr>
                <w:sz w:val="20"/>
                <w:szCs w:val="20"/>
                <w:color w:val="auto"/>
              </w:rPr>
            </w:pPr>
            <w:r>
              <w:rPr>
                <w:rFonts w:ascii="Arial" w:cs="Arial" w:eastAsia="Arial" w:hAnsi="Arial"/>
                <w:sz w:val="16"/>
                <w:szCs w:val="16"/>
                <w:color w:val="auto"/>
                <w:w w:val="94"/>
              </w:rPr>
              <w:t>Remaining entitlements after Phase 1 include 1.5 million square feet of commercial-use buildings, and 1.1 million square feet for residential</w:t>
            </w:r>
          </w:p>
        </w:tc>
      </w:tr>
      <w:tr>
        <w:trPr>
          <w:trHeight w:val="206"/>
        </w:trPr>
        <w:tc>
          <w:tcPr>
            <w:tcW w:w="460" w:type="dxa"/>
            <w:vAlign w:val="bottom"/>
          </w:tcPr>
          <w:p>
            <w:pPr>
              <w:spacing w:after="0"/>
              <w:rPr>
                <w:sz w:val="17"/>
                <w:szCs w:val="17"/>
                <w:color w:val="auto"/>
              </w:rPr>
            </w:pPr>
          </w:p>
        </w:tc>
        <w:tc>
          <w:tcPr>
            <w:tcW w:w="1480" w:type="dxa"/>
            <w:vAlign w:val="bottom"/>
          </w:tcPr>
          <w:p>
            <w:pPr>
              <w:ind w:left="40"/>
              <w:spacing w:after="0"/>
              <w:rPr>
                <w:sz w:val="20"/>
                <w:szCs w:val="20"/>
                <w:color w:val="auto"/>
              </w:rPr>
            </w:pPr>
            <w:r>
              <w:rPr>
                <w:rFonts w:ascii="Arial" w:cs="Arial" w:eastAsia="Arial" w:hAnsi="Arial"/>
                <w:sz w:val="16"/>
                <w:szCs w:val="16"/>
                <w:color w:val="auto"/>
              </w:rPr>
              <w:t>Pike)</w:t>
            </w:r>
          </w:p>
        </w:tc>
        <w:tc>
          <w:tcPr>
            <w:tcW w:w="1920" w:type="dxa"/>
            <w:vAlign w:val="bottom"/>
          </w:tcPr>
          <w:p>
            <w:pPr>
              <w:ind w:left="160"/>
              <w:spacing w:after="0"/>
              <w:rPr>
                <w:sz w:val="20"/>
                <w:szCs w:val="20"/>
                <w:color w:val="auto"/>
              </w:rPr>
            </w:pPr>
            <w:r>
              <w:rPr>
                <w:rFonts w:ascii="Arial" w:cs="Arial" w:eastAsia="Arial" w:hAnsi="Arial"/>
                <w:sz w:val="16"/>
                <w:szCs w:val="16"/>
                <w:color w:val="auto"/>
              </w:rPr>
              <w:t>use.</w:t>
            </w:r>
          </w:p>
        </w:tc>
        <w:tc>
          <w:tcPr>
            <w:tcW w:w="230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3"/>
        </w:trPr>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440" w:type="dxa"/>
            <w:vAlign w:val="bottom"/>
            <w:gridSpan w:val="3"/>
          </w:tcPr>
          <w:p>
            <w:pPr>
              <w:spacing w:after="0"/>
              <w:rPr>
                <w:sz w:val="2"/>
                <w:szCs w:val="2"/>
                <w:color w:val="auto"/>
              </w:rPr>
            </w:pPr>
          </w:p>
        </w:tc>
      </w:tr>
      <w:tr>
        <w:trPr>
          <w:trHeight w:val="224"/>
        </w:trPr>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Santana Row</w:t>
            </w:r>
          </w:p>
        </w:tc>
        <w:tc>
          <w:tcPr>
            <w:tcW w:w="94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w w:val="97"/>
              </w:rPr>
              <w:t>Remaining entitlements for this property include 348 residential units and 200,000 square feet of commercial space for retail and office.</w:t>
            </w:r>
          </w:p>
        </w:tc>
      </w:tr>
      <w:tr>
        <w:trPr>
          <w:trHeight w:val="33"/>
        </w:trPr>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60" w:top="747" w:right="259"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2011 Significant Acquisitions and Dispositions</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Significant Acquisitions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Date</w:t>
            </w:r>
          </w:p>
        </w:tc>
        <w:tc>
          <w:tcPr>
            <w:tcW w:w="2260" w:type="dxa"/>
            <w:vAlign w:val="bottom"/>
            <w:vMerge w:val="restart"/>
          </w:tcPr>
          <w:p>
            <w:pPr>
              <w:ind w:left="1160"/>
              <w:spacing w:after="0"/>
              <w:rPr>
                <w:sz w:val="20"/>
                <w:szCs w:val="20"/>
                <w:color w:val="auto"/>
              </w:rPr>
            </w:pPr>
            <w:r>
              <w:rPr>
                <w:rFonts w:ascii="Arial" w:cs="Arial" w:eastAsia="Arial" w:hAnsi="Arial"/>
                <w:sz w:val="16"/>
                <w:szCs w:val="16"/>
                <w:b w:val="1"/>
                <w:bCs w:val="1"/>
                <w:color w:val="auto"/>
              </w:rPr>
              <w:t>Property</w:t>
            </w:r>
          </w:p>
        </w:tc>
        <w:tc>
          <w:tcPr>
            <w:tcW w:w="17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City / State</w:t>
            </w:r>
          </w:p>
        </w:tc>
        <w:tc>
          <w:tcPr>
            <w:tcW w:w="11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GLA</w:t>
            </w:r>
          </w:p>
        </w:tc>
        <w:tc>
          <w:tcPr>
            <w:tcW w:w="3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w w:val="97"/>
              </w:rPr>
              <w:t>100% Purchase</w:t>
            </w:r>
          </w:p>
        </w:tc>
        <w:tc>
          <w:tcPr>
            <w:tcW w:w="280" w:type="dxa"/>
            <w:vAlign w:val="bottom"/>
          </w:tcPr>
          <w:p>
            <w:pPr>
              <w:spacing w:after="0"/>
              <w:rPr>
                <w:sz w:val="14"/>
                <w:szCs w:val="14"/>
                <w:color w:val="auto"/>
              </w:rPr>
            </w:pPr>
          </w:p>
        </w:tc>
        <w:tc>
          <w:tcPr>
            <w:tcW w:w="29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Anchor tenants</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price</w:t>
            </w: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 square feet)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2"/>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5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5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DSW / Old Navy / Ross Dress For Less / TJ</w:t>
            </w:r>
          </w:p>
        </w:tc>
        <w:tc>
          <w:tcPr>
            <w:tcW w:w="0" w:type="dxa"/>
            <w:vAlign w:val="bottom"/>
          </w:tcPr>
          <w:p>
            <w:pPr>
              <w:spacing w:after="0"/>
              <w:rPr>
                <w:sz w:val="1"/>
                <w:szCs w:val="1"/>
                <w:color w:val="auto"/>
              </w:rPr>
            </w:pPr>
          </w:p>
        </w:tc>
      </w:tr>
      <w:tr>
        <w:trPr>
          <w:trHeight w:val="239"/>
        </w:trPr>
        <w:tc>
          <w:tcPr>
            <w:tcW w:w="1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19, 2011</w:t>
            </w:r>
          </w:p>
        </w:tc>
        <w:tc>
          <w:tcPr>
            <w:tcW w:w="2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Tower Shops</w:t>
            </w:r>
          </w:p>
        </w:tc>
        <w:tc>
          <w:tcPr>
            <w:tcW w:w="1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Davie, FL</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368,000</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66.1</w:t>
            </w:r>
          </w:p>
        </w:tc>
        <w:tc>
          <w:tcPr>
            <w:tcW w:w="280" w:type="dxa"/>
            <w:vAlign w:val="bottom"/>
            <w:shd w:val="clear" w:color="auto" w:fill="CCEEFF"/>
          </w:tcPr>
          <w:p>
            <w:pPr>
              <w:spacing w:after="0"/>
              <w:rPr>
                <w:sz w:val="20"/>
                <w:szCs w:val="20"/>
                <w:color w:val="auto"/>
              </w:rPr>
            </w:pPr>
          </w:p>
        </w:tc>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Maxx / Best Buy</w:t>
            </w:r>
          </w:p>
        </w:tc>
        <w:tc>
          <w:tcPr>
            <w:tcW w:w="0" w:type="dxa"/>
            <w:vAlign w:val="bottom"/>
          </w:tcPr>
          <w:p>
            <w:pPr>
              <w:spacing w:after="0"/>
              <w:rPr>
                <w:sz w:val="1"/>
                <w:szCs w:val="1"/>
                <w:color w:val="auto"/>
              </w:rPr>
            </w:pPr>
          </w:p>
        </w:tc>
      </w:tr>
      <w:tr>
        <w:trPr>
          <w:trHeight w:val="237"/>
        </w:trPr>
        <w:tc>
          <w:tcPr>
            <w:tcW w:w="1520" w:type="dxa"/>
            <w:vAlign w:val="bottom"/>
          </w:tcPr>
          <w:p>
            <w:pPr>
              <w:ind w:left="40"/>
              <w:spacing w:after="0"/>
              <w:rPr>
                <w:sz w:val="20"/>
                <w:szCs w:val="20"/>
                <w:color w:val="auto"/>
              </w:rPr>
            </w:pPr>
            <w:r>
              <w:rPr>
                <w:rFonts w:ascii="Arial" w:cs="Arial" w:eastAsia="Arial" w:hAnsi="Arial"/>
                <w:sz w:val="16"/>
                <w:szCs w:val="16"/>
                <w:color w:val="auto"/>
              </w:rPr>
              <w:t>May 26, 2011</w:t>
            </w:r>
          </w:p>
        </w:tc>
        <w:tc>
          <w:tcPr>
            <w:tcW w:w="2260" w:type="dxa"/>
            <w:vAlign w:val="bottom"/>
          </w:tcPr>
          <w:p>
            <w:pPr>
              <w:ind w:left="240"/>
              <w:spacing w:after="0"/>
              <w:rPr>
                <w:sz w:val="20"/>
                <w:szCs w:val="20"/>
                <w:color w:val="auto"/>
              </w:rPr>
            </w:pPr>
            <w:r>
              <w:rPr>
                <w:rFonts w:ascii="Arial" w:cs="Arial" w:eastAsia="Arial" w:hAnsi="Arial"/>
                <w:sz w:val="16"/>
                <w:szCs w:val="16"/>
                <w:color w:val="auto"/>
              </w:rPr>
              <w:t>Newbury Street (2)</w:t>
            </w:r>
          </w:p>
        </w:tc>
        <w:tc>
          <w:tcPr>
            <w:tcW w:w="1780" w:type="dxa"/>
            <w:vAlign w:val="bottom"/>
          </w:tcPr>
          <w:p>
            <w:pPr>
              <w:ind w:left="480"/>
              <w:spacing w:after="0"/>
              <w:rPr>
                <w:sz w:val="20"/>
                <w:szCs w:val="20"/>
                <w:color w:val="auto"/>
              </w:rPr>
            </w:pPr>
            <w:r>
              <w:rPr>
                <w:rFonts w:ascii="Arial" w:cs="Arial" w:eastAsia="Arial" w:hAnsi="Arial"/>
                <w:sz w:val="16"/>
                <w:szCs w:val="16"/>
                <w:color w:val="auto"/>
              </w:rPr>
              <w:t>Boston, MA</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6,700</w:t>
            </w:r>
          </w:p>
        </w:tc>
        <w:tc>
          <w:tcPr>
            <w:tcW w:w="30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5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Giant Food / Sports Authority / Marshalls /</w:t>
            </w:r>
          </w:p>
        </w:tc>
        <w:tc>
          <w:tcPr>
            <w:tcW w:w="0" w:type="dxa"/>
            <w:vAlign w:val="bottom"/>
          </w:tcPr>
          <w:p>
            <w:pPr>
              <w:spacing w:after="0"/>
              <w:rPr>
                <w:sz w:val="1"/>
                <w:szCs w:val="1"/>
                <w:color w:val="auto"/>
              </w:rPr>
            </w:pPr>
          </w:p>
        </w:tc>
      </w:tr>
      <w:tr>
        <w:trPr>
          <w:trHeight w:val="239"/>
        </w:trPr>
        <w:tc>
          <w:tcPr>
            <w:tcW w:w="1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27, 2011</w:t>
            </w:r>
          </w:p>
        </w:tc>
        <w:tc>
          <w:tcPr>
            <w:tcW w:w="2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Montrose Crossing</w:t>
            </w:r>
          </w:p>
        </w:tc>
        <w:tc>
          <w:tcPr>
            <w:tcW w:w="1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Rockville, MD</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357,000</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141.5</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Barnes &amp; Noble</w:t>
            </w:r>
          </w:p>
        </w:tc>
        <w:tc>
          <w:tcPr>
            <w:tcW w:w="0" w:type="dxa"/>
            <w:vAlign w:val="bottom"/>
          </w:tcPr>
          <w:p>
            <w:pPr>
              <w:spacing w:after="0"/>
              <w:rPr>
                <w:sz w:val="1"/>
                <w:szCs w:val="1"/>
                <w:color w:val="auto"/>
              </w:rPr>
            </w:pPr>
          </w:p>
        </w:tc>
      </w:tr>
      <w:tr>
        <w:trPr>
          <w:trHeight w:val="220"/>
        </w:trPr>
        <w:tc>
          <w:tcPr>
            <w:tcW w:w="1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tcPr>
          <w:p>
            <w:pPr>
              <w:ind w:left="40"/>
              <w:spacing w:after="0"/>
              <w:rPr>
                <w:sz w:val="20"/>
                <w:szCs w:val="20"/>
                <w:color w:val="auto"/>
              </w:rPr>
            </w:pPr>
            <w:r>
              <w:rPr>
                <w:rFonts w:ascii="Arial" w:cs="Arial" w:eastAsia="Arial" w:hAnsi="Arial"/>
                <w:sz w:val="16"/>
                <w:szCs w:val="16"/>
                <w:color w:val="auto"/>
              </w:rPr>
              <w:t>Whole Foods / HomeGoods / Dick's</w:t>
            </w:r>
          </w:p>
        </w:tc>
        <w:tc>
          <w:tcPr>
            <w:tcW w:w="0" w:type="dxa"/>
            <w:vAlign w:val="bottom"/>
          </w:tcPr>
          <w:p>
            <w:pPr>
              <w:spacing w:after="0"/>
              <w:rPr>
                <w:sz w:val="1"/>
                <w:szCs w:val="1"/>
                <w:color w:val="auto"/>
              </w:rPr>
            </w:pPr>
          </w:p>
        </w:tc>
      </w:tr>
      <w:tr>
        <w:trPr>
          <w:trHeight w:val="233"/>
        </w:trPr>
        <w:tc>
          <w:tcPr>
            <w:tcW w:w="1520" w:type="dxa"/>
            <w:vAlign w:val="bottom"/>
          </w:tcPr>
          <w:p>
            <w:pPr>
              <w:ind w:left="40"/>
              <w:spacing w:after="0"/>
              <w:rPr>
                <w:sz w:val="20"/>
                <w:szCs w:val="20"/>
                <w:color w:val="auto"/>
              </w:rPr>
            </w:pPr>
            <w:r>
              <w:rPr>
                <w:rFonts w:ascii="Arial" w:cs="Arial" w:eastAsia="Arial" w:hAnsi="Arial"/>
                <w:sz w:val="16"/>
                <w:szCs w:val="16"/>
                <w:color w:val="auto"/>
              </w:rPr>
              <w:t>December 30, 2011</w:t>
            </w:r>
          </w:p>
        </w:tc>
        <w:tc>
          <w:tcPr>
            <w:tcW w:w="2260" w:type="dxa"/>
            <w:vAlign w:val="bottom"/>
          </w:tcPr>
          <w:p>
            <w:pPr>
              <w:ind w:left="240"/>
              <w:spacing w:after="0"/>
              <w:rPr>
                <w:sz w:val="20"/>
                <w:szCs w:val="20"/>
                <w:color w:val="auto"/>
              </w:rPr>
            </w:pPr>
            <w:r>
              <w:rPr>
                <w:rFonts w:ascii="Arial" w:cs="Arial" w:eastAsia="Arial" w:hAnsi="Arial"/>
                <w:sz w:val="16"/>
                <w:szCs w:val="16"/>
                <w:color w:val="auto"/>
              </w:rPr>
              <w:t>Plaza El Segundo</w:t>
            </w:r>
          </w:p>
        </w:tc>
        <w:tc>
          <w:tcPr>
            <w:tcW w:w="1780" w:type="dxa"/>
            <w:vAlign w:val="bottom"/>
          </w:tcPr>
          <w:p>
            <w:pPr>
              <w:ind w:left="480"/>
              <w:spacing w:after="0"/>
              <w:rPr>
                <w:sz w:val="20"/>
                <w:szCs w:val="20"/>
                <w:color w:val="auto"/>
              </w:rPr>
            </w:pPr>
            <w:r>
              <w:rPr>
                <w:rFonts w:ascii="Arial" w:cs="Arial" w:eastAsia="Arial" w:hAnsi="Arial"/>
                <w:sz w:val="16"/>
                <w:szCs w:val="16"/>
                <w:color w:val="auto"/>
              </w:rPr>
              <w:t>El Segundo, CA</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381,000</w:t>
            </w:r>
          </w:p>
        </w:tc>
        <w:tc>
          <w:tcPr>
            <w:tcW w:w="30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192.7</w:t>
            </w:r>
          </w:p>
        </w:tc>
        <w:tc>
          <w:tcPr>
            <w:tcW w:w="280" w:type="dxa"/>
            <w:vAlign w:val="bottom"/>
          </w:tcPr>
          <w:p>
            <w:pPr>
              <w:jc w:val="right"/>
              <w:spacing w:after="0"/>
              <w:rPr>
                <w:sz w:val="20"/>
                <w:szCs w:val="20"/>
                <w:color w:val="auto"/>
              </w:rPr>
            </w:pPr>
            <w:r>
              <w:rPr>
                <w:rFonts w:ascii="Arial" w:cs="Arial" w:eastAsia="Arial" w:hAnsi="Arial"/>
                <w:sz w:val="14"/>
                <w:szCs w:val="14"/>
                <w:color w:val="auto"/>
              </w:rPr>
              <w:t>(4)</w:t>
            </w:r>
          </w:p>
        </w:tc>
        <w:tc>
          <w:tcPr>
            <w:tcW w:w="2980" w:type="dxa"/>
            <w:vAlign w:val="bottom"/>
          </w:tcPr>
          <w:p>
            <w:pPr>
              <w:ind w:left="40"/>
              <w:spacing w:after="0"/>
              <w:rPr>
                <w:sz w:val="20"/>
                <w:szCs w:val="20"/>
                <w:color w:val="auto"/>
              </w:rPr>
            </w:pPr>
            <w:r>
              <w:rPr>
                <w:rFonts w:ascii="Arial" w:cs="Arial" w:eastAsia="Arial" w:hAnsi="Arial"/>
                <w:sz w:val="16"/>
                <w:szCs w:val="16"/>
                <w:color w:val="auto"/>
              </w:rPr>
              <w:t>Sporting Goods / Best Buy</w:t>
            </w:r>
          </w:p>
        </w:tc>
        <w:tc>
          <w:tcPr>
            <w:tcW w:w="0" w:type="dxa"/>
            <w:vAlign w:val="bottom"/>
          </w:tcPr>
          <w:p>
            <w:pPr>
              <w:spacing w:after="0"/>
              <w:rPr>
                <w:sz w:val="1"/>
                <w:szCs w:val="1"/>
                <w:color w:val="auto"/>
              </w:rPr>
            </w:pPr>
          </w:p>
        </w:tc>
      </w:tr>
      <w:tr>
        <w:trPr>
          <w:trHeight w:val="276"/>
        </w:trPr>
        <w:tc>
          <w:tcPr>
            <w:tcW w:w="1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30, 2011</w:t>
            </w:r>
          </w:p>
        </w:tc>
        <w:tc>
          <w:tcPr>
            <w:tcW w:w="2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Plaza El Segundo Land</w:t>
            </w:r>
          </w:p>
        </w:tc>
        <w:tc>
          <w:tcPr>
            <w:tcW w:w="17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El Segundo, CA</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N/A</w:t>
            </w: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15.9</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Significant Dispositions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Date</w:t>
            </w:r>
          </w:p>
        </w:tc>
        <w:tc>
          <w:tcPr>
            <w:tcW w:w="250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Property</w:t>
            </w:r>
          </w:p>
        </w:tc>
        <w:tc>
          <w:tcPr>
            <w:tcW w:w="16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City / State</w:t>
            </w:r>
          </w:p>
        </w:tc>
        <w:tc>
          <w:tcPr>
            <w:tcW w:w="13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GLA</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Sales price</w:t>
            </w: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(in square feet)</w:t>
            </w:r>
          </w:p>
        </w:tc>
        <w:tc>
          <w:tcPr>
            <w:tcW w:w="320" w:type="dxa"/>
            <w:vAlign w:val="bottom"/>
          </w:tcPr>
          <w:p>
            <w:pPr>
              <w:spacing w:after="0"/>
              <w:rPr>
                <w:sz w:val="16"/>
                <w:szCs w:val="16"/>
                <w:color w:val="auto"/>
              </w:rPr>
            </w:pPr>
          </w:p>
        </w:tc>
        <w:tc>
          <w:tcPr>
            <w:tcW w:w="4180" w:type="dxa"/>
            <w:vAlign w:val="bottom"/>
            <w:gridSpan w:val="2"/>
          </w:tcPr>
          <w:p>
            <w:pPr>
              <w:jc w:val="center"/>
              <w:ind w:right="340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68"/>
        </w:trPr>
        <w:tc>
          <w:tcPr>
            <w:tcW w:w="14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9"/>
        </w:trPr>
        <w:tc>
          <w:tcPr>
            <w:tcW w:w="1460" w:type="dxa"/>
            <w:vAlign w:val="bottom"/>
          </w:tcPr>
          <w:p>
            <w:pPr>
              <w:ind w:left="40"/>
              <w:spacing w:after="0"/>
              <w:rPr>
                <w:sz w:val="20"/>
                <w:szCs w:val="20"/>
                <w:color w:val="auto"/>
              </w:rPr>
            </w:pPr>
            <w:r>
              <w:rPr>
                <w:rFonts w:ascii="Arial" w:cs="Arial" w:eastAsia="Arial" w:hAnsi="Arial"/>
                <w:sz w:val="16"/>
                <w:szCs w:val="16"/>
                <w:color w:val="auto"/>
              </w:rPr>
              <w:t>July 12, 2011</w:t>
            </w:r>
          </w:p>
        </w:tc>
        <w:tc>
          <w:tcPr>
            <w:tcW w:w="2500" w:type="dxa"/>
            <w:vAlign w:val="bottom"/>
          </w:tcPr>
          <w:p>
            <w:pPr>
              <w:ind w:left="300"/>
              <w:spacing w:after="0"/>
              <w:rPr>
                <w:sz w:val="20"/>
                <w:szCs w:val="20"/>
                <w:color w:val="auto"/>
              </w:rPr>
            </w:pPr>
            <w:r>
              <w:rPr>
                <w:rFonts w:ascii="Arial" w:cs="Arial" w:eastAsia="Arial" w:hAnsi="Arial"/>
                <w:sz w:val="16"/>
                <w:szCs w:val="16"/>
                <w:color w:val="auto"/>
              </w:rPr>
              <w:t>Feasterville Shopping Center</w:t>
            </w:r>
          </w:p>
        </w:tc>
        <w:tc>
          <w:tcPr>
            <w:tcW w:w="1600" w:type="dxa"/>
            <w:vAlign w:val="bottom"/>
          </w:tcPr>
          <w:p>
            <w:pPr>
              <w:ind w:left="300"/>
              <w:spacing w:after="0"/>
              <w:rPr>
                <w:sz w:val="20"/>
                <w:szCs w:val="20"/>
                <w:color w:val="auto"/>
              </w:rPr>
            </w:pPr>
            <w:r>
              <w:rPr>
                <w:rFonts w:ascii="Arial" w:cs="Arial" w:eastAsia="Arial" w:hAnsi="Arial"/>
                <w:sz w:val="16"/>
                <w:szCs w:val="16"/>
                <w:color w:val="auto"/>
              </w:rPr>
              <w:t>Feasterville, PA</w:t>
            </w:r>
          </w:p>
        </w:tc>
        <w:tc>
          <w:tcPr>
            <w:tcW w:w="1360" w:type="dxa"/>
            <w:vAlign w:val="bottom"/>
          </w:tcPr>
          <w:p>
            <w:pPr>
              <w:jc w:val="right"/>
              <w:ind w:right="203"/>
              <w:spacing w:after="0"/>
              <w:rPr>
                <w:sz w:val="20"/>
                <w:szCs w:val="20"/>
                <w:color w:val="auto"/>
              </w:rPr>
            </w:pPr>
            <w:r>
              <w:rPr>
                <w:rFonts w:ascii="Arial" w:cs="Arial" w:eastAsia="Arial" w:hAnsi="Arial"/>
                <w:sz w:val="16"/>
                <w:szCs w:val="16"/>
                <w:color w:val="auto"/>
              </w:rPr>
              <w:t>111,000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20.0</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14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October 31, 2011</w:t>
            </w:r>
          </w:p>
        </w:tc>
        <w:tc>
          <w:tcPr>
            <w:tcW w:w="2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Newbury Street (6)</w:t>
            </w: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Boston, MA</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rPr>
              <w:t>41,000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44.0</w:t>
            </w:r>
          </w:p>
        </w:tc>
        <w:tc>
          <w:tcPr>
            <w:tcW w:w="3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460" w:type="dxa"/>
            <w:vAlign w:val="bottom"/>
            <w:shd w:val="clear" w:color="auto" w:fill="CCEEFF"/>
          </w:tcPr>
          <w:p>
            <w:pPr>
              <w:spacing w:after="0"/>
              <w:rPr>
                <w:sz w:val="4"/>
                <w:szCs w:val="4"/>
                <w:color w:val="auto"/>
              </w:rPr>
            </w:pPr>
          </w:p>
        </w:tc>
        <w:tc>
          <w:tcPr>
            <w:tcW w:w="250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32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property is on 67 acres and is shadow-anchored by Costco and Home Depot.</w:t>
      </w:r>
    </w:p>
    <w:p>
      <w:pPr>
        <w:spacing w:after="0" w:line="5" w:lineRule="exact"/>
        <w:rPr>
          <w:rFonts w:ascii="Arial" w:cs="Arial" w:eastAsia="Arial" w:hAnsi="Arial"/>
          <w:sz w:val="16"/>
          <w:szCs w:val="16"/>
          <w:color w:val="auto"/>
        </w:rPr>
      </w:pPr>
    </w:p>
    <w:p>
      <w:pPr>
        <w:ind w:left="660" w:right="120" w:hanging="652"/>
        <w:spacing w:after="0" w:line="24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One building was acquired by our Taurus Newbury Street JV II Limited Partnership ("Newbury Street Partnership") in which we held an 85% limited partnership interest and account for our investment under the equity method. We contributed $2.8 million towards this acquisition and provided a $3.1 million interest-only loan secured by the building. Our Newbury Street Partnership sold its three buildings on October 31, 2011 (See note 6 below).</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acquired an 89.9% controlling interest in Montrose Crossing.</w:t>
      </w:r>
    </w:p>
    <w:p>
      <w:pPr>
        <w:spacing w:after="0" w:line="5"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acquired a 48.2% controlling interest in Plaza El Segundo. We paid cash consideration of $8.5 million and are entitled to receive the majority of the cash flows up to approximately 75%.</w:t>
      </w: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acquired an 8.1 acre unimproved land parcel adjacent to Plaza El Segundo to be used for future development.</w:t>
      </w:r>
    </w:p>
    <w:p>
      <w:pPr>
        <w:spacing w:after="0" w:line="5" w:lineRule="exact"/>
        <w:rPr>
          <w:rFonts w:ascii="Arial" w:cs="Arial" w:eastAsia="Arial" w:hAnsi="Arial"/>
          <w:sz w:val="16"/>
          <w:szCs w:val="16"/>
          <w:color w:val="auto"/>
        </w:rPr>
      </w:pPr>
    </w:p>
    <w:p>
      <w:pPr>
        <w:ind w:left="660" w:right="220" w:hanging="652"/>
        <w:spacing w:after="0" w:line="290"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Newbury Street Partnership sold its three buildings. As part of the sale, we received $34.6 million of the net proceeds which includes the repayment our $11.8 million loans. Due to our earnings being recorded one quarter in arrears, we will recognize the gain on sale of $11.8 million in the first quarter 2012.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 PSF</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40" w:type="dxa"/>
            <w:vAlign w:val="bottom"/>
          </w:tcPr>
          <w:p>
            <w:pPr>
              <w:spacing w:after="0"/>
              <w:rPr>
                <w:sz w:val="11"/>
                <w:szCs w:val="11"/>
                <w:color w:val="auto"/>
              </w:rPr>
            </w:pPr>
          </w:p>
        </w:tc>
      </w:tr>
      <w:tr>
        <w:trPr>
          <w:trHeight w:val="174"/>
        </w:trPr>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MSA Description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Year Acquired</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4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r>
      <w:tr>
        <w:trPr>
          <w:trHeight w:val="148"/>
        </w:trPr>
        <w:tc>
          <w:tcPr>
            <w:tcW w:w="13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1540" w:type="dxa"/>
            <w:vAlign w:val="bottom"/>
            <w:gridSpan w:val="2"/>
          </w:tcPr>
          <w:p>
            <w:pPr>
              <w:jc w:val="right"/>
              <w:ind w:right="37"/>
              <w:spacing w:after="0" w:line="148" w:lineRule="exact"/>
              <w:rPr>
                <w:sz w:val="20"/>
                <w:szCs w:val="20"/>
                <w:color w:val="auto"/>
              </w:rPr>
            </w:pPr>
            <w:r>
              <w:rPr>
                <w:rFonts w:ascii="Arial" w:cs="Arial" w:eastAsia="Arial" w:hAnsi="Arial"/>
                <w:sz w:val="13"/>
                <w:szCs w:val="13"/>
                <w:color w:val="auto"/>
              </w:rPr>
              <w:t>1993- $ 214,250</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24,009</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$44.01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Landmark Theater / Apple Computer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w w:val="89"/>
              </w:rPr>
              <w:t>2006/2008/2010</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Barnes &amp; Noble</w:t>
            </w:r>
          </w:p>
        </w:tc>
      </w:tr>
      <w:tr>
        <w:trPr>
          <w:trHeight w:val="156"/>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73,722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32.88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1"/>
              </w:rPr>
              <w:t>Fresh Market</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Buy Buy Baby / Container Store / Last Call</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Studio by Neiman Marcus</w:t>
            </w: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1997</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4,539</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36,000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18.22</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48"/>
        </w:trPr>
        <w:tc>
          <w:tcPr>
            <w:tcW w:w="136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Falls Plaza/Falls Plaza-</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1967-1972</w:t>
            </w:r>
          </w:p>
        </w:tc>
        <w:tc>
          <w:tcPr>
            <w:tcW w:w="64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12,438</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29.69</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51,000</w:t>
            </w:r>
          </w:p>
        </w:tc>
        <w:tc>
          <w:tcPr>
            <w:tcW w:w="8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CVS / Staples</w:t>
            </w:r>
          </w:p>
        </w:tc>
      </w:tr>
      <w:tr>
        <w:trPr>
          <w:trHeight w:val="176"/>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East</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48"/>
        </w:trPr>
        <w:tc>
          <w:tcPr>
            <w:tcW w:w="13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Federal Plaza</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1989</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63,178</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86%</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32.88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14,000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w w:val="97"/>
              </w:rPr>
              <w:t>Trader Joe's</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w w:val="95"/>
              </w:rPr>
              <w:t>TJ Maxx / Micro Center / Ross Dress For</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Less</w:t>
            </w:r>
          </w:p>
        </w:tc>
      </w:tr>
      <w:tr>
        <w:trPr>
          <w:trHeight w:val="181"/>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35,310</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28.67</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Maggiano's / Nordstrom Rack</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rPr>
              <w:t>Gaithersburg Square</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25,146</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79%</w:t>
            </w:r>
          </w:p>
        </w:tc>
        <w:tc>
          <w:tcPr>
            <w:tcW w:w="580" w:type="dxa"/>
            <w:vAlign w:val="bottom"/>
          </w:tcPr>
          <w:p>
            <w:pPr>
              <w:jc w:val="right"/>
              <w:spacing w:after="0"/>
              <w:rPr>
                <w:sz w:val="20"/>
                <w:szCs w:val="20"/>
                <w:color w:val="auto"/>
              </w:rPr>
            </w:pPr>
            <w:r>
              <w:rPr>
                <w:rFonts w:ascii="Arial" w:cs="Arial" w:eastAsia="Arial" w:hAnsi="Arial"/>
                <w:sz w:val="13"/>
                <w:szCs w:val="13"/>
                <w:color w:val="auto"/>
              </w:rPr>
              <w:t>79%</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25.24</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w w:val="90"/>
              </w:rPr>
              <w:t>Bed, Bath &amp; Beyond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Idylwood Plaza</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16,383</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16,276</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41.90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30,000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1"/>
              </w:rPr>
              <w:t>Whole Foods</w:t>
            </w:r>
          </w:p>
        </w:tc>
        <w:tc>
          <w:tcPr>
            <w:tcW w:w="23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rPr>
              <w:t>Laurel</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1986</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49,038</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388,000</w:t>
            </w:r>
          </w:p>
        </w:tc>
        <w:tc>
          <w:tcPr>
            <w:tcW w:w="500" w:type="dxa"/>
            <w:vAlign w:val="bottom"/>
          </w:tcPr>
          <w:p>
            <w:pPr>
              <w:jc w:val="right"/>
              <w:spacing w:after="0"/>
              <w:rPr>
                <w:sz w:val="20"/>
                <w:szCs w:val="20"/>
                <w:color w:val="auto"/>
              </w:rPr>
            </w:pPr>
            <w:r>
              <w:rPr>
                <w:rFonts w:ascii="Arial" w:cs="Arial" w:eastAsia="Arial" w:hAnsi="Arial"/>
                <w:sz w:val="13"/>
                <w:szCs w:val="13"/>
                <w:color w:val="auto"/>
              </w:rPr>
              <w:t>83%</w:t>
            </w:r>
          </w:p>
        </w:tc>
        <w:tc>
          <w:tcPr>
            <w:tcW w:w="580" w:type="dxa"/>
            <w:vAlign w:val="bottom"/>
          </w:tcPr>
          <w:p>
            <w:pPr>
              <w:jc w:val="right"/>
              <w:spacing w:after="0"/>
              <w:rPr>
                <w:sz w:val="20"/>
                <w:szCs w:val="20"/>
                <w:color w:val="auto"/>
              </w:rPr>
            </w:pPr>
            <w:r>
              <w:rPr>
                <w:rFonts w:ascii="Arial" w:cs="Arial" w:eastAsia="Arial" w:hAnsi="Arial"/>
                <w:sz w:val="13"/>
                <w:szCs w:val="13"/>
                <w:color w:val="auto"/>
              </w:rPr>
              <w:t>83%</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18.63</w:t>
            </w:r>
          </w:p>
        </w:tc>
        <w:tc>
          <w:tcPr>
            <w:tcW w:w="600" w:type="dxa"/>
            <w:vAlign w:val="bottom"/>
          </w:tcPr>
          <w:p>
            <w:pPr>
              <w:ind w:left="60"/>
              <w:spacing w:after="0"/>
              <w:rPr>
                <w:sz w:val="20"/>
                <w:szCs w:val="20"/>
                <w:color w:val="auto"/>
              </w:rPr>
            </w:pPr>
            <w:r>
              <w:rPr>
                <w:rFonts w:ascii="Arial" w:cs="Arial" w:eastAsia="Arial" w:hAnsi="Arial"/>
                <w:sz w:val="13"/>
                <w:szCs w:val="13"/>
                <w:color w:val="auto"/>
              </w:rPr>
              <w:t>61,000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tcPr>
          <w:p>
            <w:pPr>
              <w:ind w:left="60"/>
              <w:spacing w:after="0"/>
              <w:rPr>
                <w:sz w:val="20"/>
                <w:szCs w:val="20"/>
                <w:color w:val="auto"/>
              </w:rPr>
            </w:pPr>
            <w:r>
              <w:rPr>
                <w:rFonts w:ascii="Arial" w:cs="Arial" w:eastAsia="Arial" w:hAnsi="Arial"/>
                <w:sz w:val="13"/>
                <w:szCs w:val="13"/>
                <w:color w:val="auto"/>
              </w:rPr>
              <w:t>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Leesburg Plaza</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(7)</w:t>
            </w: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34,992</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28,320</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22.25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Petsmart / Pier 1 Imports / Office Depot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rPr>
              <w:t>Loehmann's Plaza</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1983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32,988</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36,621</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259,000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26.25</w:t>
            </w:r>
          </w:p>
        </w:tc>
        <w:tc>
          <w:tcPr>
            <w:tcW w:w="600" w:type="dxa"/>
            <w:vAlign w:val="bottom"/>
          </w:tcPr>
          <w:p>
            <w:pPr>
              <w:ind w:left="60"/>
              <w:spacing w:after="0"/>
              <w:rPr>
                <w:sz w:val="20"/>
                <w:szCs w:val="20"/>
                <w:color w:val="auto"/>
              </w:rPr>
            </w:pPr>
            <w:r>
              <w:rPr>
                <w:rFonts w:ascii="Arial" w:cs="Arial" w:eastAsia="Arial" w:hAnsi="Arial"/>
                <w:sz w:val="13"/>
                <w:szCs w:val="13"/>
                <w:color w:val="auto"/>
              </w:rPr>
              <w:t>58,000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tcPr>
          <w:p>
            <w:pPr>
              <w:ind w:left="60"/>
              <w:spacing w:after="0"/>
              <w:rPr>
                <w:sz w:val="20"/>
                <w:szCs w:val="20"/>
                <w:color w:val="auto"/>
              </w:rPr>
            </w:pPr>
            <w:r>
              <w:rPr>
                <w:rFonts w:ascii="Arial" w:cs="Arial" w:eastAsia="Arial" w:hAnsi="Arial"/>
                <w:sz w:val="13"/>
                <w:szCs w:val="13"/>
                <w:color w:val="auto"/>
              </w:rPr>
              <w:t>L.A. Fitness / Loehmann's Dress Shop</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Mid-Pike Plaza</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1982/2007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53,371</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27.85</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Toys R Us / L.A. Fitness / AC Moore</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48"/>
        </w:trPr>
        <w:tc>
          <w:tcPr>
            <w:tcW w:w="13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Montrose Crossing</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87"/>
              </w:rPr>
              <w:t>(6)(11)</w:t>
            </w: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140,756</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80,000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357,000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21.63</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73,000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Marshalls / Sports Authority / Barnes &amp;</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Noble</w:t>
            </w:r>
          </w:p>
        </w:tc>
      </w:tr>
      <w:tr>
        <w:trPr>
          <w:trHeight w:val="156"/>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Mount Vernon/South</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(7)</w:t>
            </w: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2003-2006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78,602</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10,554</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572,000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62,000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Shoppers</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Michaels / Home</w:t>
            </w:r>
          </w:p>
        </w:tc>
      </w:tr>
      <w:tr>
        <w:trPr>
          <w:trHeight w:val="135"/>
        </w:trPr>
        <w:tc>
          <w:tcPr>
            <w:tcW w:w="136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w w:val="99"/>
              </w:rPr>
              <w:t>Valley/7770 Richmond</w:t>
            </w: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23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9"/>
              </w:rPr>
              <w:t>Depot / TJ Maxx / Gold's Gym / Staples</w:t>
            </w:r>
          </w:p>
        </w:tc>
      </w:tr>
      <w:tr>
        <w:trPr>
          <w:trHeight w:val="176"/>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Hwy</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340" w:type="dxa"/>
            <w:vAlign w:val="bottom"/>
            <w:shd w:val="clear" w:color="auto" w:fill="CCEEFF"/>
          </w:tcPr>
          <w:p>
            <w:pPr>
              <w:spacing w:after="0"/>
              <w:rPr>
                <w:sz w:val="15"/>
                <w:szCs w:val="15"/>
                <w:color w:val="auto"/>
              </w:rPr>
            </w:pP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rPr>
              <w:t>Old Keene Mill</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1976</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6,296</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33.63</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800" w:type="dxa"/>
            <w:vAlign w:val="bottom"/>
          </w:tcPr>
          <w:p>
            <w:pPr>
              <w:ind w:left="80"/>
              <w:spacing w:after="0"/>
              <w:rPr>
                <w:sz w:val="20"/>
                <w:szCs w:val="20"/>
                <w:color w:val="auto"/>
              </w:rPr>
            </w:pPr>
            <w:r>
              <w:rPr>
                <w:rFonts w:ascii="Arial" w:cs="Arial" w:eastAsia="Arial" w:hAnsi="Arial"/>
                <w:sz w:val="13"/>
                <w:szCs w:val="13"/>
                <w:color w:val="auto"/>
                <w:w w:val="91"/>
              </w:rPr>
              <w:t>Whole Foods</w:t>
            </w:r>
          </w:p>
        </w:tc>
        <w:tc>
          <w:tcPr>
            <w:tcW w:w="2340" w:type="dxa"/>
            <w:vAlign w:val="bottom"/>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Pan Am</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28,564</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20.27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63,000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Safeway</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rPr>
              <w:t>Pentagon Row</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1998/2010</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88,889</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52,572</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296,000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34.55</w:t>
            </w:r>
          </w:p>
        </w:tc>
        <w:tc>
          <w:tcPr>
            <w:tcW w:w="600" w:type="dxa"/>
            <w:vAlign w:val="bottom"/>
          </w:tcPr>
          <w:p>
            <w:pPr>
              <w:ind w:left="60"/>
              <w:spacing w:after="0"/>
              <w:rPr>
                <w:sz w:val="20"/>
                <w:szCs w:val="20"/>
                <w:color w:val="auto"/>
              </w:rPr>
            </w:pPr>
            <w:r>
              <w:rPr>
                <w:rFonts w:ascii="Arial" w:cs="Arial" w:eastAsia="Arial" w:hAnsi="Arial"/>
                <w:sz w:val="13"/>
                <w:szCs w:val="13"/>
                <w:color w:val="auto"/>
              </w:rPr>
              <w:t>45,000</w:t>
            </w:r>
          </w:p>
        </w:tc>
        <w:tc>
          <w:tcPr>
            <w:tcW w:w="800" w:type="dxa"/>
            <w:vAlign w:val="bottom"/>
          </w:tcPr>
          <w:p>
            <w:pPr>
              <w:ind w:left="80"/>
              <w:spacing w:after="0"/>
              <w:rPr>
                <w:sz w:val="20"/>
                <w:szCs w:val="20"/>
                <w:color w:val="auto"/>
              </w:rPr>
            </w:pPr>
            <w:r>
              <w:rPr>
                <w:rFonts w:ascii="Arial" w:cs="Arial" w:eastAsia="Arial" w:hAnsi="Arial"/>
                <w:sz w:val="13"/>
                <w:szCs w:val="13"/>
                <w:color w:val="auto"/>
                <w:w w:val="92"/>
              </w:rPr>
              <w:t>Harris Teeter</w:t>
            </w:r>
          </w:p>
        </w:tc>
        <w:tc>
          <w:tcPr>
            <w:tcW w:w="2340" w:type="dxa"/>
            <w:vAlign w:val="bottom"/>
          </w:tcPr>
          <w:p>
            <w:pPr>
              <w:ind w:left="60"/>
              <w:spacing w:after="0"/>
              <w:rPr>
                <w:sz w:val="20"/>
                <w:szCs w:val="20"/>
                <w:color w:val="auto"/>
              </w:rPr>
            </w:pPr>
            <w:r>
              <w:rPr>
                <w:rFonts w:ascii="Arial" w:cs="Arial" w:eastAsia="Arial" w:hAnsi="Arial"/>
                <w:sz w:val="13"/>
                <w:szCs w:val="13"/>
                <w:color w:val="auto"/>
                <w:w w:val="95"/>
              </w:rPr>
              <w:t>L.A. Fitness / Bed, Bath &amp; Beyond / DSW</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35,601</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39.41</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1993</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23,122</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75%</w:t>
            </w:r>
          </w:p>
        </w:tc>
        <w:tc>
          <w:tcPr>
            <w:tcW w:w="580" w:type="dxa"/>
            <w:vAlign w:val="bottom"/>
          </w:tcPr>
          <w:p>
            <w:pPr>
              <w:jc w:val="right"/>
              <w:spacing w:after="0"/>
              <w:rPr>
                <w:sz w:val="20"/>
                <w:szCs w:val="20"/>
                <w:color w:val="auto"/>
              </w:rPr>
            </w:pPr>
            <w:r>
              <w:rPr>
                <w:rFonts w:ascii="Arial" w:cs="Arial" w:eastAsia="Arial" w:hAnsi="Arial"/>
                <w:sz w:val="13"/>
                <w:szCs w:val="13"/>
                <w:color w:val="auto"/>
              </w:rPr>
              <w:t>62%</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20.12</w:t>
            </w:r>
          </w:p>
        </w:tc>
        <w:tc>
          <w:tcPr>
            <w:tcW w:w="600" w:type="dxa"/>
            <w:vAlign w:val="bottom"/>
          </w:tcPr>
          <w:p>
            <w:pPr>
              <w:ind w:left="60"/>
              <w:spacing w:after="0"/>
              <w:rPr>
                <w:sz w:val="20"/>
                <w:szCs w:val="20"/>
                <w:color w:val="auto"/>
              </w:rPr>
            </w:pPr>
            <w:r>
              <w:rPr>
                <w:rFonts w:ascii="Arial" w:cs="Arial" w:eastAsia="Arial" w:hAnsi="Arial"/>
                <w:sz w:val="13"/>
                <w:szCs w:val="13"/>
                <w:color w:val="auto"/>
              </w:rPr>
              <w:t>24,000</w:t>
            </w:r>
          </w:p>
        </w:tc>
        <w:tc>
          <w:tcPr>
            <w:tcW w:w="800" w:type="dxa"/>
            <w:vAlign w:val="bottom"/>
          </w:tcPr>
          <w:p>
            <w:pPr>
              <w:ind w:left="80"/>
              <w:spacing w:after="0"/>
              <w:rPr>
                <w:sz w:val="20"/>
                <w:szCs w:val="20"/>
                <w:color w:val="auto"/>
              </w:rPr>
            </w:pPr>
            <w:r>
              <w:rPr>
                <w:rFonts w:ascii="Arial" w:cs="Arial" w:eastAsia="Arial" w:hAnsi="Arial"/>
                <w:sz w:val="13"/>
                <w:szCs w:val="13"/>
                <w:color w:val="auto"/>
              </w:rPr>
              <w:t>Magruders</w:t>
            </w:r>
          </w:p>
        </w:tc>
        <w:tc>
          <w:tcPr>
            <w:tcW w:w="2340" w:type="dxa"/>
            <w:vAlign w:val="bottom"/>
          </w:tcPr>
          <w:p>
            <w:pPr>
              <w:ind w:left="60"/>
              <w:spacing w:after="0"/>
              <w:rPr>
                <w:sz w:val="20"/>
                <w:szCs w:val="20"/>
                <w:color w:val="auto"/>
              </w:rPr>
            </w:pPr>
            <w:r>
              <w:rPr>
                <w:rFonts w:ascii="Arial" w:cs="Arial" w:eastAsia="Arial" w:hAnsi="Arial"/>
                <w:sz w:val="13"/>
                <w:szCs w:val="13"/>
                <w:color w:val="auto"/>
              </w:rPr>
              <w:t>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7"/>
              </w:rPr>
              <w:t>Rockville Town Square</w:t>
            </w: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2006-2007</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44,153</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4,552</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33.50</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Gold's Gym</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w w:val="92"/>
              </w:rPr>
              <w:t>Rollingwood Apartments</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1971</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8,750</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23,236</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N/A</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12,801</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39.13</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rPr>
              <w:t>Tower</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1998</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21,070</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87%</w:t>
            </w:r>
          </w:p>
        </w:tc>
        <w:tc>
          <w:tcPr>
            <w:tcW w:w="580" w:type="dxa"/>
            <w:vAlign w:val="bottom"/>
          </w:tcPr>
          <w:p>
            <w:pPr>
              <w:jc w:val="right"/>
              <w:spacing w:after="0"/>
              <w:rPr>
                <w:sz w:val="20"/>
                <w:szCs w:val="20"/>
                <w:color w:val="auto"/>
              </w:rPr>
            </w:pPr>
            <w:r>
              <w:rPr>
                <w:rFonts w:ascii="Arial" w:cs="Arial" w:eastAsia="Arial" w:hAnsi="Arial"/>
                <w:sz w:val="13"/>
                <w:szCs w:val="13"/>
                <w:color w:val="auto"/>
              </w:rPr>
              <w:t>87%</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24.01</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Talbots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4,162</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40.37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7"/>
              </w:rPr>
              <w:t>Trader Joe's</w:t>
            </w:r>
          </w:p>
        </w:tc>
        <w:tc>
          <w:tcPr>
            <w:tcW w:w="23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420" w:type="dxa"/>
            <w:vAlign w:val="bottom"/>
          </w:tcPr>
          <w:p>
            <w:pPr>
              <w:jc w:val="center"/>
              <w:spacing w:after="0"/>
              <w:rPr>
                <w:sz w:val="20"/>
                <w:szCs w:val="20"/>
                <w:color w:val="auto"/>
              </w:rPr>
            </w:pPr>
            <w:r>
              <w:rPr>
                <w:rFonts w:ascii="Arial" w:cs="Arial" w:eastAsia="Arial" w:hAnsi="Arial"/>
                <w:sz w:val="13"/>
                <w:szCs w:val="13"/>
                <w:color w:val="auto"/>
                <w:w w:val="87"/>
              </w:rPr>
              <w:t>(5)</w:t>
            </w: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tcPr>
          <w:p>
            <w:pPr>
              <w:jc w:val="right"/>
              <w:spacing w:after="0"/>
              <w:rPr>
                <w:sz w:val="20"/>
                <w:szCs w:val="20"/>
                <w:color w:val="auto"/>
              </w:rPr>
            </w:pPr>
            <w:r>
              <w:rPr>
                <w:rFonts w:ascii="Arial" w:cs="Arial" w:eastAsia="Arial" w:hAnsi="Arial"/>
                <w:sz w:val="13"/>
                <w:szCs w:val="13"/>
                <w:color w:val="auto"/>
              </w:rPr>
              <w:t>1995</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56,682</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6,364</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34.44</w:t>
            </w:r>
          </w:p>
        </w:tc>
        <w:tc>
          <w:tcPr>
            <w:tcW w:w="600" w:type="dxa"/>
            <w:vAlign w:val="bottom"/>
          </w:tcPr>
          <w:p>
            <w:pPr>
              <w:ind w:left="60"/>
              <w:spacing w:after="0"/>
              <w:rPr>
                <w:sz w:val="20"/>
                <w:szCs w:val="20"/>
                <w:color w:val="auto"/>
              </w:rPr>
            </w:pPr>
            <w:r>
              <w:rPr>
                <w:rFonts w:ascii="Arial" w:cs="Arial" w:eastAsia="Arial" w:hAnsi="Arial"/>
                <w:sz w:val="13"/>
                <w:szCs w:val="13"/>
                <w:color w:val="auto"/>
              </w:rPr>
              <w:t>28,000</w:t>
            </w:r>
          </w:p>
        </w:tc>
        <w:tc>
          <w:tcPr>
            <w:tcW w:w="800" w:type="dxa"/>
            <w:vAlign w:val="bottom"/>
          </w:tcPr>
          <w:p>
            <w:pPr>
              <w:ind w:left="80"/>
              <w:spacing w:after="0"/>
              <w:rPr>
                <w:sz w:val="20"/>
                <w:szCs w:val="20"/>
                <w:color w:val="auto"/>
              </w:rPr>
            </w:pPr>
            <w:r>
              <w:rPr>
                <w:rFonts w:ascii="Arial" w:cs="Arial" w:eastAsia="Arial" w:hAnsi="Arial"/>
                <w:sz w:val="13"/>
                <w:szCs w:val="13"/>
                <w:color w:val="auto"/>
                <w:w w:val="92"/>
              </w:rPr>
              <w:t>Harris Teeter</w:t>
            </w:r>
          </w:p>
        </w:tc>
        <w:tc>
          <w:tcPr>
            <w:tcW w:w="234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3"/>
              </w:rPr>
              <w:t>Washington, DC-MD-VA</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18,134</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24,295</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84.98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Balducci's</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60" w:type="dxa"/>
            <w:vAlign w:val="bottom"/>
            <w:gridSpan w:val="2"/>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Total Washington Metropolitan Area</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1,182,937</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5,535,000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29.17</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40" w:type="dxa"/>
            <w:vAlign w:val="bottom"/>
          </w:tcPr>
          <w:p>
            <w:pPr>
              <w:spacing w:after="0"/>
              <w:rPr>
                <w:sz w:val="7"/>
                <w:szCs w:val="7"/>
                <w:color w:val="auto"/>
              </w:rPr>
            </w:pPr>
          </w:p>
        </w:tc>
      </w:tr>
      <w:tr>
        <w:trPr>
          <w:trHeight w:val="149"/>
        </w:trPr>
        <w:tc>
          <w:tcPr>
            <w:tcW w:w="40" w:type="dxa"/>
            <w:vAlign w:val="bottom"/>
            <w:tcBorders>
              <w:bottom w:val="single" w:sz="8" w:color="CCEEFF"/>
            </w:tcBorders>
            <w:shd w:val="clear" w:color="auto" w:fill="CCEEFF"/>
          </w:tcPr>
          <w:p>
            <w:pPr>
              <w:spacing w:after="0"/>
              <w:rPr>
                <w:sz w:val="12"/>
                <w:szCs w:val="12"/>
                <w:color w:val="auto"/>
              </w:rPr>
            </w:pPr>
          </w:p>
        </w:tc>
        <w:tc>
          <w:tcPr>
            <w:tcW w:w="178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9"/>
              </w:rPr>
              <w:t>Philadelphia Metropolitan Area</w:t>
            </w:r>
          </w:p>
        </w:tc>
        <w:tc>
          <w:tcPr>
            <w:tcW w:w="13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2340" w:type="dxa"/>
            <w:vAlign w:val="bottom"/>
            <w:tcBorders>
              <w:bottom w:val="single" w:sz="8" w:color="CCEEFF"/>
            </w:tcBorders>
            <w:shd w:val="clear" w:color="auto" w:fill="CCEEFF"/>
          </w:tcPr>
          <w:p>
            <w:pPr>
              <w:spacing w:after="0"/>
              <w:rPr>
                <w:sz w:val="12"/>
                <w:szCs w:val="12"/>
                <w:color w:val="auto"/>
              </w:rPr>
            </w:pPr>
          </w:p>
        </w:tc>
      </w:tr>
      <w:tr>
        <w:trPr>
          <w:trHeight w:val="102"/>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48"/>
        </w:trPr>
        <w:tc>
          <w:tcPr>
            <w:tcW w:w="13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Andorra</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24,694</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14.23</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24,000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Markets</w:t>
            </w:r>
          </w:p>
        </w:tc>
        <w:tc>
          <w:tcPr>
            <w:tcW w:w="2340" w:type="dxa"/>
            <w:vAlign w:val="bottom"/>
          </w:tcPr>
          <w:p>
            <w:pPr>
              <w:spacing w:after="0"/>
              <w:rPr>
                <w:sz w:val="14"/>
                <w:szCs w:val="14"/>
                <w:color w:val="auto"/>
              </w:rPr>
            </w:pPr>
          </w:p>
        </w:tc>
      </w:tr>
      <w:tr>
        <w:trPr>
          <w:trHeight w:val="156"/>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38,262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40" w:type="dxa"/>
            <w:vAlign w:val="bottom"/>
            <w:shd w:val="clear" w:color="auto" w:fill="CCEEFF"/>
          </w:tcPr>
          <w:p>
            <w:pPr>
              <w:spacing w:after="0"/>
              <w:rPr>
                <w:sz w:val="15"/>
                <w:szCs w:val="15"/>
                <w:color w:val="auto"/>
              </w:rPr>
            </w:pP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rPr>
              <w:t>Ellisburg Circle</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1992</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30,028</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14.37</w:t>
            </w:r>
          </w:p>
        </w:tc>
        <w:tc>
          <w:tcPr>
            <w:tcW w:w="600" w:type="dxa"/>
            <w:vAlign w:val="bottom"/>
          </w:tcPr>
          <w:p>
            <w:pPr>
              <w:ind w:left="60"/>
              <w:spacing w:after="0"/>
              <w:rPr>
                <w:sz w:val="20"/>
                <w:szCs w:val="20"/>
                <w:color w:val="auto"/>
              </w:rPr>
            </w:pPr>
            <w:r>
              <w:rPr>
                <w:rFonts w:ascii="Arial" w:cs="Arial" w:eastAsia="Arial" w:hAnsi="Arial"/>
                <w:sz w:val="13"/>
                <w:szCs w:val="13"/>
                <w:color w:val="auto"/>
              </w:rPr>
              <w:t>47,000</w:t>
            </w:r>
          </w:p>
        </w:tc>
        <w:tc>
          <w:tcPr>
            <w:tcW w:w="800" w:type="dxa"/>
            <w:vAlign w:val="bottom"/>
          </w:tcPr>
          <w:p>
            <w:pPr>
              <w:ind w:left="80"/>
              <w:spacing w:after="0"/>
              <w:rPr>
                <w:sz w:val="20"/>
                <w:szCs w:val="20"/>
                <w:color w:val="auto"/>
              </w:rPr>
            </w:pPr>
            <w:r>
              <w:rPr>
                <w:rFonts w:ascii="Arial" w:cs="Arial" w:eastAsia="Arial" w:hAnsi="Arial"/>
                <w:sz w:val="13"/>
                <w:szCs w:val="13"/>
                <w:color w:val="auto"/>
              </w:rPr>
              <w:t>Genuardi's</w:t>
            </w:r>
          </w:p>
        </w:tc>
        <w:tc>
          <w:tcPr>
            <w:tcW w:w="234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15,929</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22.92</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42,000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Genuardi's</w:t>
            </w:r>
          </w:p>
        </w:tc>
        <w:tc>
          <w:tcPr>
            <w:tcW w:w="23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48"/>
        </w:trPr>
        <w:tc>
          <w:tcPr>
            <w:tcW w:w="13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20,266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14.62</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rPr>
              <w:t>Redner's</w:t>
            </w: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color w:val="auto"/>
              </w:rPr>
              <w:t>Warehouse</w:t>
            </w:r>
          </w:p>
        </w:tc>
        <w:tc>
          <w:tcPr>
            <w:tcW w:w="234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Mkts.</w:t>
            </w:r>
          </w:p>
        </w:tc>
        <w:tc>
          <w:tcPr>
            <w:tcW w:w="2340" w:type="dxa"/>
            <w:vAlign w:val="bottom"/>
          </w:tcPr>
          <w:p>
            <w:pPr>
              <w:spacing w:after="0"/>
              <w:rPr>
                <w:sz w:val="14"/>
                <w:szCs w:val="14"/>
                <w:color w:val="auto"/>
              </w:rPr>
            </w:pPr>
          </w:p>
        </w:tc>
      </w:tr>
      <w:tr>
        <w:trPr>
          <w:trHeight w:val="156"/>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30,719</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27,640</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Acme</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CHI / TJ Maxx / HomeGoods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340" w:type="dxa"/>
            <w:vAlign w:val="bottom"/>
            <w:shd w:val="clear" w:color="auto" w:fill="CCEEFF"/>
          </w:tcPr>
          <w:p>
            <w:pPr>
              <w:spacing w:after="0"/>
              <w:rPr>
                <w:sz w:val="15"/>
                <w:szCs w:val="15"/>
                <w:color w:val="auto"/>
              </w:rPr>
            </w:pPr>
          </w:p>
        </w:tc>
      </w:tr>
      <w:tr>
        <w:trPr>
          <w:trHeight w:val="148"/>
        </w:trPr>
        <w:tc>
          <w:tcPr>
            <w:tcW w:w="13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Northeast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1983</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23,512</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287,000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11.34</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w w:val="96"/>
              </w:rPr>
              <w:t>Burlington Coat Factory / Home Gallery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rPr>
              <w:t>Marshalls</w:t>
            </w:r>
          </w:p>
        </w:tc>
      </w:tr>
      <w:tr>
        <w:trPr>
          <w:trHeight w:val="156"/>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Town Center of New</w:t>
            </w: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14,457</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176"/>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Britain</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r>
      <w:tr>
        <w:trPr>
          <w:trHeight w:val="173"/>
        </w:trPr>
        <w:tc>
          <w:tcPr>
            <w:tcW w:w="136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tcPr>
          <w:p>
            <w:pPr>
              <w:jc w:val="right"/>
              <w:spacing w:after="0"/>
              <w:rPr>
                <w:sz w:val="20"/>
                <w:szCs w:val="20"/>
                <w:color w:val="auto"/>
              </w:rPr>
            </w:pPr>
            <w:r>
              <w:rPr>
                <w:rFonts w:ascii="Arial" w:cs="Arial" w:eastAsia="Arial" w:hAnsi="Arial"/>
                <w:sz w:val="13"/>
                <w:szCs w:val="13"/>
                <w:color w:val="auto"/>
              </w:rPr>
              <w:t>1984</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28,730</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18.04</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40" w:type="dxa"/>
            <w:vAlign w:val="bottom"/>
          </w:tcPr>
          <w:p>
            <w:pPr>
              <w:ind w:left="60"/>
              <w:spacing w:after="0"/>
              <w:rPr>
                <w:sz w:val="20"/>
                <w:szCs w:val="20"/>
                <w:color w:val="auto"/>
              </w:rPr>
            </w:pPr>
            <w:r>
              <w:rPr>
                <w:rFonts w:ascii="Arial" w:cs="Arial" w:eastAsia="Arial" w:hAnsi="Arial"/>
                <w:sz w:val="13"/>
                <w:szCs w:val="13"/>
                <w:color w:val="auto"/>
                <w:w w:val="93"/>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36,619</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28,168</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25.60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Genuardi's</w:t>
            </w:r>
          </w:p>
        </w:tc>
        <w:tc>
          <w:tcPr>
            <w:tcW w:w="2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60" w:type="dxa"/>
            <w:vAlign w:val="bottom"/>
            <w:gridSpan w:val="2"/>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34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6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Total Philadelphia Metropolitan Area</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263,216</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2,429,000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58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16.81</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4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2340" w:type="dxa"/>
            <w:vAlign w:val="bottom"/>
            <w:tcBorders>
              <w:top w:val="single" w:sz="8" w:color="CCEEFF"/>
            </w:tcBorders>
            <w:shd w:val="clear" w:color="auto" w:fill="CCEEFF"/>
          </w:tcPr>
          <w:p>
            <w:pPr>
              <w:spacing w:after="0"/>
              <w:rPr>
                <w:sz w:val="8"/>
                <w:szCs w:val="8"/>
                <w:color w:val="auto"/>
              </w:rPr>
            </w:pPr>
          </w:p>
        </w:tc>
      </w:tr>
      <w:tr>
        <w:trPr>
          <w:trHeight w:val="148"/>
        </w:trPr>
        <w:tc>
          <w:tcPr>
            <w:tcW w:w="13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auto"/>
                <w:w w:val="88"/>
              </w:rPr>
              <w:t>Los Angeles-Long Beach,</w:t>
            </w: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4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16,997</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83%</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83%</w:t>
            </w:r>
          </w:p>
        </w:tc>
        <w:tc>
          <w:tcPr>
            <w:tcW w:w="60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39.21</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ind w:left="20"/>
              <w:spacing w:after="0"/>
              <w:rPr>
                <w:sz w:val="20"/>
                <w:szCs w:val="20"/>
                <w:color w:val="auto"/>
              </w:rPr>
            </w:pPr>
            <w:r>
              <w:rPr>
                <w:rFonts w:ascii="Arial" w:cs="Arial" w:eastAsia="Arial" w:hAnsi="Arial"/>
                <w:sz w:val="13"/>
                <w:szCs w:val="13"/>
                <w:color w:val="auto"/>
              </w:rPr>
              <w:t>CA</w:t>
            </w: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4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865"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7" w:right="239" w:bottom="865"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6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Average</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460" w:type="dxa"/>
            <w:vAlign w:val="bottom"/>
          </w:tcPr>
          <w:p>
            <w:pPr>
              <w:spacing w:after="0"/>
              <w:rPr>
                <w:sz w:val="11"/>
                <w:szCs w:val="11"/>
                <w:color w:val="auto"/>
              </w:rPr>
            </w:pPr>
          </w:p>
        </w:tc>
      </w:tr>
      <w:tr>
        <w:trPr>
          <w:trHeight w:val="174"/>
        </w:trPr>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Crow Canyon</w:t>
            </w: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San Ramon,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69,794</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19,951</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19.55</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58,000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Lucky</w:t>
            </w: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Loehmann's Dress Shop / Rite Aid</w:t>
            </w:r>
          </w:p>
        </w:tc>
      </w:tr>
      <w:tr>
        <w:trPr>
          <w:trHeight w:val="148"/>
        </w:trPr>
        <w:tc>
          <w:tcPr>
            <w:tcW w:w="14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Escondido</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87"/>
              </w:rPr>
              <w:t>(6)</w:t>
            </w: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San Diego,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1996/2010</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44,471</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22.24</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w w:val="92"/>
              </w:rPr>
              <w:t>TJ Maxx / Toys R Us / Dick’s Sporting Goods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 Ross Dress For Less</w:t>
            </w:r>
          </w:p>
        </w:tc>
      </w:tr>
      <w:tr>
        <w:trPr>
          <w:trHeight w:val="181"/>
        </w:trPr>
        <w:tc>
          <w:tcPr>
            <w:tcW w:w="14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Fifth Ave</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6,056</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47.21</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Urban Outfitters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r>
      <w:tr>
        <w:trPr>
          <w:trHeight w:val="148"/>
        </w:trPr>
        <w:tc>
          <w:tcPr>
            <w:tcW w:w="14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Hermosa Ave</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w w:val="94"/>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5,478</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69%</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30.23</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4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Los Angeles-Long Beach,</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39,262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24.00</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15,000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Fresh &amp; Easy</w:t>
            </w: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 / L.A. Fitness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14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Kings Court</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87"/>
              </w:rPr>
              <w:t>(7)</w:t>
            </w: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11,602</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28.68</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25,000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Lunardi's</w:t>
            </w: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w w:val="94"/>
              </w:rPr>
              <w:t>Super Market</w:t>
            </w:r>
          </w:p>
        </w:tc>
        <w:tc>
          <w:tcPr>
            <w:tcW w:w="2460" w:type="dxa"/>
            <w:vAlign w:val="bottom"/>
          </w:tcPr>
          <w:p>
            <w:pPr>
              <w:spacing w:after="0"/>
              <w:rPr>
                <w:sz w:val="14"/>
                <w:szCs w:val="14"/>
                <w:color w:val="auto"/>
              </w:rPr>
            </w:pPr>
          </w:p>
        </w:tc>
      </w:tr>
      <w:tr>
        <w:trPr>
          <w:trHeight w:val="181"/>
        </w:trPr>
        <w:tc>
          <w:tcPr>
            <w:tcW w:w="14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34,448</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33.11</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Gap / Banana Republic</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r>
      <w:tr>
        <w:trPr>
          <w:trHeight w:val="148"/>
        </w:trPr>
        <w:tc>
          <w:tcPr>
            <w:tcW w:w="14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94"/>
              </w:rPr>
              <w:t>(6)(8)</w:t>
            </w: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w w:val="94"/>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218,402</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33.55</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w w:val="99"/>
              </w:rPr>
              <w:t>Anthropologie / Best Buy / Dick's Sporting</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w w:val="86"/>
              </w:rPr>
              <w:t>(11)</w:t>
            </w:r>
          </w:p>
        </w:tc>
        <w:tc>
          <w:tcPr>
            <w:tcW w:w="1460" w:type="dxa"/>
            <w:vAlign w:val="bottom"/>
          </w:tcPr>
          <w:p>
            <w:pPr>
              <w:ind w:left="4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Goods / H&amp;M / HomeGoods</w:t>
            </w:r>
          </w:p>
        </w:tc>
      </w:tr>
      <w:tr>
        <w:trPr>
          <w:trHeight w:val="156"/>
        </w:trPr>
        <w:tc>
          <w:tcPr>
            <w:tcW w:w="14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Santana Row</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580,613</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46.60</w:t>
            </w: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Crate &amp; Barrel / Container Store / Best Buy /</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CineArts Theatre / Hotel Valencia</w:t>
            </w:r>
          </w:p>
        </w:tc>
      </w:tr>
      <w:tr>
        <w:trPr>
          <w:trHeight w:val="148"/>
        </w:trPr>
        <w:tc>
          <w:tcPr>
            <w:tcW w:w="14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Third St Promenade</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w w:val="94"/>
              </w:rPr>
              <w:t>Los Angeles-Long Beach,</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1996-2000</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76,979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63.62</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J. Crew / Banana Republic / Old Navy /</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Abercrombie &amp; Fitch</w:t>
            </w:r>
          </w:p>
        </w:tc>
      </w:tr>
      <w:tr>
        <w:trPr>
          <w:trHeight w:val="156"/>
        </w:trPr>
        <w:tc>
          <w:tcPr>
            <w:tcW w:w="14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Westgate</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118,462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12.79</w:t>
            </w: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Target / Burlington Coat Factory / Ross Dress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 Less / Michaels / Nordstrom Rack</w:t>
            </w:r>
          </w:p>
        </w:tc>
      </w:tr>
      <w:tr>
        <w:trPr>
          <w:trHeight w:val="173"/>
        </w:trPr>
        <w:tc>
          <w:tcPr>
            <w:tcW w:w="1440" w:type="dxa"/>
            <w:vAlign w:val="bottom"/>
            <w:gridSpan w:val="5"/>
          </w:tcPr>
          <w:p>
            <w:pPr>
              <w:ind w:left="40"/>
              <w:spacing w:after="0"/>
              <w:rPr>
                <w:sz w:val="20"/>
                <w:szCs w:val="20"/>
                <w:color w:val="auto"/>
              </w:rPr>
            </w:pPr>
            <w:r>
              <w:rPr>
                <w:rFonts w:ascii="Arial" w:cs="Arial" w:eastAsia="Arial" w:hAnsi="Arial"/>
                <w:sz w:val="13"/>
                <w:szCs w:val="13"/>
                <w:color w:val="auto"/>
              </w:rPr>
              <w:t>150 Post Street</w:t>
            </w:r>
          </w:p>
        </w:tc>
        <w:tc>
          <w:tcPr>
            <w:tcW w:w="44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San Francisco,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37,858</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41.48</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Brooks Brothers / H &amp; M</w:t>
            </w:r>
          </w:p>
        </w:tc>
      </w:tr>
      <w:tr>
        <w:trPr>
          <w:trHeight w:val="97"/>
        </w:trPr>
        <w:tc>
          <w:tcPr>
            <w:tcW w:w="4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5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246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1,260,422</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2,943,000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31.88</w:t>
            </w: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46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00" w:type="dxa"/>
            <w:vAlign w:val="bottom"/>
            <w:gridSpan w:val="4"/>
          </w:tcPr>
          <w:p>
            <w:pPr>
              <w:ind w:left="60"/>
              <w:spacing w:after="0"/>
              <w:rPr>
                <w:sz w:val="20"/>
                <w:szCs w:val="20"/>
                <w:color w:val="auto"/>
              </w:rPr>
            </w:pPr>
            <w:r>
              <w:rPr>
                <w:rFonts w:ascii="Arial" w:cs="Arial" w:eastAsia="Arial" w:hAnsi="Arial"/>
                <w:sz w:val="13"/>
                <w:szCs w:val="13"/>
                <w:b w:val="1"/>
                <w:bCs w:val="1"/>
                <w:color w:val="auto"/>
                <w:w w:val="93"/>
              </w:rPr>
              <w:t>New York / New Jersey</w:t>
            </w: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48"/>
        </w:trPr>
        <w:tc>
          <w:tcPr>
            <w:tcW w:w="144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Brick Plaza</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Monmouth-Ocean, 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1989</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60,674</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28,757</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414,000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15.16</w:t>
            </w:r>
          </w:p>
        </w:tc>
        <w:tc>
          <w:tcPr>
            <w:tcW w:w="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66,000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A&amp;P</w:t>
            </w:r>
          </w:p>
        </w:tc>
        <w:tc>
          <w:tcPr>
            <w:tcW w:w="24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AMC Loews / Barnes &amp; Noble / Sports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Authority</w:t>
            </w:r>
          </w:p>
        </w:tc>
      </w:tr>
      <w:tr>
        <w:trPr>
          <w:trHeight w:val="173"/>
        </w:trPr>
        <w:tc>
          <w:tcPr>
            <w:tcW w:w="1440" w:type="dxa"/>
            <w:vAlign w:val="bottom"/>
            <w:gridSpan w:val="5"/>
          </w:tcPr>
          <w:p>
            <w:pPr>
              <w:ind w:left="40"/>
              <w:spacing w:after="0"/>
              <w:rPr>
                <w:sz w:val="20"/>
                <w:szCs w:val="20"/>
                <w:color w:val="auto"/>
              </w:rPr>
            </w:pPr>
            <w:r>
              <w:rPr>
                <w:rFonts w:ascii="Arial" w:cs="Arial" w:eastAsia="Arial" w:hAnsi="Arial"/>
                <w:sz w:val="13"/>
                <w:szCs w:val="13"/>
                <w:color w:val="auto"/>
              </w:rPr>
              <w:t>Forest Hills</w:t>
            </w:r>
          </w:p>
        </w:tc>
        <w:tc>
          <w:tcPr>
            <w:tcW w:w="44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8,211</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21.48</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Midway Theatre</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73"/>
        </w:trPr>
        <w:tc>
          <w:tcPr>
            <w:tcW w:w="14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Fresh Meadows</w:t>
            </w: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New York,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75,535</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25.63</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Kohl's / AMC Loews</w:t>
            </w:r>
          </w:p>
        </w:tc>
      </w:tr>
      <w:tr>
        <w:trPr>
          <w:trHeight w:val="97"/>
        </w:trPr>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460" w:type="dxa"/>
            <w:vAlign w:val="bottom"/>
            <w:shd w:val="clear" w:color="auto" w:fill="CCEEFF"/>
          </w:tcPr>
          <w:p>
            <w:pPr>
              <w:spacing w:after="0"/>
              <w:rPr>
                <w:sz w:val="8"/>
                <w:szCs w:val="8"/>
                <w:color w:val="auto"/>
              </w:rPr>
            </w:pPr>
          </w:p>
        </w:tc>
      </w:tr>
      <w:tr>
        <w:trPr>
          <w:trHeight w:val="173"/>
        </w:trPr>
        <w:tc>
          <w:tcPr>
            <w:tcW w:w="1440" w:type="dxa"/>
            <w:vAlign w:val="bottom"/>
            <w:gridSpan w:val="5"/>
          </w:tcPr>
          <w:p>
            <w:pPr>
              <w:ind w:left="40"/>
              <w:spacing w:after="0"/>
              <w:rPr>
                <w:sz w:val="20"/>
                <w:szCs w:val="20"/>
                <w:color w:val="auto"/>
              </w:rPr>
            </w:pPr>
            <w:r>
              <w:rPr>
                <w:rFonts w:ascii="Arial" w:cs="Arial" w:eastAsia="Arial" w:hAnsi="Arial"/>
                <w:sz w:val="13"/>
                <w:szCs w:val="13"/>
                <w:color w:val="auto"/>
              </w:rPr>
              <w:t>Hauppauge</w:t>
            </w:r>
          </w:p>
        </w:tc>
        <w:tc>
          <w:tcPr>
            <w:tcW w:w="44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27,995</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14,700</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133,000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24.81</w:t>
            </w:r>
          </w:p>
        </w:tc>
        <w:tc>
          <w:tcPr>
            <w:tcW w:w="580" w:type="dxa"/>
            <w:vAlign w:val="bottom"/>
          </w:tcPr>
          <w:p>
            <w:pPr>
              <w:ind w:left="40"/>
              <w:spacing w:after="0"/>
              <w:rPr>
                <w:sz w:val="20"/>
                <w:szCs w:val="20"/>
                <w:color w:val="auto"/>
              </w:rPr>
            </w:pPr>
            <w:r>
              <w:rPr>
                <w:rFonts w:ascii="Arial" w:cs="Arial" w:eastAsia="Arial" w:hAnsi="Arial"/>
                <w:sz w:val="13"/>
                <w:szCs w:val="13"/>
                <w:color w:val="auto"/>
              </w:rPr>
              <w:t>61,000</w:t>
            </w:r>
          </w:p>
        </w:tc>
        <w:tc>
          <w:tcPr>
            <w:tcW w:w="8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246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43"/>
        </w:trPr>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60" w:type="dxa"/>
            <w:vAlign w:val="bottom"/>
          </w:tcPr>
          <w:p>
            <w:pPr>
              <w:spacing w:after="0"/>
              <w:rPr>
                <w:sz w:val="3"/>
                <w:szCs w:val="3"/>
                <w:color w:val="auto"/>
              </w:rPr>
            </w:pPr>
          </w:p>
        </w:tc>
      </w:tr>
      <w:tr>
        <w:trPr>
          <w:trHeight w:val="148"/>
        </w:trPr>
        <w:tc>
          <w:tcPr>
            <w:tcW w:w="144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Huntington</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38,822</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292,000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20.46</w:t>
            </w: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6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Buy Buy Baby / Bed, Bath &amp; Beyond /</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Michaels</w:t>
            </w:r>
          </w:p>
        </w:tc>
      </w:tr>
      <w:tr>
        <w:trPr>
          <w:trHeight w:val="173"/>
        </w:trPr>
        <w:tc>
          <w:tcPr>
            <w:tcW w:w="1440" w:type="dxa"/>
            <w:vAlign w:val="bottom"/>
            <w:gridSpan w:val="5"/>
          </w:tcPr>
          <w:p>
            <w:pPr>
              <w:ind w:left="40"/>
              <w:spacing w:after="0"/>
              <w:rPr>
                <w:sz w:val="20"/>
                <w:szCs w:val="20"/>
                <w:color w:val="auto"/>
              </w:rPr>
            </w:pPr>
            <w:r>
              <w:rPr>
                <w:rFonts w:ascii="Arial" w:cs="Arial" w:eastAsia="Arial" w:hAnsi="Arial"/>
                <w:sz w:val="13"/>
                <w:szCs w:val="13"/>
                <w:color w:val="auto"/>
              </w:rPr>
              <w:t>Huntington Square</w:t>
            </w:r>
          </w:p>
        </w:tc>
        <w:tc>
          <w:tcPr>
            <w:tcW w:w="440" w:type="dxa"/>
            <w:vAlign w:val="bottom"/>
          </w:tcPr>
          <w:p>
            <w:pPr>
              <w:spacing w:after="0"/>
              <w:rPr>
                <w:sz w:val="15"/>
                <w:szCs w:val="15"/>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2010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10,438</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jc w:val="right"/>
              <w:spacing w:after="0"/>
              <w:rPr>
                <w:sz w:val="20"/>
                <w:szCs w:val="20"/>
                <w:color w:val="auto"/>
              </w:rPr>
            </w:pPr>
            <w:r>
              <w:rPr>
                <w:rFonts w:ascii="Arial" w:cs="Arial" w:eastAsia="Arial" w:hAnsi="Arial"/>
                <w:sz w:val="13"/>
                <w:szCs w:val="13"/>
                <w:color w:val="auto"/>
              </w:rPr>
              <w:t>93%</w:t>
            </w: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25.69</w:t>
            </w: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96"/>
        </w:trPr>
        <w:tc>
          <w:tcPr>
            <w:tcW w:w="1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Melville Mall</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6"/>
              </w:rPr>
              <w:t>(10)</w:t>
            </w:r>
          </w:p>
        </w:tc>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68,971</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22,325</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18.53</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54,000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9"/>
              </w:rPr>
              <w:t>Dick’s Sporting Goods / Kohl's / Marshalls</w:t>
            </w:r>
          </w:p>
        </w:tc>
      </w:tr>
      <w:tr>
        <w:trPr>
          <w:trHeight w:val="148"/>
        </w:trPr>
        <w:tc>
          <w:tcPr>
            <w:tcW w:w="14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Mercer Mall</w:t>
            </w:r>
          </w:p>
        </w:tc>
        <w:tc>
          <w:tcPr>
            <w:tcW w:w="44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Trenton, NJ</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108,571</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47,270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500,000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20.46</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75,000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Shop Rite</w:t>
            </w: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Bed, Bath &amp; Beyond / DSW / TJ Maxx /</w:t>
            </w: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Raymour &amp; Flanigan</w:t>
            </w:r>
          </w:p>
        </w:tc>
      </w:tr>
      <w:tr>
        <w:trPr>
          <w:trHeight w:val="224"/>
        </w:trPr>
        <w:tc>
          <w:tcPr>
            <w:tcW w:w="1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Troy</w:t>
            </w: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Newark,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28,320</w:t>
            </w:r>
          </w:p>
        </w:tc>
        <w:tc>
          <w:tcPr>
            <w:tcW w:w="6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20.13</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64,000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Pathmark</w:t>
            </w: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w:t>
            </w:r>
          </w:p>
        </w:tc>
      </w:tr>
      <w:tr>
        <w:trPr>
          <w:trHeight w:val="129"/>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ind w:left="40"/>
              <w:spacing w:after="0" w:line="129" w:lineRule="exact"/>
              <w:rPr>
                <w:sz w:val="20"/>
                <w:szCs w:val="20"/>
                <w:color w:val="auto"/>
              </w:rPr>
            </w:pPr>
            <w:r>
              <w:rPr>
                <w:rFonts w:ascii="Arial" w:cs="Arial" w:eastAsia="Arial" w:hAnsi="Arial"/>
                <w:sz w:val="13"/>
                <w:szCs w:val="13"/>
                <w:b w:val="1"/>
                <w:bCs w:val="1"/>
                <w:color w:val="auto"/>
              </w:rPr>
              <w:t>Total New York / New</w:t>
            </w:r>
          </w:p>
        </w:tc>
        <w:tc>
          <w:tcPr>
            <w:tcW w:w="680" w:type="dxa"/>
            <w:vAlign w:val="bottom"/>
          </w:tcPr>
          <w:p>
            <w:pPr>
              <w:spacing w:after="0"/>
              <w:rPr>
                <w:sz w:val="11"/>
                <w:szCs w:val="11"/>
                <w:color w:val="auto"/>
              </w:rPr>
            </w:pPr>
          </w:p>
        </w:tc>
        <w:tc>
          <w:tcPr>
            <w:tcW w:w="66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427,537</w:t>
            </w:r>
          </w:p>
        </w:tc>
        <w:tc>
          <w:tcPr>
            <w:tcW w:w="660" w:type="dxa"/>
            <w:vAlign w:val="bottom"/>
          </w:tcPr>
          <w:p>
            <w:pPr>
              <w:spacing w:after="0"/>
              <w:rPr>
                <w:sz w:val="11"/>
                <w:szCs w:val="11"/>
                <w:color w:val="auto"/>
              </w:rPr>
            </w:pPr>
          </w:p>
        </w:tc>
        <w:tc>
          <w:tcPr>
            <w:tcW w:w="62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9"/>
              </w:rPr>
              <w:t>2,321,000</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98%</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97%</w:t>
            </w:r>
          </w:p>
        </w:tc>
        <w:tc>
          <w:tcPr>
            <w:tcW w:w="5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20.65</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60" w:type="dxa"/>
            <w:vAlign w:val="bottom"/>
          </w:tcPr>
          <w:p>
            <w:pPr>
              <w:spacing w:after="0"/>
              <w:rPr>
                <w:sz w:val="11"/>
                <w:szCs w:val="11"/>
                <w:color w:val="auto"/>
              </w:rPr>
            </w:pPr>
          </w:p>
        </w:tc>
      </w:tr>
      <w:tr>
        <w:trPr>
          <w:trHeight w:val="170"/>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3"/>
                <w:szCs w:val="13"/>
                <w:b w:val="1"/>
                <w:bCs w:val="1"/>
                <w:color w:val="auto"/>
              </w:rPr>
              <w:t>Jersey</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4"/>
        </w:trPr>
        <w:tc>
          <w:tcPr>
            <w:tcW w:w="40" w:type="dxa"/>
            <w:vAlign w:val="bottom"/>
            <w:shd w:val="clear" w:color="auto" w:fill="CCEEFF"/>
          </w:tcPr>
          <w:p>
            <w:pPr>
              <w:spacing w:after="0"/>
              <w:rPr>
                <w:sz w:val="13"/>
                <w:szCs w:val="13"/>
                <w:color w:val="auto"/>
              </w:rPr>
            </w:pPr>
          </w:p>
        </w:tc>
        <w:tc>
          <w:tcPr>
            <w:tcW w:w="140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New England</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60" w:type="dxa"/>
            <w:vAlign w:val="bottom"/>
            <w:shd w:val="clear" w:color="auto" w:fill="CCEEFF"/>
          </w:tcPr>
          <w:p>
            <w:pPr>
              <w:spacing w:after="0"/>
              <w:rPr>
                <w:sz w:val="13"/>
                <w:szCs w:val="13"/>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14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2460" w:type="dxa"/>
            <w:vAlign w:val="bottom"/>
            <w:tcBorders>
              <w:top w:val="single" w:sz="8" w:color="CCEEFF"/>
            </w:tcBorders>
            <w:shd w:val="clear" w:color="auto" w:fill="CCEEFF"/>
          </w:tcPr>
          <w:p>
            <w:pPr>
              <w:spacing w:after="0"/>
              <w:rPr>
                <w:sz w:val="8"/>
                <w:szCs w:val="8"/>
                <w:color w:val="auto"/>
              </w:rPr>
            </w:pPr>
          </w:p>
        </w:tc>
      </w:tr>
      <w:tr>
        <w:trPr>
          <w:trHeight w:val="148"/>
        </w:trPr>
        <w:tc>
          <w:tcPr>
            <w:tcW w:w="14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Assembly Square</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2005-2011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230,829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332,000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17.20</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w w:val="93"/>
              </w:rPr>
              <w:t>AC Moore / Bed, Bath &amp; Beyond / Christmas</w:t>
            </w:r>
          </w:p>
        </w:tc>
      </w:tr>
      <w:tr>
        <w:trPr>
          <w:trHeight w:val="135"/>
        </w:trPr>
        <w:tc>
          <w:tcPr>
            <w:tcW w:w="1440" w:type="dxa"/>
            <w:vAlign w:val="bottom"/>
            <w:gridSpan w:val="5"/>
          </w:tcPr>
          <w:p>
            <w:pPr>
              <w:ind w:left="40"/>
              <w:spacing w:after="0" w:line="135" w:lineRule="exact"/>
              <w:rPr>
                <w:sz w:val="20"/>
                <w:szCs w:val="20"/>
                <w:color w:val="auto"/>
              </w:rPr>
            </w:pPr>
            <w:r>
              <w:rPr>
                <w:rFonts w:ascii="Arial" w:cs="Arial" w:eastAsia="Arial" w:hAnsi="Arial"/>
                <w:sz w:val="13"/>
                <w:szCs w:val="13"/>
                <w:color w:val="auto"/>
              </w:rPr>
              <w:t>Marketplace/Assembly</w:t>
            </w:r>
          </w:p>
        </w:tc>
        <w:tc>
          <w:tcPr>
            <w:tcW w:w="440" w:type="dxa"/>
            <w:vAlign w:val="bottom"/>
          </w:tcPr>
          <w:p>
            <w:pPr>
              <w:spacing w:after="0"/>
              <w:rPr>
                <w:sz w:val="11"/>
                <w:szCs w:val="11"/>
                <w:color w:val="auto"/>
              </w:rPr>
            </w:pPr>
          </w:p>
        </w:tc>
        <w:tc>
          <w:tcPr>
            <w:tcW w:w="1460" w:type="dxa"/>
            <w:vAlign w:val="bottom"/>
          </w:tcPr>
          <w:p>
            <w:pPr>
              <w:ind w:left="40"/>
              <w:spacing w:after="0" w:line="135" w:lineRule="exact"/>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60" w:type="dxa"/>
            <w:vAlign w:val="bottom"/>
          </w:tcPr>
          <w:p>
            <w:pPr>
              <w:ind w:left="40"/>
              <w:spacing w:after="0" w:line="135" w:lineRule="exact"/>
              <w:rPr>
                <w:sz w:val="20"/>
                <w:szCs w:val="20"/>
                <w:color w:val="auto"/>
              </w:rPr>
            </w:pPr>
            <w:r>
              <w:rPr>
                <w:rFonts w:ascii="Arial" w:cs="Arial" w:eastAsia="Arial" w:hAnsi="Arial"/>
                <w:sz w:val="13"/>
                <w:szCs w:val="13"/>
                <w:color w:val="auto"/>
                <w:w w:val="88"/>
              </w:rPr>
              <w:t>Tree Shops / Kmart / Staples / Sports Authority</w:t>
            </w:r>
          </w:p>
        </w:tc>
      </w:tr>
      <w:tr>
        <w:trPr>
          <w:trHeight w:val="168"/>
        </w:trPr>
        <w:tc>
          <w:tcPr>
            <w:tcW w:w="1440" w:type="dxa"/>
            <w:vAlign w:val="bottom"/>
            <w:gridSpan w:val="5"/>
          </w:tcPr>
          <w:p>
            <w:pPr>
              <w:ind w:left="40"/>
              <w:spacing w:after="0"/>
              <w:rPr>
                <w:sz w:val="20"/>
                <w:szCs w:val="20"/>
                <w:color w:val="auto"/>
              </w:rPr>
            </w:pPr>
            <w:r>
              <w:rPr>
                <w:rFonts w:ascii="Arial" w:cs="Arial" w:eastAsia="Arial" w:hAnsi="Arial"/>
                <w:sz w:val="13"/>
                <w:szCs w:val="13"/>
                <w:color w:val="auto"/>
              </w:rPr>
              <w:t>Row</w:t>
            </w: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ind w:left="40"/>
              <w:spacing w:after="0"/>
              <w:rPr>
                <w:sz w:val="20"/>
                <w:szCs w:val="20"/>
                <w:color w:val="auto"/>
              </w:rPr>
            </w:pPr>
            <w:r>
              <w:rPr>
                <w:rFonts w:ascii="Arial" w:cs="Arial" w:eastAsia="Arial" w:hAnsi="Arial"/>
                <w:sz w:val="13"/>
                <w:szCs w:val="13"/>
                <w:color w:val="auto"/>
              </w:rPr>
              <w:t>/ TJ Maxx</w:t>
            </w:r>
          </w:p>
        </w:tc>
      </w:tr>
      <w:tr>
        <w:trPr>
          <w:trHeight w:val="156"/>
        </w:trPr>
        <w:tc>
          <w:tcPr>
            <w:tcW w:w="14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Chelsea Commons</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30,301</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7,628</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11.03</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16,000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Sav-A-Lot</w:t>
            </w: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Depot / Planet Fitness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14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Dedham Plaza</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33,300</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15.87</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80,000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Star Market</w:t>
            </w:r>
          </w:p>
        </w:tc>
        <w:tc>
          <w:tcPr>
            <w:tcW w:w="24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4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Linden Square</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146,524</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42.91</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50,000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w:t>
            </w: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35"/>
        </w:trPr>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Brothers</w:t>
            </w:r>
          </w:p>
        </w:tc>
        <w:tc>
          <w:tcPr>
            <w:tcW w:w="246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1"/>
              </w:rPr>
              <w:t>Supermarkets</w:t>
            </w:r>
          </w:p>
        </w:tc>
        <w:tc>
          <w:tcPr>
            <w:tcW w:w="2460" w:type="dxa"/>
            <w:vAlign w:val="bottom"/>
            <w:shd w:val="clear" w:color="auto" w:fill="CCEEFF"/>
          </w:tcPr>
          <w:p>
            <w:pPr>
              <w:spacing w:after="0"/>
              <w:rPr>
                <w:sz w:val="15"/>
                <w:szCs w:val="15"/>
                <w:color w:val="auto"/>
              </w:rPr>
            </w:pPr>
          </w:p>
        </w:tc>
      </w:tr>
      <w:tr>
        <w:trPr>
          <w:trHeight w:val="148"/>
        </w:trPr>
        <w:tc>
          <w:tcPr>
            <w:tcW w:w="14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North Dartmouth</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9,368</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15.71</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48,000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46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Arial" w:cs="Arial" w:eastAsia="Arial" w:hAnsi="Arial"/>
                <w:sz w:val="13"/>
                <w:szCs w:val="13"/>
                <w:color w:val="auto"/>
              </w:rPr>
              <w:t>Quincy, 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56"/>
        </w:trPr>
        <w:tc>
          <w:tcPr>
            <w:tcW w:w="14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Queen Anne Plaza</w:t>
            </w:r>
          </w:p>
        </w:tc>
        <w:tc>
          <w:tcPr>
            <w:tcW w:w="440" w:type="dxa"/>
            <w:vAlign w:val="bottom"/>
            <w:shd w:val="clear" w:color="auto" w:fill="CCEEFF"/>
          </w:tcPr>
          <w:p>
            <w:pPr>
              <w:spacing w:after="0"/>
              <w:rPr>
                <w:sz w:val="13"/>
                <w:szCs w:val="13"/>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Boston-Cambridge-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15,708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16.16</w:t>
            </w:r>
          </w:p>
        </w:tc>
        <w:tc>
          <w:tcPr>
            <w:tcW w:w="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50,000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Hannaford</w:t>
            </w:r>
          </w:p>
        </w:tc>
        <w:tc>
          <w:tcPr>
            <w:tcW w:w="2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 HomeGoods</w:t>
            </w:r>
          </w:p>
        </w:tc>
      </w:tr>
      <w:tr>
        <w:trPr>
          <w:trHeight w:val="176"/>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color w:val="auto"/>
              </w:rPr>
              <w:t>Quincy, 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148"/>
        </w:trPr>
        <w:tc>
          <w:tcPr>
            <w:tcW w:w="14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Saugus Plaza</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Boston-Cambridge-</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14,636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170,000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11.39</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55,000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5"/>
              </w:rPr>
              <w:t>Super Stop &amp;</w:t>
            </w: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rPr>
              <w:t>Kmart</w:t>
            </w:r>
          </w:p>
        </w:tc>
      </w:tr>
      <w:tr>
        <w:trPr>
          <w:trHeight w:val="170"/>
        </w:trPr>
        <w:tc>
          <w:tcPr>
            <w:tcW w:w="4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Quincy, MA-NH</w:t>
            </w:r>
          </w:p>
        </w:tc>
        <w:tc>
          <w:tcPr>
            <w:tcW w:w="6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246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New England</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480,666</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1,386,000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19.11</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46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00" w:type="dxa"/>
            <w:vAlign w:val="bottom"/>
            <w:gridSpan w:val="4"/>
          </w:tcPr>
          <w:p>
            <w:pPr>
              <w:ind w:left="60"/>
              <w:spacing w:after="0"/>
              <w:rPr>
                <w:sz w:val="20"/>
                <w:szCs w:val="20"/>
                <w:color w:val="auto"/>
              </w:rPr>
            </w:pPr>
            <w:r>
              <w:rPr>
                <w:rFonts w:ascii="Arial" w:cs="Arial" w:eastAsia="Arial" w:hAnsi="Arial"/>
                <w:sz w:val="13"/>
                <w:szCs w:val="13"/>
                <w:b w:val="1"/>
                <w:bCs w:val="1"/>
                <w:color w:val="auto"/>
              </w:rPr>
              <w:t>Baltimore</w:t>
            </w: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60" w:type="dxa"/>
            <w:vAlign w:val="bottom"/>
          </w:tcPr>
          <w:p>
            <w:pPr>
              <w:spacing w:after="0"/>
              <w:rPr>
                <w:sz w:val="8"/>
                <w:szCs w:val="8"/>
                <w:color w:val="auto"/>
              </w:rPr>
            </w:pPr>
          </w:p>
        </w:tc>
      </w:tr>
      <w:tr>
        <w:trPr>
          <w:trHeight w:val="196"/>
        </w:trPr>
        <w:tc>
          <w:tcPr>
            <w:tcW w:w="14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Governor Plaza</w:t>
            </w: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26,038</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17.00</w:t>
            </w: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16,500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 / Dick’s Sporting Goods</w:t>
            </w:r>
          </w:p>
        </w:tc>
      </w:tr>
      <w:tr>
        <w:trPr>
          <w:trHeight w:val="148"/>
        </w:trPr>
        <w:tc>
          <w:tcPr>
            <w:tcW w:w="144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Perring Plaza</w:t>
            </w:r>
          </w:p>
        </w:tc>
        <w:tc>
          <w:tcPr>
            <w:tcW w:w="440" w:type="dxa"/>
            <w:vAlign w:val="bottom"/>
          </w:tcPr>
          <w:p>
            <w:pPr>
              <w:spacing w:after="0"/>
              <w:rPr>
                <w:sz w:val="12"/>
                <w:szCs w:val="12"/>
                <w:color w:val="auto"/>
              </w:rPr>
            </w:pPr>
          </w:p>
        </w:tc>
        <w:tc>
          <w:tcPr>
            <w:tcW w:w="146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27,653</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87%</w:t>
            </w:r>
          </w:p>
        </w:tc>
        <w:tc>
          <w:tcPr>
            <w:tcW w:w="5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12.60</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58,000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2460" w:type="dxa"/>
            <w:vAlign w:val="bottom"/>
          </w:tcPr>
          <w:p>
            <w:pPr>
              <w:ind w:left="40"/>
              <w:spacing w:after="0" w:line="148" w:lineRule="exact"/>
              <w:rPr>
                <w:sz w:val="20"/>
                <w:szCs w:val="20"/>
                <w:color w:val="auto"/>
              </w:rPr>
            </w:pPr>
            <w:r>
              <w:rPr>
                <w:rFonts w:ascii="Arial" w:cs="Arial" w:eastAsia="Arial" w:hAnsi="Arial"/>
                <w:sz w:val="13"/>
                <w:szCs w:val="13"/>
                <w:color w:val="auto"/>
                <w:w w:val="96"/>
              </w:rPr>
              <w:t>Home Depot / Burlington Coat Factory / Jo-</w:t>
            </w:r>
          </w:p>
        </w:tc>
      </w:tr>
      <w:tr>
        <w:trPr>
          <w:trHeight w:val="135"/>
        </w:trPr>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2460" w:type="dxa"/>
            <w:vAlign w:val="bottom"/>
          </w:tcPr>
          <w:p>
            <w:pPr>
              <w:ind w:left="40"/>
              <w:spacing w:after="0" w:line="135" w:lineRule="exact"/>
              <w:rPr>
                <w:sz w:val="20"/>
                <w:szCs w:val="20"/>
                <w:color w:val="auto"/>
              </w:rPr>
            </w:pPr>
            <w:r>
              <w:rPr>
                <w:rFonts w:ascii="Arial" w:cs="Arial" w:eastAsia="Arial" w:hAnsi="Arial"/>
                <w:sz w:val="13"/>
                <w:szCs w:val="13"/>
                <w:color w:val="auto"/>
              </w:rPr>
              <w:t>Ann Stores</w:t>
            </w:r>
          </w:p>
        </w:tc>
      </w:tr>
      <w:tr>
        <w:trPr>
          <w:trHeight w:val="160"/>
        </w:trPr>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Warehouse</w:t>
            </w:r>
          </w:p>
        </w:tc>
        <w:tc>
          <w:tcPr>
            <w:tcW w:w="246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1440"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8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7"/>
              </w:rPr>
              <w:t>Occupied</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400" w:type="dxa"/>
            <w:vAlign w:val="bottom"/>
          </w:tcPr>
          <w:p>
            <w:pPr>
              <w:spacing w:after="0"/>
              <w:rPr>
                <w:sz w:val="11"/>
                <w:szCs w:val="11"/>
                <w:color w:val="auto"/>
              </w:rPr>
            </w:pPr>
          </w:p>
        </w:tc>
      </w:tr>
      <w:tr>
        <w:trPr>
          <w:trHeight w:val="174"/>
        </w:trPr>
        <w:tc>
          <w:tcPr>
            <w:tcW w:w="140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Property Name</w:t>
            </w: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MSA Description</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9"/>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(3)</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(4)</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48"/>
        </w:trPr>
        <w:tc>
          <w:tcPr>
            <w:tcW w:w="140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w w:val="99"/>
              </w:rPr>
              <w:t>THE AVENUE at White</w:t>
            </w:r>
          </w:p>
        </w:tc>
        <w:tc>
          <w:tcPr>
            <w:tcW w:w="3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(7)</w:t>
            </w:r>
          </w:p>
        </w:tc>
        <w:tc>
          <w:tcPr>
            <w:tcW w:w="15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Baltimore, MD</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96,068</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56,603</w:t>
            </w: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298,000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21.51</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AMC Loews / Old Navy / Barnes &amp; Noble /</w:t>
            </w:r>
          </w:p>
        </w:tc>
      </w:tr>
      <w:tr>
        <w:trPr>
          <w:trHeight w:val="176"/>
        </w:trPr>
        <w:tc>
          <w:tcPr>
            <w:tcW w:w="14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Marsh</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 Moore</w:t>
            </w:r>
          </w:p>
        </w:tc>
      </w:tr>
      <w:tr>
        <w:trPr>
          <w:trHeight w:val="148"/>
        </w:trPr>
        <w:tc>
          <w:tcPr>
            <w:tcW w:w="140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The Shoppes at</w:t>
            </w:r>
          </w:p>
        </w:tc>
        <w:tc>
          <w:tcPr>
            <w:tcW w:w="340" w:type="dxa"/>
            <w:vAlign w:val="bottom"/>
          </w:tcPr>
          <w:p>
            <w:pPr>
              <w:spacing w:after="0"/>
              <w:rPr>
                <w:sz w:val="12"/>
                <w:szCs w:val="12"/>
                <w:color w:val="auto"/>
              </w:rPr>
            </w:pPr>
          </w:p>
        </w:tc>
        <w:tc>
          <w:tcPr>
            <w:tcW w:w="150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17,322</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43.92</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68"/>
        </w:trPr>
        <w:tc>
          <w:tcPr>
            <w:tcW w:w="1400" w:type="dxa"/>
            <w:vAlign w:val="bottom"/>
            <w:gridSpan w:val="5"/>
          </w:tcPr>
          <w:p>
            <w:pPr>
              <w:ind w:left="40"/>
              <w:spacing w:after="0"/>
              <w:rPr>
                <w:sz w:val="20"/>
                <w:szCs w:val="20"/>
                <w:color w:val="auto"/>
              </w:rPr>
            </w:pPr>
            <w:r>
              <w:rPr>
                <w:rFonts w:ascii="Arial" w:cs="Arial" w:eastAsia="Arial" w:hAnsi="Arial"/>
                <w:sz w:val="13"/>
                <w:szCs w:val="13"/>
                <w:color w:val="auto"/>
              </w:rPr>
              <w:t>Nottingham Square</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81"/>
        </w:trPr>
        <w:tc>
          <w:tcPr>
            <w:tcW w:w="14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White Marsh Plaza</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25,025</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9,284</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20.39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r>
      <w:tr>
        <w:trPr>
          <w:trHeight w:val="173"/>
        </w:trPr>
        <w:tc>
          <w:tcPr>
            <w:tcW w:w="1400" w:type="dxa"/>
            <w:vAlign w:val="bottom"/>
            <w:gridSpan w:val="5"/>
          </w:tcPr>
          <w:p>
            <w:pPr>
              <w:ind w:left="40"/>
              <w:spacing w:after="0"/>
              <w:rPr>
                <w:sz w:val="20"/>
                <w:szCs w:val="20"/>
                <w:color w:val="auto"/>
              </w:rPr>
            </w:pPr>
            <w:r>
              <w:rPr>
                <w:rFonts w:ascii="Arial" w:cs="Arial" w:eastAsia="Arial" w:hAnsi="Arial"/>
                <w:sz w:val="13"/>
                <w:szCs w:val="13"/>
                <w:color w:val="auto"/>
              </w:rPr>
              <w:t>White Marsh Other</w:t>
            </w:r>
          </w:p>
        </w:tc>
        <w:tc>
          <w:tcPr>
            <w:tcW w:w="340" w:type="dxa"/>
            <w:vAlign w:val="bottom"/>
          </w:tcPr>
          <w:p>
            <w:pPr>
              <w:spacing w:after="0"/>
              <w:rPr>
                <w:sz w:val="15"/>
                <w:szCs w:val="15"/>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39,135</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70,000</w:t>
            </w:r>
          </w:p>
        </w:tc>
        <w:tc>
          <w:tcPr>
            <w:tcW w:w="54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right"/>
              <w:spacing w:after="0"/>
              <w:rPr>
                <w:sz w:val="20"/>
                <w:szCs w:val="20"/>
                <w:color w:val="auto"/>
              </w:rPr>
            </w:pPr>
            <w:r>
              <w:rPr>
                <w:rFonts w:ascii="Arial" w:cs="Arial" w:eastAsia="Arial" w:hAnsi="Arial"/>
                <w:sz w:val="13"/>
                <w:szCs w:val="13"/>
                <w:color w:val="auto"/>
              </w:rPr>
              <w:t>98%</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29.27</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56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50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240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Baltimore</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231,241</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1,142,000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18.64</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360" w:type="dxa"/>
            <w:vAlign w:val="bottom"/>
            <w:gridSpan w:val="4"/>
          </w:tcPr>
          <w:p>
            <w:pPr>
              <w:ind w:left="60"/>
              <w:spacing w:after="0"/>
              <w:rPr>
                <w:sz w:val="20"/>
                <w:szCs w:val="20"/>
                <w:color w:val="auto"/>
              </w:rPr>
            </w:pPr>
            <w:r>
              <w:rPr>
                <w:rFonts w:ascii="Arial" w:cs="Arial" w:eastAsia="Arial" w:hAnsi="Arial"/>
                <w:sz w:val="13"/>
                <w:szCs w:val="13"/>
                <w:b w:val="1"/>
                <w:bCs w:val="1"/>
                <w:color w:val="auto"/>
              </w:rPr>
              <w:t>Chicago</w:t>
            </w: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0" w:type="dxa"/>
            <w:vAlign w:val="bottom"/>
          </w:tcPr>
          <w:p>
            <w:pPr>
              <w:spacing w:after="0"/>
              <w:rPr>
                <w:sz w:val="8"/>
                <w:szCs w:val="8"/>
                <w:color w:val="auto"/>
              </w:rPr>
            </w:pPr>
          </w:p>
        </w:tc>
      </w:tr>
      <w:tr>
        <w:trPr>
          <w:trHeight w:val="173"/>
        </w:trPr>
        <w:tc>
          <w:tcPr>
            <w:tcW w:w="14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Crossroads</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30,879</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20.10</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r>
      <w:tr>
        <w:trPr>
          <w:trHeight w:val="148"/>
        </w:trPr>
        <w:tc>
          <w:tcPr>
            <w:tcW w:w="140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Finley Square</w:t>
            </w:r>
          </w:p>
        </w:tc>
        <w:tc>
          <w:tcPr>
            <w:tcW w:w="340" w:type="dxa"/>
            <w:vAlign w:val="bottom"/>
          </w:tcPr>
          <w:p>
            <w:pPr>
              <w:spacing w:after="0"/>
              <w:rPr>
                <w:sz w:val="12"/>
                <w:szCs w:val="12"/>
                <w:color w:val="auto"/>
              </w:rPr>
            </w:pPr>
          </w:p>
        </w:tc>
        <w:tc>
          <w:tcPr>
            <w:tcW w:w="1500" w:type="dxa"/>
            <w:vAlign w:val="bottom"/>
          </w:tcPr>
          <w:p>
            <w:pPr>
              <w:ind w:left="100"/>
              <w:spacing w:after="0" w:line="148" w:lineRule="exact"/>
              <w:rPr>
                <w:sz w:val="20"/>
                <w:szCs w:val="20"/>
                <w:color w:val="auto"/>
              </w:rPr>
            </w:pPr>
            <w:r>
              <w:rPr>
                <w:rFonts w:ascii="Arial" w:cs="Arial" w:eastAsia="Arial" w:hAnsi="Arial"/>
                <w:sz w:val="13"/>
                <w:szCs w:val="13"/>
                <w:color w:val="auto"/>
              </w:rPr>
              <w:t>Chicago, IL</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32,476</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315,000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10.67</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ind w:left="60"/>
              <w:spacing w:after="0" w:line="148" w:lineRule="exact"/>
              <w:rPr>
                <w:sz w:val="20"/>
                <w:szCs w:val="20"/>
                <w:color w:val="auto"/>
              </w:rPr>
            </w:pPr>
            <w:r>
              <w:rPr>
                <w:rFonts w:ascii="Arial" w:cs="Arial" w:eastAsia="Arial" w:hAnsi="Arial"/>
                <w:sz w:val="13"/>
                <w:szCs w:val="13"/>
                <w:color w:val="auto"/>
              </w:rPr>
              <w:t>Bed, Bath &amp; Beyond / Buy Buy Baby /</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ind w:left="60"/>
              <w:spacing w:after="0"/>
              <w:rPr>
                <w:sz w:val="20"/>
                <w:szCs w:val="20"/>
                <w:color w:val="auto"/>
              </w:rPr>
            </w:pPr>
            <w:r>
              <w:rPr>
                <w:rFonts w:ascii="Arial" w:cs="Arial" w:eastAsia="Arial" w:hAnsi="Arial"/>
                <w:sz w:val="13"/>
                <w:szCs w:val="13"/>
                <w:color w:val="auto"/>
              </w:rPr>
              <w:t>Petsmart</w:t>
            </w:r>
          </w:p>
        </w:tc>
      </w:tr>
      <w:tr>
        <w:trPr>
          <w:trHeight w:val="204"/>
        </w:trPr>
        <w:tc>
          <w:tcPr>
            <w:tcW w:w="1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Garden Market</w:t>
            </w:r>
          </w:p>
        </w:tc>
        <w:tc>
          <w:tcPr>
            <w:tcW w:w="3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12,292</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140,000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12.55</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63,000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Dominick's</w:t>
            </w:r>
          </w:p>
        </w:tc>
        <w:tc>
          <w:tcPr>
            <w:tcW w:w="2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Walgreens</w:t>
            </w:r>
          </w:p>
        </w:tc>
      </w:tr>
      <w:tr>
        <w:trPr>
          <w:trHeight w:val="173"/>
        </w:trPr>
        <w:tc>
          <w:tcPr>
            <w:tcW w:w="1400" w:type="dxa"/>
            <w:vAlign w:val="bottom"/>
            <w:gridSpan w:val="5"/>
          </w:tcPr>
          <w:p>
            <w:pPr>
              <w:ind w:left="40"/>
              <w:spacing w:after="0"/>
              <w:rPr>
                <w:sz w:val="20"/>
                <w:szCs w:val="20"/>
                <w:color w:val="auto"/>
              </w:rPr>
            </w:pPr>
            <w:r>
              <w:rPr>
                <w:rFonts w:ascii="Arial" w:cs="Arial" w:eastAsia="Arial" w:hAnsi="Arial"/>
                <w:sz w:val="13"/>
                <w:szCs w:val="13"/>
                <w:color w:val="auto"/>
              </w:rPr>
              <w:t>North Lake Commons</w:t>
            </w:r>
          </w:p>
        </w:tc>
        <w:tc>
          <w:tcPr>
            <w:tcW w:w="340" w:type="dxa"/>
            <w:vAlign w:val="bottom"/>
          </w:tcPr>
          <w:p>
            <w:pPr>
              <w:spacing w:after="0"/>
              <w:rPr>
                <w:sz w:val="15"/>
                <w:szCs w:val="15"/>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660" w:type="dxa"/>
            <w:vAlign w:val="bottom"/>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14,156</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129,000</w:t>
            </w:r>
          </w:p>
        </w:tc>
        <w:tc>
          <w:tcPr>
            <w:tcW w:w="540" w:type="dxa"/>
            <w:vAlign w:val="bottom"/>
          </w:tcPr>
          <w:p>
            <w:pPr>
              <w:jc w:val="right"/>
              <w:spacing w:after="0"/>
              <w:rPr>
                <w:sz w:val="20"/>
                <w:szCs w:val="20"/>
                <w:color w:val="auto"/>
              </w:rPr>
            </w:pPr>
            <w:r>
              <w:rPr>
                <w:rFonts w:ascii="Arial" w:cs="Arial" w:eastAsia="Arial" w:hAnsi="Arial"/>
                <w:sz w:val="13"/>
                <w:szCs w:val="13"/>
                <w:color w:val="auto"/>
              </w:rPr>
              <w:t>84%</w:t>
            </w:r>
          </w:p>
        </w:tc>
        <w:tc>
          <w:tcPr>
            <w:tcW w:w="600" w:type="dxa"/>
            <w:vAlign w:val="bottom"/>
          </w:tcPr>
          <w:p>
            <w:pPr>
              <w:jc w:val="right"/>
              <w:spacing w:after="0"/>
              <w:rPr>
                <w:sz w:val="20"/>
                <w:szCs w:val="20"/>
                <w:color w:val="auto"/>
              </w:rPr>
            </w:pPr>
            <w:r>
              <w:rPr>
                <w:rFonts w:ascii="Arial" w:cs="Arial" w:eastAsia="Arial" w:hAnsi="Arial"/>
                <w:sz w:val="13"/>
                <w:szCs w:val="13"/>
                <w:color w:val="auto"/>
              </w:rPr>
              <w:t>84%</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12.46</w:t>
            </w:r>
          </w:p>
        </w:tc>
        <w:tc>
          <w:tcPr>
            <w:tcW w:w="600" w:type="dxa"/>
            <w:vAlign w:val="bottom"/>
          </w:tcPr>
          <w:p>
            <w:pPr>
              <w:ind w:left="60"/>
              <w:spacing w:after="0"/>
              <w:rPr>
                <w:sz w:val="20"/>
                <w:szCs w:val="20"/>
                <w:color w:val="auto"/>
              </w:rPr>
            </w:pPr>
            <w:r>
              <w:rPr>
                <w:rFonts w:ascii="Arial" w:cs="Arial" w:eastAsia="Arial" w:hAnsi="Arial"/>
                <w:sz w:val="13"/>
                <w:szCs w:val="13"/>
                <w:color w:val="auto"/>
              </w:rPr>
              <w:t>77,000</w:t>
            </w:r>
          </w:p>
        </w:tc>
        <w:tc>
          <w:tcPr>
            <w:tcW w:w="800" w:type="dxa"/>
            <w:vAlign w:val="bottom"/>
          </w:tcPr>
          <w:p>
            <w:pPr>
              <w:ind w:left="80"/>
              <w:spacing w:after="0"/>
              <w:rPr>
                <w:sz w:val="20"/>
                <w:szCs w:val="20"/>
                <w:color w:val="auto"/>
              </w:rPr>
            </w:pPr>
            <w:r>
              <w:rPr>
                <w:rFonts w:ascii="Arial" w:cs="Arial" w:eastAsia="Arial" w:hAnsi="Arial"/>
                <w:sz w:val="13"/>
                <w:szCs w:val="13"/>
                <w:color w:val="auto"/>
              </w:rPr>
              <w:t>Dominick's</w:t>
            </w:r>
          </w:p>
        </w:tc>
        <w:tc>
          <w:tcPr>
            <w:tcW w:w="240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00" w:type="dxa"/>
            <w:vAlign w:val="bottom"/>
            <w:tcBorders>
              <w:bottom w:val="single" w:sz="8" w:color="CCEEFF"/>
            </w:tcBorders>
          </w:tcPr>
          <w:p>
            <w:pPr>
              <w:spacing w:after="0"/>
              <w:rPr>
                <w:sz w:val="8"/>
                <w:szCs w:val="8"/>
                <w:color w:val="auto"/>
              </w:rPr>
            </w:pPr>
          </w:p>
        </w:tc>
        <w:tc>
          <w:tcPr>
            <w:tcW w:w="56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50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00" w:type="dxa"/>
            <w:vAlign w:val="bottom"/>
            <w:tcBorders>
              <w:bottom w:val="single" w:sz="8" w:color="CCEEFF"/>
            </w:tcBorders>
          </w:tcPr>
          <w:p>
            <w:pPr>
              <w:spacing w:after="0"/>
              <w:rPr>
                <w:sz w:val="8"/>
                <w:szCs w:val="8"/>
                <w:color w:val="auto"/>
              </w:rPr>
            </w:pPr>
          </w:p>
        </w:tc>
        <w:tc>
          <w:tcPr>
            <w:tcW w:w="240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Chicago</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89,803</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752,000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13.47</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360" w:type="dxa"/>
            <w:vAlign w:val="bottom"/>
            <w:gridSpan w:val="4"/>
          </w:tcPr>
          <w:p>
            <w:pPr>
              <w:ind w:left="60"/>
              <w:spacing w:after="0"/>
              <w:rPr>
                <w:sz w:val="20"/>
                <w:szCs w:val="20"/>
                <w:color w:val="auto"/>
              </w:rPr>
            </w:pPr>
            <w:r>
              <w:rPr>
                <w:rFonts w:ascii="Arial" w:cs="Arial" w:eastAsia="Arial" w:hAnsi="Arial"/>
                <w:sz w:val="13"/>
                <w:szCs w:val="13"/>
                <w:b w:val="1"/>
                <w:bCs w:val="1"/>
                <w:color w:val="auto"/>
              </w:rPr>
              <w:t>South Florida</w:t>
            </w:r>
          </w:p>
        </w:tc>
        <w:tc>
          <w:tcPr>
            <w:tcW w:w="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0" w:type="dxa"/>
            <w:vAlign w:val="bottom"/>
          </w:tcPr>
          <w:p>
            <w:pPr>
              <w:spacing w:after="0"/>
              <w:rPr>
                <w:sz w:val="8"/>
                <w:szCs w:val="8"/>
                <w:color w:val="auto"/>
              </w:rPr>
            </w:pPr>
          </w:p>
        </w:tc>
      </w:tr>
      <w:tr>
        <w:trPr>
          <w:trHeight w:val="173"/>
        </w:trPr>
        <w:tc>
          <w:tcPr>
            <w:tcW w:w="14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Courtyard Shops</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Miami-Ft Lauderdale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40,107</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7,045</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130,000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19.46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49,000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Publix</w:t>
            </w:r>
          </w:p>
        </w:tc>
        <w:tc>
          <w:tcPr>
            <w:tcW w:w="24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r>
      <w:tr>
        <w:trPr>
          <w:trHeight w:val="173"/>
        </w:trPr>
        <w:tc>
          <w:tcPr>
            <w:tcW w:w="1400" w:type="dxa"/>
            <w:vAlign w:val="bottom"/>
            <w:gridSpan w:val="5"/>
          </w:tcPr>
          <w:p>
            <w:pPr>
              <w:ind w:left="40"/>
              <w:spacing w:after="0"/>
              <w:rPr>
                <w:sz w:val="20"/>
                <w:szCs w:val="20"/>
                <w:color w:val="auto"/>
              </w:rPr>
            </w:pPr>
            <w:r>
              <w:rPr>
                <w:rFonts w:ascii="Arial" w:cs="Arial" w:eastAsia="Arial" w:hAnsi="Arial"/>
                <w:sz w:val="13"/>
                <w:szCs w:val="13"/>
                <w:color w:val="auto"/>
              </w:rPr>
              <w:t>Del Mar Village</w:t>
            </w:r>
          </w:p>
        </w:tc>
        <w:tc>
          <w:tcPr>
            <w:tcW w:w="340" w:type="dxa"/>
            <w:vAlign w:val="bottom"/>
          </w:tcPr>
          <w:p>
            <w:pPr>
              <w:spacing w:after="0"/>
              <w:rPr>
                <w:sz w:val="15"/>
                <w:szCs w:val="15"/>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Miami-Ft Lauderdale</w:t>
            </w:r>
          </w:p>
        </w:tc>
        <w:tc>
          <w:tcPr>
            <w:tcW w:w="66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55,220</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179,000</w:t>
            </w:r>
          </w:p>
        </w:tc>
        <w:tc>
          <w:tcPr>
            <w:tcW w:w="54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jc w:val="right"/>
              <w:spacing w:after="0"/>
              <w:rPr>
                <w:sz w:val="20"/>
                <w:szCs w:val="20"/>
                <w:color w:val="auto"/>
              </w:rPr>
            </w:pPr>
            <w:r>
              <w:rPr>
                <w:rFonts w:ascii="Arial" w:cs="Arial" w:eastAsia="Arial" w:hAnsi="Arial"/>
                <w:sz w:val="13"/>
                <w:szCs w:val="13"/>
                <w:color w:val="auto"/>
              </w:rPr>
              <w:t>87%</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16.04</w:t>
            </w:r>
          </w:p>
        </w:tc>
        <w:tc>
          <w:tcPr>
            <w:tcW w:w="600" w:type="dxa"/>
            <w:vAlign w:val="bottom"/>
          </w:tcPr>
          <w:p>
            <w:pPr>
              <w:ind w:left="60"/>
              <w:spacing w:after="0"/>
              <w:rPr>
                <w:sz w:val="20"/>
                <w:szCs w:val="20"/>
                <w:color w:val="auto"/>
              </w:rPr>
            </w:pPr>
            <w:r>
              <w:rPr>
                <w:rFonts w:ascii="Arial" w:cs="Arial" w:eastAsia="Arial" w:hAnsi="Arial"/>
                <w:sz w:val="13"/>
                <w:szCs w:val="13"/>
                <w:color w:val="auto"/>
              </w:rPr>
              <w:t>44,000</w:t>
            </w:r>
          </w:p>
        </w:tc>
        <w:tc>
          <w:tcPr>
            <w:tcW w:w="80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240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0" w:type="dxa"/>
            <w:vAlign w:val="bottom"/>
          </w:tcPr>
          <w:p>
            <w:pPr>
              <w:spacing w:after="0"/>
              <w:rPr>
                <w:sz w:val="3"/>
                <w:szCs w:val="3"/>
                <w:color w:val="auto"/>
              </w:rPr>
            </w:pPr>
          </w:p>
        </w:tc>
      </w:tr>
      <w:tr>
        <w:trPr>
          <w:trHeight w:val="148"/>
        </w:trPr>
        <w:tc>
          <w:tcPr>
            <w:tcW w:w="1400" w:type="dxa"/>
            <w:vAlign w:val="bottom"/>
            <w:gridSpan w:val="5"/>
            <w:shd w:val="clear" w:color="auto" w:fill="CCEEFF"/>
          </w:tcPr>
          <w:p>
            <w:pPr>
              <w:ind w:left="40"/>
              <w:spacing w:after="0" w:line="148" w:lineRule="exact"/>
              <w:rPr>
                <w:sz w:val="20"/>
                <w:szCs w:val="20"/>
                <w:color w:val="auto"/>
              </w:rPr>
            </w:pPr>
            <w:r>
              <w:rPr>
                <w:rFonts w:ascii="Arial" w:cs="Arial" w:eastAsia="Arial" w:hAnsi="Arial"/>
                <w:sz w:val="13"/>
                <w:szCs w:val="13"/>
                <w:color w:val="auto"/>
              </w:rPr>
              <w:t>Tower Shops</w:t>
            </w:r>
          </w:p>
        </w:tc>
        <w:tc>
          <w:tcPr>
            <w:tcW w:w="340" w:type="dxa"/>
            <w:vAlign w:val="bottom"/>
            <w:shd w:val="clear" w:color="auto" w:fill="CCEEFF"/>
          </w:tcPr>
          <w:p>
            <w:pPr>
              <w:spacing w:after="0"/>
              <w:rPr>
                <w:sz w:val="12"/>
                <w:szCs w:val="12"/>
                <w:color w:val="auto"/>
              </w:rPr>
            </w:pPr>
          </w:p>
        </w:tc>
        <w:tc>
          <w:tcPr>
            <w:tcW w:w="15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Miami-Ft Lauderdale</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71,280</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368,000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15.13</w:t>
            </w: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89"/>
              </w:rPr>
              <w:t>Best Buy / DSW / Old Navy / Ross Dress For</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 / TJ Maxx</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ind w:left="100"/>
              <w:spacing w:after="0"/>
              <w:rPr>
                <w:sz w:val="20"/>
                <w:szCs w:val="20"/>
                <w:color w:val="auto"/>
              </w:rPr>
            </w:pPr>
            <w:r>
              <w:rPr>
                <w:rFonts w:ascii="Arial" w:cs="Arial" w:eastAsia="Arial" w:hAnsi="Arial"/>
                <w:sz w:val="13"/>
                <w:szCs w:val="13"/>
                <w:b w:val="1"/>
                <w:bCs w:val="1"/>
                <w:color w:val="auto"/>
              </w:rPr>
              <w:t>Total South Florida</w:t>
            </w:r>
          </w:p>
        </w:tc>
        <w:tc>
          <w:tcPr>
            <w:tcW w:w="66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166,607</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677,000</w:t>
            </w:r>
          </w:p>
        </w:tc>
        <w:tc>
          <w:tcPr>
            <w:tcW w:w="54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jc w:val="right"/>
              <w:spacing w:after="0"/>
              <w:rPr>
                <w:sz w:val="20"/>
                <w:szCs w:val="20"/>
                <w:color w:val="auto"/>
              </w:rPr>
            </w:pPr>
            <w:r>
              <w:rPr>
                <w:rFonts w:ascii="Arial" w:cs="Arial" w:eastAsia="Arial" w:hAnsi="Arial"/>
                <w:sz w:val="13"/>
                <w:szCs w:val="13"/>
                <w:color w:val="auto"/>
              </w:rPr>
              <w:t>89%</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16.17</w:t>
            </w: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ind w:left="60"/>
              <w:spacing w:after="0"/>
              <w:rPr>
                <w:sz w:val="20"/>
                <w:szCs w:val="20"/>
                <w:color w:val="auto"/>
              </w:rPr>
            </w:pPr>
            <w:r>
              <w:rPr>
                <w:rFonts w:ascii="Arial" w:cs="Arial" w:eastAsia="Arial" w:hAnsi="Arial"/>
                <w:sz w:val="13"/>
                <w:szCs w:val="13"/>
                <w:b w:val="1"/>
                <w:bCs w:val="1"/>
                <w:color w:val="auto"/>
              </w:rPr>
              <w:t>Other</w:t>
            </w:r>
          </w:p>
        </w:tc>
        <w:tc>
          <w:tcPr>
            <w:tcW w:w="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tcBorders>
            <w:shd w:val="clear" w:color="auto" w:fill="CCEEFF"/>
          </w:tcPr>
          <w:p>
            <w:pPr>
              <w:spacing w:after="0"/>
              <w:rPr>
                <w:sz w:val="8"/>
                <w:szCs w:val="8"/>
                <w:color w:val="auto"/>
              </w:rPr>
            </w:pPr>
          </w:p>
        </w:tc>
        <w:tc>
          <w:tcPr>
            <w:tcW w:w="2400" w:type="dxa"/>
            <w:vAlign w:val="bottom"/>
            <w:tcBorders>
              <w:top w:val="single" w:sz="8" w:color="CCEEFF"/>
            </w:tcBorders>
            <w:shd w:val="clear" w:color="auto" w:fill="CCEEFF"/>
          </w:tcPr>
          <w:p>
            <w:pPr>
              <w:spacing w:after="0"/>
              <w:rPr>
                <w:sz w:val="8"/>
                <w:szCs w:val="8"/>
                <w:color w:val="auto"/>
              </w:rPr>
            </w:pPr>
          </w:p>
        </w:tc>
      </w:tr>
      <w:tr>
        <w:trPr>
          <w:trHeight w:val="148"/>
        </w:trPr>
        <w:tc>
          <w:tcPr>
            <w:tcW w:w="140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Barracks Road</w:t>
            </w:r>
          </w:p>
        </w:tc>
        <w:tc>
          <w:tcPr>
            <w:tcW w:w="340" w:type="dxa"/>
            <w:vAlign w:val="bottom"/>
          </w:tcPr>
          <w:p>
            <w:pPr>
              <w:spacing w:after="0"/>
              <w:rPr>
                <w:sz w:val="12"/>
                <w:szCs w:val="12"/>
                <w:color w:val="auto"/>
              </w:rPr>
            </w:pPr>
          </w:p>
        </w:tc>
        <w:tc>
          <w:tcPr>
            <w:tcW w:w="1500" w:type="dxa"/>
            <w:vAlign w:val="bottom"/>
          </w:tcPr>
          <w:p>
            <w:pPr>
              <w:ind w:left="100"/>
              <w:spacing w:after="0" w:line="148" w:lineRule="exact"/>
              <w:rPr>
                <w:sz w:val="20"/>
                <w:szCs w:val="20"/>
                <w:color w:val="auto"/>
              </w:rPr>
            </w:pPr>
            <w:r>
              <w:rPr>
                <w:rFonts w:ascii="Arial" w:cs="Arial" w:eastAsia="Arial" w:hAnsi="Arial"/>
                <w:sz w:val="13"/>
                <w:szCs w:val="13"/>
                <w:color w:val="auto"/>
              </w:rPr>
              <w:t>Charlottesville, VA</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54,045</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38,995</w:t>
            </w: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487,000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21.66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99,000</w:t>
            </w:r>
          </w:p>
        </w:tc>
        <w:tc>
          <w:tcPr>
            <w:tcW w:w="3200" w:type="dxa"/>
            <w:vAlign w:val="bottom"/>
            <w:gridSpan w:val="2"/>
          </w:tcPr>
          <w:p>
            <w:pPr>
              <w:ind w:left="80"/>
              <w:spacing w:after="0" w:line="148" w:lineRule="exact"/>
              <w:rPr>
                <w:sz w:val="20"/>
                <w:szCs w:val="20"/>
                <w:color w:val="auto"/>
              </w:rPr>
            </w:pPr>
            <w:r>
              <w:rPr>
                <w:rFonts w:ascii="Arial" w:cs="Arial" w:eastAsia="Arial" w:hAnsi="Arial"/>
                <w:sz w:val="13"/>
                <w:szCs w:val="13"/>
                <w:color w:val="auto"/>
              </w:rPr>
              <w:t>Harris Teeter / Anthropologie / Bed, Bath &amp; Beyond /</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rPr>
              <w:t>Kroger</w:t>
            </w:r>
          </w:p>
        </w:tc>
        <w:tc>
          <w:tcPr>
            <w:tcW w:w="2400" w:type="dxa"/>
            <w:vAlign w:val="bottom"/>
          </w:tcPr>
          <w:p>
            <w:pPr>
              <w:ind w:left="60"/>
              <w:spacing w:after="0"/>
              <w:rPr>
                <w:sz w:val="20"/>
                <w:szCs w:val="20"/>
                <w:color w:val="auto"/>
              </w:rPr>
            </w:pPr>
            <w:r>
              <w:rPr>
                <w:rFonts w:ascii="Arial" w:cs="Arial" w:eastAsia="Arial" w:hAnsi="Arial"/>
                <w:sz w:val="13"/>
                <w:szCs w:val="13"/>
                <w:color w:val="auto"/>
                <w:w w:val="92"/>
              </w:rPr>
              <w:t>Barnes &amp; Noble / Old Navy / Michaels / Ulta</w:t>
            </w:r>
          </w:p>
        </w:tc>
      </w:tr>
      <w:tr>
        <w:trPr>
          <w:trHeight w:val="204"/>
        </w:trPr>
        <w:tc>
          <w:tcPr>
            <w:tcW w:w="1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Bristol Plaza</w:t>
            </w:r>
          </w:p>
        </w:tc>
        <w:tc>
          <w:tcPr>
            <w:tcW w:w="3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Hartford, CT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28,089</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266,000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12.33</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74,000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5"/>
              </w:rPr>
              <w:t>Stop &amp; Shop</w:t>
            </w:r>
          </w:p>
        </w:tc>
        <w:tc>
          <w:tcPr>
            <w:tcW w:w="2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TJ Maxx</w:t>
            </w:r>
          </w:p>
        </w:tc>
      </w:tr>
      <w:tr>
        <w:trPr>
          <w:trHeight w:val="148"/>
        </w:trPr>
        <w:tc>
          <w:tcPr>
            <w:tcW w:w="140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Eastgate</w:t>
            </w:r>
          </w:p>
        </w:tc>
        <w:tc>
          <w:tcPr>
            <w:tcW w:w="340" w:type="dxa"/>
            <w:vAlign w:val="bottom"/>
          </w:tcPr>
          <w:p>
            <w:pPr>
              <w:spacing w:after="0"/>
              <w:rPr>
                <w:sz w:val="12"/>
                <w:szCs w:val="12"/>
                <w:color w:val="auto"/>
              </w:rPr>
            </w:pPr>
          </w:p>
        </w:tc>
        <w:tc>
          <w:tcPr>
            <w:tcW w:w="1500" w:type="dxa"/>
            <w:vAlign w:val="bottom"/>
          </w:tcPr>
          <w:p>
            <w:pPr>
              <w:ind w:left="100"/>
              <w:spacing w:after="0" w:line="148" w:lineRule="exact"/>
              <w:rPr>
                <w:sz w:val="20"/>
                <w:szCs w:val="20"/>
                <w:color w:val="auto"/>
              </w:rPr>
            </w:pPr>
            <w:r>
              <w:rPr>
                <w:rFonts w:ascii="Arial" w:cs="Arial" w:eastAsia="Arial" w:hAnsi="Arial"/>
                <w:sz w:val="13"/>
                <w:szCs w:val="13"/>
                <w:color w:val="auto"/>
                <w:w w:val="98"/>
              </w:rPr>
              <w:t>Raleigh-Durham-Chapel</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26,517</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21.74</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13,000</w:t>
            </w:r>
          </w:p>
        </w:tc>
        <w:tc>
          <w:tcPr>
            <w:tcW w:w="800" w:type="dxa"/>
            <w:vAlign w:val="bottom"/>
          </w:tcPr>
          <w:p>
            <w:pPr>
              <w:ind w:left="80"/>
              <w:spacing w:after="0" w:line="148" w:lineRule="exact"/>
              <w:rPr>
                <w:sz w:val="20"/>
                <w:szCs w:val="20"/>
                <w:color w:val="auto"/>
              </w:rPr>
            </w:pPr>
            <w:r>
              <w:rPr>
                <w:rFonts w:ascii="Arial" w:cs="Arial" w:eastAsia="Arial" w:hAnsi="Arial"/>
                <w:sz w:val="13"/>
                <w:szCs w:val="13"/>
                <w:color w:val="auto"/>
                <w:w w:val="97"/>
              </w:rPr>
              <w:t>Trader Joe's</w:t>
            </w:r>
          </w:p>
        </w:tc>
        <w:tc>
          <w:tcPr>
            <w:tcW w:w="2400" w:type="dxa"/>
            <w:vAlign w:val="bottom"/>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Hill, NC</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204"/>
        </w:trPr>
        <w:tc>
          <w:tcPr>
            <w:tcW w:w="14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3"/>
                <w:szCs w:val="13"/>
                <w:color w:val="auto"/>
              </w:rPr>
              <w:t>Gratiot Plaza</w:t>
            </w:r>
          </w:p>
        </w:tc>
        <w:tc>
          <w:tcPr>
            <w:tcW w:w="3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Detroit, MI</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19,002</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217,000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11.73</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69,000</w:t>
            </w:r>
          </w:p>
        </w:tc>
        <w:tc>
          <w:tcPr>
            <w:tcW w:w="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148"/>
        </w:trPr>
        <w:tc>
          <w:tcPr>
            <w:tcW w:w="1400" w:type="dxa"/>
            <w:vAlign w:val="bottom"/>
            <w:gridSpan w:val="5"/>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340" w:type="dxa"/>
            <w:vAlign w:val="bottom"/>
          </w:tcPr>
          <w:p>
            <w:pPr>
              <w:spacing w:after="0"/>
              <w:rPr>
                <w:sz w:val="12"/>
                <w:szCs w:val="12"/>
                <w:color w:val="auto"/>
              </w:rPr>
            </w:pPr>
          </w:p>
        </w:tc>
        <w:tc>
          <w:tcPr>
            <w:tcW w:w="1500" w:type="dxa"/>
            <w:vAlign w:val="bottom"/>
          </w:tcPr>
          <w:p>
            <w:pPr>
              <w:ind w:left="100"/>
              <w:spacing w:after="0" w:line="148" w:lineRule="exact"/>
              <w:rPr>
                <w:sz w:val="20"/>
                <w:szCs w:val="20"/>
                <w:color w:val="auto"/>
              </w:rPr>
            </w:pPr>
            <w:r>
              <w:rPr>
                <w:rFonts w:ascii="Arial" w:cs="Arial" w:eastAsia="Arial" w:hAnsi="Arial"/>
                <w:sz w:val="13"/>
                <w:szCs w:val="13"/>
                <w:color w:val="auto"/>
              </w:rPr>
              <w:t>New Haven-Bridgeport-</w:t>
            </w:r>
          </w:p>
        </w:tc>
        <w:tc>
          <w:tcPr>
            <w:tcW w:w="66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13,969</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35,000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61.00</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0" w:type="dxa"/>
            <w:vAlign w:val="bottom"/>
          </w:tcPr>
          <w:p>
            <w:pPr>
              <w:ind w:left="6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Stamford-Waterbury</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81"/>
        </w:trPr>
        <w:tc>
          <w:tcPr>
            <w:tcW w:w="14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Houston St</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San Antonio, TX</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65,407</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182,000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22.58</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Hotel Valencia / Walgreens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r>
      <w:tr>
        <w:trPr>
          <w:trHeight w:val="173"/>
        </w:trPr>
        <w:tc>
          <w:tcPr>
            <w:tcW w:w="1400" w:type="dxa"/>
            <w:vAlign w:val="bottom"/>
            <w:gridSpan w:val="5"/>
          </w:tcPr>
          <w:p>
            <w:pPr>
              <w:ind w:left="40"/>
              <w:spacing w:after="0"/>
              <w:rPr>
                <w:sz w:val="20"/>
                <w:szCs w:val="20"/>
                <w:color w:val="auto"/>
              </w:rPr>
            </w:pPr>
            <w:r>
              <w:rPr>
                <w:rFonts w:ascii="Arial" w:cs="Arial" w:eastAsia="Arial" w:hAnsi="Arial"/>
                <w:sz w:val="13"/>
                <w:szCs w:val="13"/>
                <w:color w:val="auto"/>
              </w:rPr>
              <w:t>Lancaster</w:t>
            </w: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500" w:type="dxa"/>
            <w:vAlign w:val="bottom"/>
          </w:tcPr>
          <w:p>
            <w:pPr>
              <w:ind w:left="100"/>
              <w:spacing w:after="0"/>
              <w:rPr>
                <w:sz w:val="20"/>
                <w:szCs w:val="20"/>
                <w:color w:val="auto"/>
              </w:rPr>
            </w:pPr>
            <w:r>
              <w:rPr>
                <w:rFonts w:ascii="Arial" w:cs="Arial" w:eastAsia="Arial" w:hAnsi="Arial"/>
                <w:sz w:val="13"/>
                <w:szCs w:val="13"/>
                <w:color w:val="auto"/>
              </w:rPr>
              <w:t>Lancaster, PA</w:t>
            </w:r>
          </w:p>
        </w:tc>
        <w:tc>
          <w:tcPr>
            <w:tcW w:w="660" w:type="dxa"/>
            <w:vAlign w:val="bottom"/>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12,828</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4,907</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127,000</w:t>
            </w:r>
          </w:p>
        </w:tc>
        <w:tc>
          <w:tcPr>
            <w:tcW w:w="54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jc w:val="right"/>
              <w:spacing w:after="0"/>
              <w:rPr>
                <w:sz w:val="20"/>
                <w:szCs w:val="20"/>
                <w:color w:val="auto"/>
              </w:rPr>
            </w:pPr>
            <w:r>
              <w:rPr>
                <w:rFonts w:ascii="Arial" w:cs="Arial" w:eastAsia="Arial" w:hAnsi="Arial"/>
                <w:sz w:val="13"/>
                <w:szCs w:val="13"/>
                <w:color w:val="auto"/>
              </w:rPr>
              <w:t>92%</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16.24</w:t>
            </w:r>
          </w:p>
        </w:tc>
        <w:tc>
          <w:tcPr>
            <w:tcW w:w="600" w:type="dxa"/>
            <w:vAlign w:val="bottom"/>
          </w:tcPr>
          <w:p>
            <w:pPr>
              <w:ind w:left="60"/>
              <w:spacing w:after="0"/>
              <w:rPr>
                <w:sz w:val="20"/>
                <w:szCs w:val="20"/>
                <w:color w:val="auto"/>
              </w:rPr>
            </w:pPr>
            <w:r>
              <w:rPr>
                <w:rFonts w:ascii="Arial" w:cs="Arial" w:eastAsia="Arial" w:hAnsi="Arial"/>
                <w:sz w:val="13"/>
                <w:szCs w:val="13"/>
                <w:color w:val="auto"/>
              </w:rPr>
              <w:t>75,000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400" w:type="dxa"/>
            <w:vAlign w:val="bottom"/>
          </w:tcPr>
          <w:p>
            <w:pPr>
              <w:ind w:left="60"/>
              <w:spacing w:after="0"/>
              <w:rPr>
                <w:sz w:val="20"/>
                <w:szCs w:val="20"/>
                <w:color w:val="auto"/>
              </w:rPr>
            </w:pPr>
            <w:r>
              <w:rPr>
                <w:rFonts w:ascii="Arial" w:cs="Arial" w:eastAsia="Arial" w:hAnsi="Arial"/>
                <w:sz w:val="13"/>
                <w:szCs w:val="13"/>
                <w:color w:val="auto"/>
              </w:rPr>
              <w:t>Michaels</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0" w:type="dxa"/>
            <w:vAlign w:val="bottom"/>
          </w:tcPr>
          <w:p>
            <w:pPr>
              <w:spacing w:after="0"/>
              <w:rPr>
                <w:sz w:val="3"/>
                <w:szCs w:val="3"/>
                <w:color w:val="auto"/>
              </w:rPr>
            </w:pPr>
          </w:p>
        </w:tc>
      </w:tr>
      <w:tr>
        <w:trPr>
          <w:trHeight w:val="173"/>
        </w:trPr>
        <w:tc>
          <w:tcPr>
            <w:tcW w:w="140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Shoppers' World</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Charlottesville, VA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30,958</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5,444</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14.00</w:t>
            </w:r>
          </w:p>
        </w:tc>
        <w:tc>
          <w:tcPr>
            <w:tcW w:w="6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Staples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r>
      <w:tr>
        <w:trPr>
          <w:trHeight w:val="173"/>
        </w:trPr>
        <w:tc>
          <w:tcPr>
            <w:tcW w:w="1400" w:type="dxa"/>
            <w:vAlign w:val="bottom"/>
            <w:gridSpan w:val="5"/>
          </w:tcPr>
          <w:p>
            <w:pPr>
              <w:ind w:left="40"/>
              <w:spacing w:after="0"/>
              <w:rPr>
                <w:sz w:val="20"/>
                <w:szCs w:val="20"/>
                <w:color w:val="auto"/>
              </w:rPr>
            </w:pPr>
            <w:r>
              <w:rPr>
                <w:rFonts w:ascii="Arial" w:cs="Arial" w:eastAsia="Arial" w:hAnsi="Arial"/>
                <w:sz w:val="13"/>
                <w:szCs w:val="13"/>
                <w:color w:val="auto"/>
              </w:rPr>
              <w:t>Shops at Willow Lawn</w:t>
            </w:r>
          </w:p>
        </w:tc>
        <w:tc>
          <w:tcPr>
            <w:tcW w:w="340" w:type="dxa"/>
            <w:vAlign w:val="bottom"/>
          </w:tcPr>
          <w:p>
            <w:pPr>
              <w:spacing w:after="0"/>
              <w:rPr>
                <w:sz w:val="15"/>
                <w:szCs w:val="15"/>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w w:val="91"/>
              </w:rPr>
              <w:t>Richmond-Petersburg, VA</w:t>
            </w:r>
          </w:p>
        </w:tc>
        <w:tc>
          <w:tcPr>
            <w:tcW w:w="660" w:type="dxa"/>
            <w:vAlign w:val="bottom"/>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81,300</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438,000</w:t>
            </w:r>
          </w:p>
        </w:tc>
        <w:tc>
          <w:tcPr>
            <w:tcW w:w="540" w:type="dxa"/>
            <w:vAlign w:val="bottom"/>
          </w:tcPr>
          <w:p>
            <w:pPr>
              <w:jc w:val="right"/>
              <w:spacing w:after="0"/>
              <w:rPr>
                <w:sz w:val="20"/>
                <w:szCs w:val="20"/>
                <w:color w:val="auto"/>
              </w:rPr>
            </w:pPr>
            <w:r>
              <w:rPr>
                <w:rFonts w:ascii="Arial" w:cs="Arial" w:eastAsia="Arial" w:hAnsi="Arial"/>
                <w:sz w:val="13"/>
                <w:szCs w:val="13"/>
                <w:color w:val="auto"/>
              </w:rPr>
              <w:t>83%</w:t>
            </w:r>
          </w:p>
        </w:tc>
        <w:tc>
          <w:tcPr>
            <w:tcW w:w="600" w:type="dxa"/>
            <w:vAlign w:val="bottom"/>
          </w:tcPr>
          <w:p>
            <w:pPr>
              <w:jc w:val="right"/>
              <w:spacing w:after="0"/>
              <w:rPr>
                <w:sz w:val="20"/>
                <w:szCs w:val="20"/>
                <w:color w:val="auto"/>
              </w:rPr>
            </w:pPr>
            <w:r>
              <w:rPr>
                <w:rFonts w:ascii="Arial" w:cs="Arial" w:eastAsia="Arial" w:hAnsi="Arial"/>
                <w:sz w:val="13"/>
                <w:szCs w:val="13"/>
                <w:color w:val="auto"/>
              </w:rPr>
              <w:t>83%</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16.41</w:t>
            </w:r>
          </w:p>
        </w:tc>
        <w:tc>
          <w:tcPr>
            <w:tcW w:w="600" w:type="dxa"/>
            <w:vAlign w:val="bottom"/>
          </w:tcPr>
          <w:p>
            <w:pPr>
              <w:ind w:left="60"/>
              <w:spacing w:after="0"/>
              <w:rPr>
                <w:sz w:val="20"/>
                <w:szCs w:val="20"/>
                <w:color w:val="auto"/>
              </w:rPr>
            </w:pPr>
            <w:r>
              <w:rPr>
                <w:rFonts w:ascii="Arial" w:cs="Arial" w:eastAsia="Arial" w:hAnsi="Arial"/>
                <w:sz w:val="13"/>
                <w:szCs w:val="13"/>
                <w:color w:val="auto"/>
              </w:rPr>
              <w:t>66,000</w:t>
            </w:r>
          </w:p>
        </w:tc>
        <w:tc>
          <w:tcPr>
            <w:tcW w:w="800" w:type="dxa"/>
            <w:vAlign w:val="bottom"/>
          </w:tcPr>
          <w:p>
            <w:pPr>
              <w:ind w:left="80"/>
              <w:spacing w:after="0"/>
              <w:rPr>
                <w:sz w:val="20"/>
                <w:szCs w:val="20"/>
                <w:color w:val="auto"/>
              </w:rPr>
            </w:pPr>
            <w:r>
              <w:rPr>
                <w:rFonts w:ascii="Arial" w:cs="Arial" w:eastAsia="Arial" w:hAnsi="Arial"/>
                <w:sz w:val="13"/>
                <w:szCs w:val="13"/>
                <w:color w:val="auto"/>
              </w:rPr>
              <w:t>Kroger</w:t>
            </w:r>
          </w:p>
        </w:tc>
        <w:tc>
          <w:tcPr>
            <w:tcW w:w="2400" w:type="dxa"/>
            <w:vAlign w:val="bottom"/>
          </w:tcPr>
          <w:p>
            <w:pPr>
              <w:ind w:left="60"/>
              <w:spacing w:after="0"/>
              <w:rPr>
                <w:sz w:val="20"/>
                <w:szCs w:val="20"/>
                <w:color w:val="auto"/>
              </w:rPr>
            </w:pPr>
            <w:r>
              <w:rPr>
                <w:rFonts w:ascii="Arial" w:cs="Arial" w:eastAsia="Arial" w:hAnsi="Arial"/>
                <w:sz w:val="13"/>
                <w:szCs w:val="13"/>
                <w:color w:val="auto"/>
                <w:w w:val="96"/>
              </w:rPr>
              <w:t>Old Navy / Staples / Ross Dress For Less</w:t>
            </w:r>
          </w:p>
        </w:tc>
      </w:tr>
      <w:tr>
        <w:trPr>
          <w:trHeight w:val="43"/>
        </w:trPr>
        <w:tc>
          <w:tcPr>
            <w:tcW w:w="4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2400" w:type="dxa"/>
            <w:vAlign w:val="bottom"/>
            <w:tcBorders>
              <w:bottom w:val="single" w:sz="8" w:color="CCEEFF"/>
            </w:tcBorders>
          </w:tcPr>
          <w:p>
            <w:pPr>
              <w:spacing w:after="0"/>
              <w:rPr>
                <w:sz w:val="3"/>
                <w:szCs w:val="3"/>
                <w:color w:val="auto"/>
              </w:rPr>
            </w:pPr>
          </w:p>
        </w:tc>
      </w:tr>
      <w:tr>
        <w:trPr>
          <w:trHeight w:val="167"/>
        </w:trPr>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Other</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332,115</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2,074,000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18.30</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120" w:type="dxa"/>
            <w:vAlign w:val="bottom"/>
            <w:gridSpan w:val="2"/>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r>
      <w:tr>
        <w:trPr>
          <w:trHeight w:val="135"/>
        </w:trPr>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r>
      <w:tr>
        <w:trPr>
          <w:trHeight w:val="167"/>
        </w:trPr>
        <w:tc>
          <w:tcPr>
            <w:tcW w:w="1400" w:type="dxa"/>
            <w:vAlign w:val="bottom"/>
            <w:gridSpan w:val="5"/>
            <w:shd w:val="clear" w:color="auto" w:fill="CCEEFF"/>
          </w:tcPr>
          <w:p>
            <w:pPr>
              <w:ind w:left="40"/>
              <w:spacing w:after="0"/>
              <w:rPr>
                <w:sz w:val="20"/>
                <w:szCs w:val="20"/>
                <w:color w:val="auto"/>
              </w:rPr>
            </w:pPr>
            <w:r>
              <w:rPr>
                <w:rFonts w:ascii="Arial" w:cs="Arial" w:eastAsia="Arial" w:hAnsi="Arial"/>
                <w:sz w:val="13"/>
                <w:szCs w:val="13"/>
                <w:b w:val="1"/>
                <w:bCs w:val="1"/>
                <w:color w:val="auto"/>
              </w:rPr>
              <w:t>Grand Total</w:t>
            </w:r>
          </w:p>
        </w:tc>
        <w:tc>
          <w:tcPr>
            <w:tcW w:w="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7"/>
              </w:rPr>
              <w:t>$ 4,434,544</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3"/>
              </w:rPr>
              <w:t>$ 800,516</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9"/>
              </w:rPr>
              <w:t>19,259,000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93%</w:t>
            </w:r>
          </w:p>
        </w:tc>
        <w:tc>
          <w:tcPr>
            <w:tcW w:w="112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92% $ 23.37</w:t>
            </w:r>
          </w:p>
        </w:tc>
        <w:tc>
          <w:tcPr>
            <w:tcW w:w="6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r>
      <w:tr>
        <w:trPr>
          <w:trHeight w:val="97"/>
        </w:trPr>
        <w:tc>
          <w:tcPr>
            <w:tcW w:w="4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15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shd w:val="clear" w:color="auto" w:fill="CCEEFF"/>
          </w:tcPr>
          <w:p>
            <w:pPr>
              <w:spacing w:after="0"/>
              <w:rPr>
                <w:sz w:val="8"/>
                <w:szCs w:val="8"/>
                <w:color w:val="auto"/>
              </w:rPr>
            </w:pPr>
          </w:p>
        </w:tc>
        <w:tc>
          <w:tcPr>
            <w:tcW w:w="2400" w:type="dxa"/>
            <w:vAlign w:val="bottom"/>
            <w:tcBorders>
              <w:bottom w:val="single" w:sz="8" w:color="auto"/>
            </w:tcBorders>
            <w:shd w:val="clear" w:color="auto" w:fill="CCEEFF"/>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420" w:hanging="1385"/>
        <w:spacing w:after="0"/>
        <w:tabs>
          <w:tab w:leader="none" w:pos="1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mortgage or capital lease obligations differ from the total reported on the consolidated balance sheet due to the unamortized discount or premium on certain mortgage payables.</w:t>
      </w:r>
    </w:p>
    <w:p>
      <w:pPr>
        <w:spacing w:after="0" w:line="51" w:lineRule="exact"/>
        <w:rPr>
          <w:rFonts w:ascii="Arial" w:cs="Arial" w:eastAsia="Arial" w:hAnsi="Arial"/>
          <w:sz w:val="12"/>
          <w:szCs w:val="12"/>
          <w:color w:val="auto"/>
        </w:rPr>
      </w:pPr>
    </w:p>
    <w:p>
      <w:pPr>
        <w:ind w:left="1420" w:hanging="1385"/>
        <w:spacing w:after="0"/>
        <w:tabs>
          <w:tab w:leader="none" w:pos="1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Excludes newly created redevelopment square footage not yet in service, as well as residential and hotel square footage.</w:t>
      </w:r>
    </w:p>
    <w:p>
      <w:pPr>
        <w:spacing w:after="0" w:line="39" w:lineRule="exact"/>
        <w:rPr>
          <w:rFonts w:ascii="Arial" w:cs="Arial" w:eastAsia="Arial" w:hAnsi="Arial"/>
          <w:sz w:val="13"/>
          <w:szCs w:val="13"/>
          <w:color w:val="auto"/>
        </w:rPr>
      </w:pPr>
    </w:p>
    <w:p>
      <w:pPr>
        <w:ind w:left="1420" w:hanging="1385"/>
        <w:spacing w:after="0"/>
        <w:tabs>
          <w:tab w:leader="none" w:pos="1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For purposes of this schedule, "occupied" refers to spaces where the lease term and obligation to pay rent have commenced.</w:t>
      </w:r>
    </w:p>
    <w:p>
      <w:pPr>
        <w:spacing w:after="0" w:line="39" w:lineRule="exact"/>
        <w:rPr>
          <w:rFonts w:ascii="Arial" w:cs="Arial" w:eastAsia="Arial" w:hAnsi="Arial"/>
          <w:sz w:val="13"/>
          <w:szCs w:val="13"/>
          <w:color w:val="auto"/>
        </w:rPr>
      </w:pPr>
    </w:p>
    <w:p>
      <w:pPr>
        <w:ind w:left="1420" w:hanging="1385"/>
        <w:spacing w:after="0"/>
        <w:tabs>
          <w:tab w:leader="none" w:pos="1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Calculated as the aggregate, annualized in-place contractual (cash basis) minimum rent for all occupied spaces divided by the aggregate GLA of all occupied spaces.</w:t>
      </w:r>
    </w:p>
    <w:p>
      <w:pPr>
        <w:spacing w:after="0" w:line="39" w:lineRule="exact"/>
        <w:rPr>
          <w:rFonts w:ascii="Arial" w:cs="Arial" w:eastAsia="Arial" w:hAnsi="Arial"/>
          <w:sz w:val="13"/>
          <w:szCs w:val="13"/>
          <w:color w:val="auto"/>
        </w:rPr>
      </w:pPr>
    </w:p>
    <w:p>
      <w:pPr>
        <w:ind w:left="1420" w:hanging="1385"/>
        <w:spacing w:after="0"/>
        <w:tabs>
          <w:tab w:leader="none" w:pos="1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Portion of property subject to capital lease obligation.</w:t>
      </w:r>
    </w:p>
    <w:p>
      <w:pPr>
        <w:spacing w:after="0" w:line="39" w:lineRule="exact"/>
        <w:rPr>
          <w:rFonts w:ascii="Arial" w:cs="Arial" w:eastAsia="Arial" w:hAnsi="Arial"/>
          <w:sz w:val="13"/>
          <w:szCs w:val="13"/>
          <w:color w:val="auto"/>
        </w:rPr>
      </w:pPr>
    </w:p>
    <w:p>
      <w:pPr>
        <w:ind w:left="1420" w:hanging="1385"/>
        <w:spacing w:after="0"/>
        <w:tabs>
          <w:tab w:leader="none" w:pos="1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1420" w:right="540" w:hanging="1385"/>
        <w:spacing w:after="0" w:line="237" w:lineRule="auto"/>
        <w:tabs>
          <w:tab w:leader="none" w:pos="1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420" w:hanging="1385"/>
        <w:spacing w:after="0"/>
        <w:tabs>
          <w:tab w:leader="none" w:pos="1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a 100% owned, 8.1 acre land parcel to be used for future development.</w:t>
      </w:r>
    </w:p>
    <w:p>
      <w:pPr>
        <w:spacing w:after="0" w:line="39" w:lineRule="exact"/>
        <w:rPr>
          <w:rFonts w:ascii="Arial" w:cs="Arial" w:eastAsia="Arial" w:hAnsi="Arial"/>
          <w:sz w:val="13"/>
          <w:szCs w:val="13"/>
          <w:color w:val="auto"/>
        </w:rPr>
      </w:pPr>
    </w:p>
    <w:p>
      <w:pPr>
        <w:ind w:left="1420" w:hanging="1385"/>
        <w:spacing w:after="0"/>
        <w:tabs>
          <w:tab w:leader="none" w:pos="1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Property subject to capital lease obligation.</w:t>
      </w:r>
    </w:p>
    <w:p>
      <w:pPr>
        <w:spacing w:after="0" w:line="39" w:lineRule="exact"/>
        <w:rPr>
          <w:rFonts w:ascii="Arial" w:cs="Arial" w:eastAsia="Arial" w:hAnsi="Arial"/>
          <w:sz w:val="13"/>
          <w:szCs w:val="13"/>
          <w:color w:val="auto"/>
        </w:rPr>
      </w:pPr>
    </w:p>
    <w:p>
      <w:pPr>
        <w:ind w:left="1420" w:right="220" w:hanging="1385"/>
        <w:spacing w:after="0" w:line="237" w:lineRule="auto"/>
        <w:tabs>
          <w:tab w:leader="none" w:pos="1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28" w:lineRule="exact"/>
        <w:rPr>
          <w:rFonts w:ascii="Arial" w:cs="Arial" w:eastAsia="Arial" w:hAnsi="Arial"/>
          <w:sz w:val="13"/>
          <w:szCs w:val="13"/>
          <w:color w:val="auto"/>
        </w:rPr>
      </w:pPr>
    </w:p>
    <w:p>
      <w:pPr>
        <w:ind w:left="1420" w:hanging="1385"/>
        <w:spacing w:after="0"/>
        <w:tabs>
          <w:tab w:leader="none" w:pos="1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purchase price allocation is preliminary and will be finalized after our valuation studies are complete.</w:t>
      </w:r>
    </w:p>
    <w:p>
      <w:pPr>
        <w:sectPr>
          <w:pgSz w:w="11900" w:h="16838" w:orient="portrait"/>
          <w:cols w:equalWidth="0" w:num="1">
            <w:col w:w="11420"/>
          </w:cols>
          <w:pgMar w:left="240" w:top="747"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December 31, 2011</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9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3"/>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231,394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32.81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697,168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1,641,570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7.09</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353,309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31.62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29.24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841,354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3,932,532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11.13</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369,685</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28.21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581,478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4,396,887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11.89</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2011</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91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339,585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30.52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27.55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6"/>
              </w:rPr>
              <w:t>1,009,729</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5,637,159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16.60</w:t>
            </w:r>
          </w:p>
        </w:tc>
      </w:tr>
      <w:tr>
        <w:trPr>
          <w:trHeight w:val="256"/>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1,293,973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30.57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6"/>
              </w:rPr>
              <w:t>3,129,729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15,608,148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12.06</w:t>
            </w:r>
          </w:p>
        </w:tc>
      </w:tr>
      <w:tr>
        <w:trPr>
          <w:trHeight w:val="243"/>
        </w:trPr>
        <w:tc>
          <w:tcPr>
            <w:tcW w:w="20" w:type="dxa"/>
            <w:vAlign w:val="bottom"/>
          </w:tcPr>
          <w:p>
            <w:pPr>
              <w:spacing w:after="0"/>
              <w:rPr>
                <w:sz w:val="21"/>
                <w:szCs w:val="21"/>
                <w:color w:val="auto"/>
              </w:rPr>
            </w:pPr>
          </w:p>
        </w:tc>
        <w:tc>
          <w:tcPr>
            <w:tcW w:w="180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3"/>
        </w:trPr>
        <w:tc>
          <w:tcPr>
            <w:tcW w:w="20" w:type="dxa"/>
            <w:vAlign w:val="bottom"/>
            <w:shd w:val="clear" w:color="auto" w:fill="CCEEFF"/>
          </w:tcPr>
          <w:p>
            <w:pPr>
              <w:spacing w:after="0"/>
              <w:rPr>
                <w:sz w:val="15"/>
                <w:szCs w:val="15"/>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rPr>
              <w:t>New Lease Summary - Comparable (2)</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900" w:type="dxa"/>
            <w:vAlign w:val="bottom"/>
            <w:tcBorders>
              <w:top w:val="single" w:sz="8" w:color="CCEEFF"/>
            </w:tcBorders>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3"/>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91,350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32.04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28.56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318,442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1,601,990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17.54</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161,822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24.50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24.22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45,490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3,846,699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23.77</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136,062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28.49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411,642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4,326,647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31.80</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2011</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144,836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27.82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23.31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653,430</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5,561,459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38.40</w:t>
            </w:r>
          </w:p>
        </w:tc>
      </w:tr>
      <w:tr>
        <w:trPr>
          <w:trHeight w:val="256"/>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534,070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27.71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6"/>
              </w:rPr>
              <w:t>1,429,004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15,336,795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28.72</w:t>
            </w:r>
          </w:p>
        </w:tc>
      </w:tr>
      <w:tr>
        <w:trPr>
          <w:trHeight w:val="243"/>
        </w:trPr>
        <w:tc>
          <w:tcPr>
            <w:tcW w:w="20" w:type="dxa"/>
            <w:vAlign w:val="bottom"/>
          </w:tcPr>
          <w:p>
            <w:pPr>
              <w:spacing w:after="0"/>
              <w:rPr>
                <w:sz w:val="21"/>
                <w:szCs w:val="21"/>
                <w:color w:val="auto"/>
              </w:rPr>
            </w:pPr>
          </w:p>
        </w:tc>
        <w:tc>
          <w:tcPr>
            <w:tcW w:w="180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3"/>
        </w:trPr>
        <w:tc>
          <w:tcPr>
            <w:tcW w:w="20" w:type="dxa"/>
            <w:vAlign w:val="bottom"/>
            <w:shd w:val="clear" w:color="auto" w:fill="CCEEFF"/>
          </w:tcPr>
          <w:p>
            <w:pPr>
              <w:spacing w:after="0"/>
              <w:rPr>
                <w:sz w:val="15"/>
                <w:szCs w:val="15"/>
                <w:color w:val="auto"/>
              </w:rPr>
            </w:pPr>
          </w:p>
        </w:tc>
        <w:tc>
          <w:tcPr>
            <w:tcW w:w="2960" w:type="dxa"/>
            <w:vAlign w:val="bottom"/>
            <w:gridSpan w:val="6"/>
            <w:shd w:val="clear" w:color="auto" w:fill="CCEEFF"/>
          </w:tcPr>
          <w:p>
            <w:pPr>
              <w:spacing w:after="0"/>
              <w:rPr>
                <w:sz w:val="20"/>
                <w:szCs w:val="20"/>
                <w:color w:val="auto"/>
              </w:rPr>
            </w:pPr>
            <w:r>
              <w:rPr>
                <w:rFonts w:ascii="Arial" w:cs="Arial" w:eastAsia="Arial" w:hAnsi="Arial"/>
                <w:sz w:val="14"/>
                <w:szCs w:val="14"/>
                <w:b w:val="1"/>
                <w:bCs w:val="1"/>
                <w:color w:val="auto"/>
                <w:w w:val="96"/>
              </w:rPr>
              <w:t>Renewal Lease Summary - Comparable (2) (7)</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5"/>
              </w:rPr>
              <w:t>Cash Basis %</w:t>
            </w:r>
          </w:p>
        </w:tc>
        <w:tc>
          <w:tcPr>
            <w:tcW w:w="900" w:type="dxa"/>
            <w:vAlign w:val="bottom"/>
            <w:tcBorders>
              <w:top w:val="single" w:sz="8" w:color="CCEEFF"/>
            </w:tcBorders>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Number of</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Increase</w:t>
            </w: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5"/>
              </w:rPr>
              <w:t>Leases</w:t>
            </w:r>
          </w:p>
        </w:tc>
        <w:tc>
          <w:tcPr>
            <w:tcW w:w="104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 of Comparable</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0"/>
              </w:rPr>
              <w:t>Rent (3) Per</w:t>
            </w: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0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Increase Over</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Signed</w:t>
            </w:r>
          </w:p>
        </w:tc>
        <w:tc>
          <w:tcPr>
            <w:tcW w:w="104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3"/>
              </w:rPr>
              <w:t>Leases Signed</w:t>
            </w:r>
          </w:p>
        </w:tc>
        <w:tc>
          <w:tcPr>
            <w:tcW w:w="1000" w:type="dxa"/>
            <w:vAlign w:val="bottom"/>
            <w:gridSpan w:val="3"/>
          </w:tcPr>
          <w:p>
            <w:pPr>
              <w:ind w:left="16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Ft.</w:t>
            </w:r>
          </w:p>
        </w:tc>
        <w:tc>
          <w:tcPr>
            <w:tcW w:w="140" w:type="dxa"/>
            <w:vAlign w:val="bottom"/>
          </w:tcPr>
          <w:p>
            <w:pPr>
              <w:spacing w:after="0"/>
              <w:rPr>
                <w:sz w:val="12"/>
                <w:szCs w:val="12"/>
                <w:color w:val="auto"/>
              </w:rPr>
            </w:pPr>
          </w:p>
        </w:tc>
        <w:tc>
          <w:tcPr>
            <w:tcW w:w="740" w:type="dxa"/>
            <w:vAlign w:val="bottom"/>
          </w:tcPr>
          <w:p>
            <w:pPr>
              <w:jc w:val="center"/>
              <w:ind w:right="92"/>
              <w:spacing w:after="0"/>
              <w:rPr>
                <w:sz w:val="20"/>
                <w:szCs w:val="20"/>
                <w:color w:val="auto"/>
              </w:rPr>
            </w:pPr>
            <w:r>
              <w:rPr>
                <w:rFonts w:ascii="Arial" w:cs="Arial" w:eastAsia="Arial" w:hAnsi="Arial"/>
                <w:sz w:val="11"/>
                <w:szCs w:val="11"/>
                <w:b w:val="1"/>
                <w:bCs w:val="1"/>
                <w:color w:val="auto"/>
                <w:w w:val="91"/>
              </w:rPr>
              <w:t>in Rent</w:t>
            </w:r>
          </w:p>
        </w:tc>
        <w:tc>
          <w:tcPr>
            <w:tcW w:w="10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140,044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33.31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378,726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39,580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0.28</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191,487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37.64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33.48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795,864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85,833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0.45</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233,623</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28.05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169,836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70,240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0.30</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2011</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194,749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32.53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30.70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356,299</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75,700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0.39</w:t>
            </w:r>
          </w:p>
        </w:tc>
      </w:tr>
      <w:tr>
        <w:trPr>
          <w:trHeight w:val="256"/>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759,903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96"/>
              </w:rPr>
              <w:t>1,700,725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271,353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0.36</w:t>
            </w:r>
          </w:p>
        </w:tc>
      </w:tr>
      <w:tr>
        <w:trPr>
          <w:trHeight w:val="243"/>
        </w:trPr>
        <w:tc>
          <w:tcPr>
            <w:tcW w:w="20" w:type="dxa"/>
            <w:vAlign w:val="bottom"/>
          </w:tcPr>
          <w:p>
            <w:pPr>
              <w:spacing w:after="0"/>
              <w:rPr>
                <w:sz w:val="21"/>
                <w:szCs w:val="21"/>
                <w:color w:val="auto"/>
              </w:rPr>
            </w:pPr>
          </w:p>
        </w:tc>
        <w:tc>
          <w:tcPr>
            <w:tcW w:w="180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83"/>
        </w:trPr>
        <w:tc>
          <w:tcPr>
            <w:tcW w:w="20" w:type="dxa"/>
            <w:vAlign w:val="bottom"/>
            <w:shd w:val="clear" w:color="auto" w:fill="CCEEFF"/>
          </w:tcPr>
          <w:p>
            <w:pPr>
              <w:spacing w:after="0"/>
              <w:rPr>
                <w:sz w:val="15"/>
                <w:szCs w:val="15"/>
                <w:color w:val="auto"/>
              </w:rPr>
            </w:pPr>
          </w:p>
        </w:tc>
        <w:tc>
          <w:tcPr>
            <w:tcW w:w="3960" w:type="dxa"/>
            <w:vAlign w:val="bottom"/>
            <w:gridSpan w:val="9"/>
            <w:shd w:val="clear" w:color="auto" w:fill="CCEEFF"/>
          </w:tcPr>
          <w:p>
            <w:pPr>
              <w:spacing w:after="0"/>
              <w:rPr>
                <w:sz w:val="20"/>
                <w:szCs w:val="20"/>
                <w:color w:val="auto"/>
              </w:rPr>
            </w:pPr>
            <w:r>
              <w:rPr>
                <w:rFonts w:ascii="Arial" w:cs="Arial" w:eastAsia="Arial" w:hAnsi="Arial"/>
                <w:sz w:val="14"/>
                <w:szCs w:val="14"/>
                <w:b w:val="1"/>
                <w:bCs w:val="1"/>
                <w:color w:val="auto"/>
                <w:w w:val="97"/>
              </w:rPr>
              <w:t>Total Lease Summary - Comparable and Non-comparable (2)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35"/>
        </w:trPr>
        <w:tc>
          <w:tcPr>
            <w:tcW w:w="2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7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1"/>
                <w:szCs w:val="11"/>
                <w:b w:val="1"/>
                <w:bCs w:val="1"/>
                <w:color w:val="auto"/>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jc w:val="center"/>
              <w:ind w:right="35"/>
              <w:spacing w:after="0"/>
              <w:rPr>
                <w:sz w:val="20"/>
                <w:szCs w:val="20"/>
                <w:color w:val="auto"/>
              </w:rPr>
            </w:pPr>
            <w:r>
              <w:rPr>
                <w:rFonts w:ascii="Arial" w:cs="Arial" w:eastAsia="Arial" w:hAnsi="Arial"/>
                <w:sz w:val="11"/>
                <w:szCs w:val="11"/>
                <w:b w:val="1"/>
                <w:bCs w:val="1"/>
                <w:color w:val="auto"/>
                <w:w w:val="88"/>
              </w:rPr>
              <w:t>Tenant</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Contractual</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2"/>
              </w:rPr>
              <w:t>Average</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90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0"/>
              </w:rPr>
              <w:t>Improvements &amp;</w:t>
            </w:r>
          </w:p>
        </w:tc>
      </w:tr>
      <w:tr>
        <w:trPr>
          <w:trHeight w:val="122"/>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0"/>
              </w:rPr>
              <w:t>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Lease Term</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10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Incentives Per Sq.</w:t>
            </w:r>
          </w:p>
        </w:tc>
      </w:tr>
      <w:tr>
        <w:trPr>
          <w:trHeight w:val="140"/>
        </w:trPr>
        <w:tc>
          <w:tcPr>
            <w:tcW w:w="20" w:type="dxa"/>
            <w:vAlign w:val="bottom"/>
          </w:tcPr>
          <w:p>
            <w:pPr>
              <w:spacing w:after="0"/>
              <w:rPr>
                <w:sz w:val="12"/>
                <w:szCs w:val="12"/>
                <w:color w:val="auto"/>
              </w:rPr>
            </w:pPr>
          </w:p>
        </w:tc>
        <w:tc>
          <w:tcPr>
            <w:tcW w:w="1120" w:type="dxa"/>
            <w:vAlign w:val="bottom"/>
          </w:tcPr>
          <w:p>
            <w:pPr>
              <w:jc w:val="right"/>
              <w:ind w:right="311"/>
              <w:spacing w:after="0"/>
              <w:rPr>
                <w:sz w:val="20"/>
                <w:szCs w:val="20"/>
                <w:color w:val="auto"/>
              </w:rPr>
            </w:pPr>
            <w:r>
              <w:rPr>
                <w:rFonts w:ascii="Arial" w:cs="Arial" w:eastAsia="Arial" w:hAnsi="Arial"/>
                <w:sz w:val="11"/>
                <w:szCs w:val="11"/>
                <w:b w:val="1"/>
                <w:bCs w:val="1"/>
                <w:color w:val="auto"/>
              </w:rPr>
              <w:t>Quarter</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Signed</w:t>
            </w:r>
          </w:p>
        </w:tc>
        <w:tc>
          <w:tcPr>
            <w:tcW w:w="140" w:type="dxa"/>
            <w:vAlign w:val="bottom"/>
          </w:tcPr>
          <w:p>
            <w:pPr>
              <w:spacing w:after="0"/>
              <w:rPr>
                <w:sz w:val="12"/>
                <w:szCs w:val="12"/>
                <w:color w:val="auto"/>
              </w:rPr>
            </w:pPr>
          </w:p>
        </w:tc>
        <w:tc>
          <w:tcPr>
            <w:tcW w:w="1660" w:type="dxa"/>
            <w:vAlign w:val="bottom"/>
            <w:gridSpan w:val="4"/>
          </w:tcPr>
          <w:p>
            <w:pPr>
              <w:ind w:left="4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900" w:type="dxa"/>
            <w:vAlign w:val="bottom"/>
          </w:tcPr>
          <w:p>
            <w:pPr>
              <w:jc w:val="center"/>
              <w:ind w:right="15"/>
              <w:spacing w:after="0"/>
              <w:rPr>
                <w:sz w:val="20"/>
                <w:szCs w:val="20"/>
                <w:color w:val="auto"/>
              </w:rPr>
            </w:pPr>
            <w:r>
              <w:rPr>
                <w:rFonts w:ascii="Arial" w:cs="Arial" w:eastAsia="Arial" w:hAnsi="Arial"/>
                <w:sz w:val="11"/>
                <w:szCs w:val="11"/>
                <w:b w:val="1"/>
                <w:bCs w:val="1"/>
                <w:color w:val="auto"/>
              </w:rPr>
              <w:t>Ft.</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2011</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254,557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32.88</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2,921,575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11.48</w:t>
            </w:r>
          </w:p>
        </w:tc>
      </w:tr>
      <w:tr>
        <w:trPr>
          <w:trHeight w:val="264"/>
        </w:trPr>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3rd Quarter 2011</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4"/>
                <w:szCs w:val="14"/>
                <w:color w:val="auto"/>
              </w:rPr>
              <w:t>384,627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30.28</w:t>
            </w:r>
          </w:p>
        </w:tc>
        <w:tc>
          <w:tcPr>
            <w:tcW w:w="100" w:type="dxa"/>
            <w:vAlign w:val="bottom"/>
          </w:tcPr>
          <w:p>
            <w:pPr>
              <w:spacing w:after="0"/>
              <w:rPr>
                <w:sz w:val="22"/>
                <w:szCs w:val="22"/>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8,075,369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21.00</w:t>
            </w:r>
          </w:p>
        </w:tc>
      </w:tr>
      <w:tr>
        <w:trPr>
          <w:trHeight w:val="276"/>
        </w:trPr>
        <w:tc>
          <w:tcPr>
            <w:tcW w:w="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2nd Quarter 2011</w:t>
            </w: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395,874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28.27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6,304,341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15.93</w:t>
            </w:r>
          </w:p>
        </w:tc>
      </w:tr>
      <w:tr>
        <w:trPr>
          <w:trHeight w:val="264"/>
        </w:trPr>
        <w:tc>
          <w:tcPr>
            <w:tcW w:w="2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1st Quarter 2011</w:t>
            </w: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4"/>
                <w:szCs w:val="14"/>
                <w:color w:val="auto"/>
              </w:rPr>
              <w:t>381,594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29.63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6,439,592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16.88</w:t>
            </w:r>
          </w:p>
        </w:tc>
      </w:tr>
      <w:tr>
        <w:trPr>
          <w:trHeight w:val="256"/>
        </w:trPr>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4"/>
                <w:szCs w:val="14"/>
                <w:color w:val="auto"/>
              </w:rPr>
              <w:t>1,416,652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30.01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23,740,877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16.76</w:t>
            </w:r>
          </w:p>
        </w:tc>
      </w:tr>
    </w:tbl>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u w:val="single" w:color="auto"/>
          <w:color w:val="auto"/>
        </w:rPr>
        <w:t>Notes:</w:t>
      </w:r>
    </w:p>
    <w:p>
      <w:pPr>
        <w:spacing w:after="0" w:line="42" w:lineRule="exact"/>
        <w:rPr>
          <w:sz w:val="20"/>
          <w:szCs w:val="20"/>
          <w:color w:val="auto"/>
        </w:rPr>
      </w:pPr>
    </w:p>
    <w:p>
      <w:pPr>
        <w:ind w:left="240" w:hanging="210"/>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Leases on this report represent retail activity only; office and residential leases are not included.</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Comparable leases represent those leases signed on spaces for which there was a former tenant.</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Contractual rent represents contractual minimum rent under the new lease for the first 12 months of the term.</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Prior rent represents minimum rent and percentage rent, if any, paid by the prior tenant in the final 12 months of the term.</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Weighted average is determined on the basis of square footage.</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Glossary of Terms.</w:t>
      </w:r>
    </w:p>
    <w:p>
      <w:pPr>
        <w:spacing w:after="0" w:line="41" w:lineRule="exact"/>
        <w:rPr>
          <w:rFonts w:ascii="Arial" w:cs="Arial" w:eastAsia="Arial" w:hAnsi="Arial"/>
          <w:sz w:val="14"/>
          <w:szCs w:val="14"/>
          <w:color w:val="auto"/>
        </w:rPr>
      </w:pPr>
    </w:p>
    <w:p>
      <w:pPr>
        <w:ind w:left="240" w:hanging="210"/>
        <w:spacing w:after="0"/>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p>
      <w:pPr>
        <w:sectPr>
          <w:pgSz w:w="11900" w:h="16838" w:orient="portrait"/>
          <w:cols w:equalWidth="0" w:num="1">
            <w:col w:w="11220"/>
          </w:cols>
          <w:pgMar w:left="340" w:top="963"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20"/>
          </w:cols>
          <w:pgMar w:left="340" w:top="963" w:right="33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463,000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857,000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1,319,000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1,098,000</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16.02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1,044,000</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32.83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2,141,000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917,000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14.67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942,000</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31.24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1,859,000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32.39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1,243,000</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14.78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834,000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32.21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2,077,000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21.78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38.12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467,000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17.32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237,000</w:t>
            </w: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39.64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704,000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544,000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20.35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370,000</w:t>
            </w: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38.02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914,000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27.50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16.22</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39.00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19.72</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10,348,000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16.30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7,427,000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33.21</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17,775,000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23.37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2012</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585,000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782,000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231,000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16.08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558,000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33.11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789,000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12.12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147,000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19.73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549,000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31.25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696,000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28.81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176,000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21.93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627,000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32.66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802,000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37.35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379,000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18.02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327,000</w:t>
            </w: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34.98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706,000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161,000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11.04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575,000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33.09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736,000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28.27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8,285,000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15.96</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33.68</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10,585,000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19.81</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10,348,000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16.30</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7,427,000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33.21</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17,775,000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23.37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December 31, 2011.</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occupied square footage as of December 31, 2011.</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2" w:right="239" w:bottom="1440" w:gutter="0" w:footer="0" w:header="0"/>
        </w:sectPr>
      </w:pPr>
    </w:p>
    <w:bookmarkStart w:id="26" w:name="page27"/>
    <w:bookmarkEnd w:id="26"/>
    <w:p>
      <w:pPr>
        <w:ind w:left="20" w:right="32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December 31, 2011</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Retail Properties (2) (3) (sf)</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Residential Properties (4)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3"/>
              </w:rPr>
              <w:t>As of December 31, 2011</w:t>
            </w: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As of December 31, 2010</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1460" w:type="dxa"/>
            <w:vAlign w:val="bottom"/>
            <w:gridSpan w:val="3"/>
          </w:tcPr>
          <w:p>
            <w:pPr>
              <w:ind w:left="680"/>
              <w:spacing w:after="0"/>
              <w:rPr>
                <w:sz w:val="20"/>
                <w:szCs w:val="20"/>
                <w:color w:val="auto"/>
              </w:rPr>
            </w:pPr>
            <w:r>
              <w:rPr>
                <w:rFonts w:ascii="Arial" w:cs="Arial" w:eastAsia="Arial" w:hAnsi="Arial"/>
                <w:sz w:val="16"/>
                <w:szCs w:val="16"/>
                <w:color w:val="auto"/>
              </w:rPr>
              <w:t>Leased</w:t>
            </w:r>
          </w:p>
        </w:tc>
        <w:tc>
          <w:tcPr>
            <w:tcW w:w="1060" w:type="dxa"/>
            <w:vAlign w:val="bottom"/>
            <w:gridSpan w:val="3"/>
          </w:tcPr>
          <w:p>
            <w:pPr>
              <w:jc w:val="right"/>
              <w:ind w:right="360"/>
              <w:spacing w:after="0"/>
              <w:rPr>
                <w:sz w:val="20"/>
                <w:szCs w:val="20"/>
                <w:color w:val="auto"/>
              </w:rPr>
            </w:pPr>
            <w:r>
              <w:rPr>
                <w:rFonts w:ascii="Arial" w:cs="Arial" w:eastAsia="Arial" w:hAnsi="Arial"/>
                <w:sz w:val="16"/>
                <w:szCs w:val="16"/>
                <w:color w:val="auto"/>
                <w:w w:val="95"/>
              </w:rPr>
              <w:t>Leased %</w:t>
            </w:r>
          </w:p>
        </w:tc>
        <w:tc>
          <w:tcPr>
            <w:tcW w:w="116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6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40" w:type="dxa"/>
            <w:vAlign w:val="bottom"/>
            <w:gridSpan w:val="2"/>
          </w:tcPr>
          <w:p>
            <w:pPr>
              <w:jc w:val="right"/>
              <w:spacing w:after="0"/>
              <w:rPr>
                <w:sz w:val="20"/>
                <w:szCs w:val="20"/>
                <w:color w:val="auto"/>
              </w:rPr>
            </w:pPr>
            <w:r>
              <w:rPr>
                <w:rFonts w:ascii="Arial" w:cs="Arial" w:eastAsia="Arial" w:hAnsi="Arial"/>
                <w:sz w:val="16"/>
                <w:szCs w:val="16"/>
                <w:color w:val="auto"/>
              </w:rPr>
              <w:t>19,259,000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17,995,000</w:t>
            </w:r>
          </w:p>
        </w:tc>
        <w:tc>
          <w:tcPr>
            <w:tcW w:w="320" w:type="dxa"/>
            <w:vAlign w:val="bottom"/>
          </w:tcPr>
          <w:p>
            <w:pPr>
              <w:spacing w:after="0"/>
              <w:rPr>
                <w:sz w:val="24"/>
                <w:szCs w:val="2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93.4%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18,286,000</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17,166,000</w:t>
            </w:r>
          </w:p>
        </w:tc>
        <w:tc>
          <w:tcPr>
            <w:tcW w:w="4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93.9%</w:t>
            </w:r>
          </w:p>
        </w:tc>
      </w:tr>
      <w:tr>
        <w:trPr>
          <w:trHeight w:val="540"/>
        </w:trPr>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1,011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929</w:t>
            </w:r>
          </w:p>
        </w:tc>
        <w:tc>
          <w:tcPr>
            <w:tcW w:w="320" w:type="dxa"/>
            <w:vAlign w:val="bottom"/>
          </w:tcPr>
          <w:p>
            <w:pPr>
              <w:spacing w:after="0"/>
              <w:rPr>
                <w:sz w:val="24"/>
                <w:szCs w:val="2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91.9%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903</w:t>
            </w: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861</w:t>
            </w:r>
          </w:p>
        </w:tc>
        <w:tc>
          <w:tcPr>
            <w:tcW w:w="4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95.3%</w:t>
            </w:r>
          </w:p>
        </w:tc>
      </w:tr>
      <w:tr>
        <w:trPr>
          <w:trHeight w:val="864"/>
        </w:trPr>
        <w:tc>
          <w:tcPr>
            <w:tcW w:w="7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3"/>
              </w:rPr>
              <w:t>As of December 31, 2011</w:t>
            </w: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As of December 31, 2010</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1460" w:type="dxa"/>
            <w:vAlign w:val="bottom"/>
            <w:gridSpan w:val="3"/>
          </w:tcPr>
          <w:p>
            <w:pPr>
              <w:ind w:left="680"/>
              <w:spacing w:after="0"/>
              <w:rPr>
                <w:sz w:val="20"/>
                <w:szCs w:val="20"/>
                <w:color w:val="auto"/>
              </w:rPr>
            </w:pPr>
            <w:r>
              <w:rPr>
                <w:rFonts w:ascii="Arial" w:cs="Arial" w:eastAsia="Arial" w:hAnsi="Arial"/>
                <w:sz w:val="16"/>
                <w:szCs w:val="16"/>
                <w:color w:val="auto"/>
              </w:rPr>
              <w:t>Leased</w:t>
            </w:r>
          </w:p>
        </w:tc>
        <w:tc>
          <w:tcPr>
            <w:tcW w:w="1060" w:type="dxa"/>
            <w:vAlign w:val="bottom"/>
            <w:gridSpan w:val="3"/>
          </w:tcPr>
          <w:p>
            <w:pPr>
              <w:jc w:val="right"/>
              <w:ind w:right="360"/>
              <w:spacing w:after="0"/>
              <w:rPr>
                <w:sz w:val="20"/>
                <w:szCs w:val="20"/>
                <w:color w:val="auto"/>
              </w:rPr>
            </w:pPr>
            <w:r>
              <w:rPr>
                <w:rFonts w:ascii="Arial" w:cs="Arial" w:eastAsia="Arial" w:hAnsi="Arial"/>
                <w:sz w:val="16"/>
                <w:szCs w:val="16"/>
                <w:color w:val="auto"/>
                <w:w w:val="95"/>
              </w:rPr>
              <w:t>Leased %</w:t>
            </w:r>
          </w:p>
        </w:tc>
        <w:tc>
          <w:tcPr>
            <w:tcW w:w="1160" w:type="dxa"/>
            <w:vAlign w:val="bottom"/>
            <w:gridSpan w:val="3"/>
          </w:tcPr>
          <w:p>
            <w:pPr>
              <w:ind w:left="680"/>
              <w:spacing w:after="0"/>
              <w:rPr>
                <w:sz w:val="20"/>
                <w:szCs w:val="20"/>
                <w:color w:val="auto"/>
              </w:rPr>
            </w:pPr>
            <w:r>
              <w:rPr>
                <w:rFonts w:ascii="Arial" w:cs="Arial" w:eastAsia="Arial" w:hAnsi="Arial"/>
                <w:sz w:val="16"/>
                <w:szCs w:val="16"/>
                <w:color w:val="auto"/>
              </w:rPr>
              <w:t>Size</w:t>
            </w:r>
          </w:p>
        </w:tc>
        <w:tc>
          <w:tcPr>
            <w:tcW w:w="1320" w:type="dxa"/>
            <w:vAlign w:val="bottom"/>
            <w:gridSpan w:val="3"/>
          </w:tcPr>
          <w:p>
            <w:pPr>
              <w:ind w:left="460"/>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-2057400</wp:posOffset>
            </wp:positionV>
            <wp:extent cx="6603365" cy="2778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6840"/>
          </w:cols>
          <w:pgMar w:left="760" w:top="742" w:right="7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Retail Properties (2) (5) (sf)</w:t>
            </w:r>
          </w:p>
        </w:tc>
        <w:tc>
          <w:tcPr>
            <w:tcW w:w="1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17,051,000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16,009,000</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93.9%</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17,122,000</w:t>
            </w:r>
          </w:p>
        </w:tc>
        <w:tc>
          <w:tcPr>
            <w:tcW w:w="13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16,165,000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94.4%</w:t>
            </w:r>
          </w:p>
        </w:tc>
      </w:tr>
      <w:tr>
        <w:trPr>
          <w:trHeight w:val="270"/>
        </w:trPr>
        <w:tc>
          <w:tcPr>
            <w:tcW w:w="30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7"/>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Properties (4) (units)</w:t>
            </w: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856</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94.8%</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w:t>
            </w:r>
          </w:p>
        </w:tc>
        <w:tc>
          <w:tcPr>
            <w:tcW w:w="13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861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33"/>
        </w:trPr>
        <w:tc>
          <w:tcPr>
            <w:tcW w:w="30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260" w:hanging="239"/>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260" w:hanging="239"/>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260" w:hanging="239"/>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 December 31, 2011 leased percentage was 97.0% for anchor tenants and 88.9% for small shop tenants.</w:t>
      </w:r>
    </w:p>
    <w:p>
      <w:pPr>
        <w:spacing w:after="0" w:line="72" w:lineRule="exact"/>
        <w:rPr>
          <w:rFonts w:ascii="Arial" w:cs="Arial" w:eastAsia="Arial" w:hAnsi="Arial"/>
          <w:sz w:val="16"/>
          <w:szCs w:val="16"/>
          <w:color w:val="auto"/>
        </w:rPr>
      </w:pPr>
    </w:p>
    <w:p>
      <w:pPr>
        <w:jc w:val="both"/>
        <w:ind w:left="20" w:right="160" w:firstLine="1"/>
        <w:spacing w:after="0" w:line="278" w:lineRule="auto"/>
        <w:tabs>
          <w:tab w:leader="none" w:pos="25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Overall portfolio statistics at December 31, 2011 include Rollingwood Apartments, the Crest at Congressional Plaza Apartments, Santana Row (including 108 residential units at Santana Row 6B) and Bethesda Row. Same center and 2010 overall statistics exclude the 108 unit residential building at Santana Row that opened in October 2011.</w:t>
      </w:r>
    </w:p>
    <w:p>
      <w:pPr>
        <w:spacing w:after="0" w:line="22" w:lineRule="exact"/>
        <w:rPr>
          <w:rFonts w:ascii="Arial" w:cs="Arial" w:eastAsia="Arial" w:hAnsi="Arial"/>
          <w:sz w:val="16"/>
          <w:szCs w:val="16"/>
          <w:color w:val="auto"/>
        </w:rPr>
      </w:pPr>
    </w:p>
    <w:p>
      <w:pPr>
        <w:ind w:left="260" w:hanging="239"/>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400"/>
          </w:cols>
          <w:pgMar w:left="760" w:top="742" w:right="739" w:bottom="1440" w:gutter="0" w:footer="0" w:header="0"/>
          <w:type w:val="continuous"/>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2011</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10,274,000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2.47%</w:t>
            </w:r>
          </w:p>
        </w:tc>
        <w:tc>
          <w:tcPr>
            <w:tcW w:w="980" w:type="dxa"/>
            <w:vAlign w:val="bottom"/>
          </w:tcPr>
          <w:p>
            <w:pPr>
              <w:jc w:val="right"/>
              <w:spacing w:after="0"/>
              <w:rPr>
                <w:sz w:val="20"/>
                <w:szCs w:val="20"/>
                <w:color w:val="auto"/>
              </w:rPr>
            </w:pPr>
            <w:r>
              <w:rPr>
                <w:rFonts w:ascii="Arial" w:cs="Arial" w:eastAsia="Arial" w:hAnsi="Arial"/>
                <w:sz w:val="16"/>
                <w:szCs w:val="16"/>
                <w:color w:val="auto"/>
              </w:rPr>
              <w:t>680,000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7,982,000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1.92%</w:t>
            </w:r>
          </w:p>
        </w:tc>
        <w:tc>
          <w:tcPr>
            <w:tcW w:w="980" w:type="dxa"/>
            <w:vAlign w:val="bottom"/>
          </w:tcPr>
          <w:p>
            <w:pPr>
              <w:jc w:val="right"/>
              <w:spacing w:after="0"/>
              <w:rPr>
                <w:sz w:val="20"/>
                <w:szCs w:val="20"/>
                <w:color w:val="auto"/>
              </w:rPr>
            </w:pPr>
            <w:r>
              <w:rPr>
                <w:rFonts w:ascii="Arial" w:cs="Arial" w:eastAsia="Arial" w:hAnsi="Arial"/>
                <w:sz w:val="16"/>
                <w:szCs w:val="16"/>
                <w:color w:val="auto"/>
              </w:rPr>
              <w:t>418,000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6,393,000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1.54%</w:t>
            </w:r>
          </w:p>
        </w:tc>
        <w:tc>
          <w:tcPr>
            <w:tcW w:w="980" w:type="dxa"/>
            <w:vAlign w:val="bottom"/>
          </w:tcPr>
          <w:p>
            <w:pPr>
              <w:jc w:val="right"/>
              <w:spacing w:after="0"/>
              <w:rPr>
                <w:sz w:val="20"/>
                <w:szCs w:val="20"/>
                <w:color w:val="auto"/>
              </w:rPr>
            </w:pPr>
            <w:r>
              <w:rPr>
                <w:rFonts w:ascii="Arial" w:cs="Arial" w:eastAsia="Arial" w:hAnsi="Arial"/>
                <w:sz w:val="16"/>
                <w:szCs w:val="16"/>
                <w:color w:val="auto"/>
              </w:rPr>
              <w:t>205,000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Safeway,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5,521,000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1.33%</w:t>
            </w:r>
          </w:p>
        </w:tc>
        <w:tc>
          <w:tcPr>
            <w:tcW w:w="980" w:type="dxa"/>
            <w:vAlign w:val="bottom"/>
          </w:tcPr>
          <w:p>
            <w:pPr>
              <w:jc w:val="right"/>
              <w:spacing w:after="0"/>
              <w:rPr>
                <w:sz w:val="20"/>
                <w:szCs w:val="20"/>
                <w:color w:val="auto"/>
              </w:rPr>
            </w:pPr>
            <w:r>
              <w:rPr>
                <w:rFonts w:ascii="Arial" w:cs="Arial" w:eastAsia="Arial" w:hAnsi="Arial"/>
                <w:sz w:val="16"/>
                <w:szCs w:val="16"/>
                <w:color w:val="auto"/>
              </w:rPr>
              <w:t>391,000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3,850,000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0.93%</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Dick's Sporting Good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3,627,000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0.87%</w:t>
            </w:r>
          </w:p>
        </w:tc>
        <w:tc>
          <w:tcPr>
            <w:tcW w:w="980" w:type="dxa"/>
            <w:vAlign w:val="bottom"/>
          </w:tcPr>
          <w:p>
            <w:pPr>
              <w:jc w:val="right"/>
              <w:spacing w:after="0"/>
              <w:rPr>
                <w:sz w:val="20"/>
                <w:szCs w:val="20"/>
                <w:color w:val="auto"/>
              </w:rPr>
            </w:pPr>
            <w:r>
              <w:rPr>
                <w:rFonts w:ascii="Arial" w:cs="Arial" w:eastAsia="Arial" w:hAnsi="Arial"/>
                <w:sz w:val="16"/>
                <w:szCs w:val="16"/>
                <w:color w:val="auto"/>
              </w:rPr>
              <w:t>187,000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OPNET Technologies,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3,338,000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Container Store,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Supervalu Inc. (Acme/Sav-A-Lot/Star Mkt/Shoppers Food)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3,290,000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0.79%</w:t>
            </w:r>
          </w:p>
        </w:tc>
        <w:tc>
          <w:tcPr>
            <w:tcW w:w="980" w:type="dxa"/>
            <w:vAlign w:val="bottom"/>
          </w:tcPr>
          <w:p>
            <w:pPr>
              <w:jc w:val="right"/>
              <w:spacing w:after="0"/>
              <w:rPr>
                <w:sz w:val="20"/>
                <w:szCs w:val="20"/>
                <w:color w:val="auto"/>
              </w:rPr>
            </w:pPr>
            <w:r>
              <w:rPr>
                <w:rFonts w:ascii="Arial" w:cs="Arial" w:eastAsia="Arial" w:hAnsi="Arial"/>
                <w:sz w:val="16"/>
                <w:szCs w:val="16"/>
                <w:color w:val="auto"/>
              </w:rPr>
              <w:t>338,000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3,107,000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0.75%</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Kohl's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2,941,000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Dress Barn,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2,832,000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Pr>
          <w:p>
            <w:pPr>
              <w:jc w:val="right"/>
              <w:spacing w:after="0"/>
              <w:rPr>
                <w:sz w:val="20"/>
                <w:szCs w:val="20"/>
                <w:color w:val="auto"/>
              </w:rPr>
            </w:pPr>
            <w:r>
              <w:rPr>
                <w:rFonts w:ascii="Arial" w:cs="Arial" w:eastAsia="Arial" w:hAnsi="Arial"/>
                <w:sz w:val="16"/>
                <w:szCs w:val="16"/>
                <w:color w:val="auto"/>
              </w:rPr>
              <w:t>335,000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Wakefern Food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120,017,000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28.88%</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6,457,000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33.53%</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415,320,000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19,259,000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2,467</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hanging="482"/>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111" w:lineRule="exact"/>
        <w:rPr>
          <w:rFonts w:ascii="Arial" w:cs="Arial" w:eastAsia="Arial" w:hAnsi="Arial"/>
          <w:sz w:val="15"/>
          <w:szCs w:val="15"/>
          <w:color w:val="auto"/>
        </w:rPr>
      </w:pPr>
    </w:p>
    <w:p>
      <w:pPr>
        <w:ind w:left="720" w:hanging="482"/>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annual in-place contractual (cash-basis) rent as of December 31, 2011.</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2011</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2012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4"/>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4"/>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268</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w:t>
            </w:r>
          </w:p>
        </w:tc>
      </w:tr>
      <w:tr>
        <w:trPr>
          <w:trHeight w:val="271"/>
        </w:trPr>
        <w:tc>
          <w:tcPr>
            <w:tcW w:w="4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63.9</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 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center"/>
              <w:ind w:left="535"/>
              <w:spacing w:after="0"/>
              <w:rPr>
                <w:sz w:val="20"/>
                <w:szCs w:val="20"/>
                <w:color w:val="auto"/>
              </w:rPr>
            </w:pPr>
            <w:r>
              <w:rPr>
                <w:rFonts w:ascii="Arial" w:cs="Arial" w:eastAsia="Arial" w:hAnsi="Arial"/>
                <w:sz w:val="14"/>
                <w:szCs w:val="14"/>
                <w:b w:val="1"/>
                <w:bCs w:val="1"/>
                <w:color w:val="auto"/>
                <w:w w:val="93"/>
              </w:rPr>
              <w:t>Year Ended</w:t>
            </w:r>
          </w:p>
        </w:tc>
        <w:tc>
          <w:tcPr>
            <w:tcW w:w="9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3"/>
          </w:tcPr>
          <w:p>
            <w:pPr>
              <w:jc w:val="center"/>
              <w:ind w:left="714"/>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3"/>
          </w:tcPr>
          <w:p>
            <w:pPr>
              <w:jc w:val="center"/>
              <w:ind w:left="535"/>
              <w:spacing w:after="0"/>
              <w:rPr>
                <w:sz w:val="20"/>
                <w:szCs w:val="20"/>
                <w:color w:val="auto"/>
              </w:rPr>
            </w:pPr>
            <w:r>
              <w:rPr>
                <w:rFonts w:ascii="Arial" w:cs="Arial" w:eastAsia="Arial" w:hAnsi="Arial"/>
                <w:sz w:val="14"/>
                <w:szCs w:val="14"/>
                <w:b w:val="1"/>
                <w:bCs w:val="1"/>
                <w:color w:val="auto"/>
                <w:w w:val="91"/>
              </w:rPr>
              <w:t>(in thousands)</w:t>
            </w:r>
          </w:p>
        </w:tc>
        <w:tc>
          <w:tcPr>
            <w:tcW w:w="920" w:type="dxa"/>
            <w:vAlign w:val="bottom"/>
          </w:tcPr>
          <w:p>
            <w:pPr>
              <w:spacing w:after="0"/>
              <w:rPr>
                <w:sz w:val="21"/>
                <w:szCs w:val="21"/>
                <w:color w:val="auto"/>
              </w:rPr>
            </w:pPr>
          </w:p>
        </w:tc>
      </w:tr>
      <w:tr>
        <w:trPr>
          <w:trHeight w:val="215"/>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4,938</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19,225</w:t>
            </w:r>
          </w:p>
        </w:tc>
        <w:tc>
          <w:tcPr>
            <w:tcW w:w="2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18,575</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19,289</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18,639</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3,389</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3,806</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2,204</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2,343</w:t>
            </w: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5,179</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5,046</w:t>
            </w: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10,772</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11,195</w:t>
            </w:r>
          </w:p>
        </w:tc>
      </w:tr>
      <w:tr>
        <w:trPr>
          <w:trHeight w:val="237"/>
        </w:trPr>
        <w:tc>
          <w:tcPr>
            <w:tcW w:w="40" w:type="dxa"/>
            <w:vAlign w:val="bottom"/>
          </w:tcPr>
          <w:p>
            <w:pPr>
              <w:spacing w:after="0"/>
              <w:rPr>
                <w:sz w:val="20"/>
                <w:szCs w:val="20"/>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8,517</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7,444</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57"/>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5,129</w:t>
            </w:r>
          </w:p>
        </w:tc>
        <w:tc>
          <w:tcPr>
            <w:tcW w:w="2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4,044</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1"/>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center"/>
              <w:ind w:left="71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3"/>
          </w:tcPr>
          <w:p>
            <w:pPr>
              <w:jc w:val="center"/>
              <w:ind w:left="714"/>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5"/>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207,987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205,849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(24,284)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178,693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181,565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6,116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187,844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191,955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57,376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62,767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125,077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128,932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187,844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191,955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1014"/>
              <w:spacing w:after="0"/>
              <w:rPr>
                <w:sz w:val="20"/>
                <w:szCs w:val="20"/>
                <w:color w:val="auto"/>
              </w:rPr>
            </w:pPr>
            <w:r>
              <w:rPr>
                <w:rFonts w:ascii="Arial" w:cs="Arial" w:eastAsia="Arial" w:hAnsi="Arial"/>
                <w:sz w:val="18"/>
                <w:szCs w:val="18"/>
                <w:color w:val="auto"/>
                <w:w w:val="79"/>
              </w:rPr>
              <w:t>26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2011</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right"/>
              <w:ind w:right="15"/>
              <w:spacing w:after="0"/>
              <w:rPr>
                <w:sz w:val="20"/>
                <w:szCs w:val="20"/>
                <w:color w:val="auto"/>
              </w:rPr>
            </w:pPr>
            <w:r>
              <w:rPr>
                <w:rFonts w:ascii="Arial" w:cs="Arial" w:eastAsia="Arial" w:hAnsi="Arial"/>
                <w:sz w:val="14"/>
                <w:szCs w:val="14"/>
                <w:b w:val="1"/>
                <w:bCs w:val="1"/>
                <w:color w:val="auto"/>
              </w:rPr>
              <w:t>Stated Interest Rate as of</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December 31, 2011</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Plaza del Mercado</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7/5/2014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12,491</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Atlantic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89"/>
              </w:rPr>
              <w:t>12/1/2014</w:t>
            </w:r>
          </w:p>
        </w:tc>
        <w:tc>
          <w:tcPr>
            <w:tcW w:w="2020" w:type="dxa"/>
            <w:vAlign w:val="bottom"/>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10,500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(b)(c)</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Pr>
          <w:p>
            <w:pPr>
              <w:jc w:val="right"/>
              <w:spacing w:after="0"/>
              <w:rPr>
                <w:sz w:val="20"/>
                <w:szCs w:val="20"/>
                <w:color w:val="auto"/>
              </w:rPr>
            </w:pPr>
            <w:r>
              <w:rPr>
                <w:rFonts w:ascii="Arial" w:cs="Arial" w:eastAsia="Arial" w:hAnsi="Arial"/>
                <w:sz w:val="18"/>
                <w:szCs w:val="18"/>
                <w:color w:val="auto"/>
              </w:rPr>
              <w:t>5.90%</w:t>
            </w:r>
          </w:p>
        </w:tc>
        <w:tc>
          <w:tcPr>
            <w:tcW w:w="660" w:type="dxa"/>
            <w:vAlign w:val="bottom"/>
          </w:tcPr>
          <w:p>
            <w:pPr>
              <w:ind w:left="20"/>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1"/>
                <w:szCs w:val="21"/>
                <w:color w:val="auto"/>
              </w:rPr>
            </w:pPr>
          </w:p>
        </w:tc>
        <w:tc>
          <w:tcPr>
            <w:tcW w:w="1480" w:type="dxa"/>
            <w:vAlign w:val="bottom"/>
          </w:tcPr>
          <w:p>
            <w:pPr>
              <w:jc w:val="right"/>
              <w:ind w:right="95"/>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Total Fixed Rate Debt</w:t>
            </w:r>
          </w:p>
        </w:tc>
        <w:tc>
          <w:tcPr>
            <w:tcW w:w="6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57,376</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Scheduled Amortization</w:t>
            </w:r>
          </w:p>
        </w:tc>
        <w:tc>
          <w:tcPr>
            <w:tcW w:w="340" w:type="dxa"/>
            <w:vAlign w:val="bottom"/>
          </w:tcPr>
          <w:p>
            <w:pPr>
              <w:spacing w:after="0"/>
              <w:rPr>
                <w:sz w:val="14"/>
                <w:szCs w:val="14"/>
                <w:color w:val="auto"/>
              </w:rPr>
            </w:pPr>
          </w:p>
        </w:tc>
        <w:tc>
          <w:tcPr>
            <w:tcW w:w="13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220</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1660" w:type="dxa"/>
            <w:vAlign w:val="bottom"/>
          </w:tcPr>
          <w:p>
            <w:pPr>
              <w:jc w:val="right"/>
              <w:spacing w:after="0"/>
              <w:rPr>
                <w:sz w:val="20"/>
                <w:szCs w:val="20"/>
                <w:color w:val="auto"/>
              </w:rPr>
            </w:pPr>
            <w:r>
              <w:rPr>
                <w:rFonts w:ascii="Arial" w:cs="Arial" w:eastAsia="Arial" w:hAnsi="Arial"/>
                <w:sz w:val="18"/>
                <w:szCs w:val="18"/>
                <w:color w:val="auto"/>
              </w:rPr>
              <w:t>2013</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233</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0.4%</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22,396</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22,538</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1660" w:type="dxa"/>
            <w:vAlign w:val="bottom"/>
          </w:tcPr>
          <w:p>
            <w:pPr>
              <w:jc w:val="right"/>
              <w:spacing w:after="0"/>
              <w:rPr>
                <w:sz w:val="20"/>
                <w:szCs w:val="20"/>
                <w:color w:val="auto"/>
              </w:rPr>
            </w:pPr>
            <w:r>
              <w:rPr>
                <w:rFonts w:ascii="Arial" w:cs="Arial" w:eastAsia="Arial" w:hAnsi="Arial"/>
                <w:sz w:val="18"/>
                <w:szCs w:val="18"/>
                <w:color w:val="auto"/>
              </w:rPr>
              <w:t>2015</w:t>
            </w:r>
          </w:p>
        </w:tc>
        <w:tc>
          <w:tcPr>
            <w:tcW w:w="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0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7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34,385</w:t>
            </w:r>
          </w:p>
        </w:tc>
        <w:tc>
          <w:tcPr>
            <w:tcW w:w="6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380" w:type="dxa"/>
            <w:vAlign w:val="bottom"/>
            <w:gridSpan w:val="2"/>
          </w:tcPr>
          <w:p>
            <w:pPr>
              <w:jc w:val="right"/>
              <w:ind w:right="519"/>
              <w:spacing w:after="0"/>
              <w:rPr>
                <w:sz w:val="20"/>
                <w:szCs w:val="20"/>
                <w:color w:val="auto"/>
              </w:rPr>
            </w:pPr>
            <w:r>
              <w:rPr>
                <w:rFonts w:ascii="Arial" w:cs="Arial" w:eastAsia="Arial" w:hAnsi="Arial"/>
                <w:sz w:val="18"/>
                <w:szCs w:val="18"/>
                <w:color w:val="auto"/>
              </w:rPr>
              <w:t>Total $</w:t>
            </w:r>
          </w:p>
        </w:tc>
        <w:tc>
          <w:tcPr>
            <w:tcW w:w="940" w:type="dxa"/>
            <w:vAlign w:val="bottom"/>
          </w:tcPr>
          <w:p>
            <w:pPr>
              <w:jc w:val="right"/>
              <w:spacing w:after="0"/>
              <w:rPr>
                <w:sz w:val="20"/>
                <w:szCs w:val="20"/>
                <w:color w:val="auto"/>
              </w:rPr>
            </w:pPr>
            <w:r>
              <w:rPr>
                <w:rFonts w:ascii="Arial" w:cs="Arial" w:eastAsia="Arial" w:hAnsi="Arial"/>
                <w:sz w:val="18"/>
                <w:szCs w:val="18"/>
                <w:color w:val="auto"/>
              </w:rPr>
              <w:t>595</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56,781</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57,376</w:t>
            </w:r>
          </w:p>
        </w:tc>
        <w:tc>
          <w:tcPr>
            <w:tcW w:w="6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660" w:right="40" w:hanging="652"/>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1" w:name="page32"/>
    <w:bookmarkEnd w:id="31"/>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Real Estate Status Report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2011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and/or</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4"/>
              </w:rPr>
              <w:t>Real</w:t>
            </w:r>
          </w:p>
        </w:tc>
        <w:tc>
          <w:tcPr>
            <w:tcW w:w="120" w:type="dxa"/>
            <w:vAlign w:val="bottom"/>
          </w:tcPr>
          <w:p>
            <w:pPr>
              <w:spacing w:after="0"/>
              <w:rPr>
                <w:sz w:val="11"/>
                <w:szCs w:val="11"/>
                <w:color w:val="auto"/>
              </w:rPr>
            </w:pPr>
          </w:p>
        </w:tc>
        <w:tc>
          <w:tcPr>
            <w:tcW w:w="54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2"/>
              </w:rPr>
              <w:t>Capital</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92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ind w:left="300"/>
              <w:spacing w:after="0" w:line="135"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1"/>
                <w:szCs w:val="11"/>
                <w:color w:val="auto"/>
              </w:rPr>
            </w:pPr>
          </w:p>
        </w:tc>
        <w:tc>
          <w:tcPr>
            <w:tcW w:w="5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4"/>
              </w:rPr>
              <w:t>Estate at</w:t>
            </w:r>
          </w:p>
        </w:tc>
        <w:tc>
          <w:tcPr>
            <w:tcW w:w="120" w:type="dxa"/>
            <w:vAlign w:val="bottom"/>
          </w:tcPr>
          <w:p>
            <w:pPr>
              <w:spacing w:after="0"/>
              <w:rPr>
                <w:sz w:val="11"/>
                <w:szCs w:val="11"/>
                <w:color w:val="auto"/>
              </w:rPr>
            </w:pPr>
          </w:p>
        </w:tc>
        <w:tc>
          <w:tcPr>
            <w:tcW w:w="54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1"/>
              </w:rPr>
              <w:t>Lease</w:t>
            </w:r>
          </w:p>
        </w:tc>
        <w:tc>
          <w:tcPr>
            <w:tcW w:w="54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9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00" w:type="dxa"/>
            <w:vAlign w:val="bottom"/>
          </w:tcPr>
          <w:p>
            <w:pPr>
              <w:spacing w:after="0"/>
              <w:rPr>
                <w:sz w:val="11"/>
                <w:szCs w:val="1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Property Name</w:t>
            </w:r>
          </w:p>
        </w:tc>
        <w:tc>
          <w:tcPr>
            <w:tcW w:w="19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MSA Description</w:t>
            </w: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99"/>
              </w:rPr>
              <w:t>Acquired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Cost</w:t>
            </w: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3"/>
              </w:rPr>
              <w:t>Obligation</w:t>
            </w: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Occupied</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PSF</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GLA (1)</w:t>
            </w: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color w:val="auto"/>
              </w:rPr>
              <w:t>(in</w:t>
            </w:r>
          </w:p>
        </w:tc>
        <w:tc>
          <w:tcPr>
            <w:tcW w:w="660" w:type="dxa"/>
            <w:vAlign w:val="bottom"/>
            <w:gridSpan w:val="2"/>
          </w:tcPr>
          <w:p>
            <w:pPr>
              <w:ind w:left="60"/>
              <w:spacing w:after="0"/>
              <w:rPr>
                <w:sz w:val="20"/>
                <w:szCs w:val="20"/>
                <w:color w:val="auto"/>
              </w:rPr>
            </w:pPr>
            <w:r>
              <w:rPr>
                <w:rFonts w:ascii="Arial" w:cs="Arial" w:eastAsia="Arial" w:hAnsi="Arial"/>
                <w:sz w:val="11"/>
                <w:szCs w:val="11"/>
                <w:color w:val="auto"/>
              </w:rPr>
              <w:t>(in</w:t>
            </w: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color w:val="auto"/>
              </w:rPr>
              <w:t>thousands)</w:t>
            </w:r>
          </w:p>
        </w:tc>
        <w:tc>
          <w:tcPr>
            <w:tcW w:w="660" w:type="dxa"/>
            <w:vAlign w:val="bottom"/>
            <w:gridSpan w:val="2"/>
          </w:tcPr>
          <w:p>
            <w:pPr>
              <w:ind w:left="20"/>
              <w:spacing w:after="0"/>
              <w:rPr>
                <w:sz w:val="20"/>
                <w:szCs w:val="20"/>
                <w:color w:val="auto"/>
              </w:rPr>
            </w:pPr>
            <w:r>
              <w:rPr>
                <w:rFonts w:ascii="Arial" w:cs="Arial" w:eastAsia="Arial" w:hAnsi="Arial"/>
                <w:sz w:val="11"/>
                <w:szCs w:val="11"/>
                <w:color w:val="auto"/>
              </w:rPr>
              <w:t>thousands)</w:t>
            </w: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gridSpan w:val="5"/>
            <w:shd w:val="clear" w:color="auto" w:fill="CCEEFF"/>
          </w:tcPr>
          <w:p>
            <w:pPr>
              <w:ind w:left="60"/>
              <w:spacing w:after="0"/>
              <w:rPr>
                <w:sz w:val="20"/>
                <w:szCs w:val="20"/>
                <w:color w:val="auto"/>
              </w:rPr>
            </w:pPr>
            <w:r>
              <w:rPr>
                <w:rFonts w:ascii="Arial" w:cs="Arial" w:eastAsia="Arial" w:hAnsi="Arial"/>
                <w:sz w:val="13"/>
                <w:szCs w:val="13"/>
                <w:b w:val="1"/>
                <w:bCs w:val="1"/>
                <w:color w:val="auto"/>
                <w:w w:val="89"/>
              </w:rPr>
              <w:t>Washington Metropolitan Area</w:t>
            </w:r>
          </w:p>
        </w:tc>
        <w:tc>
          <w:tcPr>
            <w:tcW w:w="1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r>
      <w:tr>
        <w:trPr>
          <w:trHeight w:val="262"/>
        </w:trPr>
        <w:tc>
          <w:tcPr>
            <w:tcW w:w="20" w:type="dxa"/>
            <w:vAlign w:val="bottom"/>
          </w:tcPr>
          <w:p>
            <w:pPr>
              <w:spacing w:after="0"/>
              <w:rPr>
                <w:sz w:val="22"/>
                <w:szCs w:val="22"/>
                <w:color w:val="auto"/>
              </w:rPr>
            </w:pPr>
          </w:p>
        </w:tc>
        <w:tc>
          <w:tcPr>
            <w:tcW w:w="1300" w:type="dxa"/>
            <w:vAlign w:val="bottom"/>
            <w:gridSpan w:val="4"/>
          </w:tcPr>
          <w:p>
            <w:pPr>
              <w:spacing w:after="0"/>
              <w:rPr>
                <w:sz w:val="20"/>
                <w:szCs w:val="20"/>
                <w:color w:val="auto"/>
              </w:rPr>
            </w:pPr>
            <w:r>
              <w:rPr>
                <w:rFonts w:ascii="Arial" w:cs="Arial" w:eastAsia="Arial" w:hAnsi="Arial"/>
                <w:sz w:val="13"/>
                <w:szCs w:val="13"/>
                <w:color w:val="auto"/>
              </w:rPr>
              <w:t>Barcroft Plaza</w:t>
            </w:r>
          </w:p>
        </w:tc>
        <w:tc>
          <w:tcPr>
            <w:tcW w:w="1960" w:type="dxa"/>
            <w:vAlign w:val="bottom"/>
            <w:gridSpan w:val="2"/>
          </w:tcPr>
          <w:p>
            <w:pPr>
              <w:ind w:left="280"/>
              <w:spacing w:after="0"/>
              <w:rPr>
                <w:sz w:val="20"/>
                <w:szCs w:val="20"/>
                <w:color w:val="auto"/>
              </w:rPr>
            </w:pPr>
            <w:r>
              <w:rPr>
                <w:rFonts w:ascii="Arial" w:cs="Arial" w:eastAsia="Arial" w:hAnsi="Arial"/>
                <w:sz w:val="13"/>
                <w:szCs w:val="13"/>
                <w:color w:val="auto"/>
              </w:rPr>
              <w:t>Washington, DC-MD-VA</w:t>
            </w:r>
          </w:p>
        </w:tc>
        <w:tc>
          <w:tcPr>
            <w:tcW w:w="760" w:type="dxa"/>
            <w:vAlign w:val="bottom"/>
          </w:tcPr>
          <w:p>
            <w:pPr>
              <w:ind w:left="120"/>
              <w:spacing w:after="0"/>
              <w:rPr>
                <w:sz w:val="20"/>
                <w:szCs w:val="20"/>
                <w:color w:val="auto"/>
              </w:rPr>
            </w:pPr>
            <w:r>
              <w:rPr>
                <w:rFonts w:ascii="Arial" w:cs="Arial" w:eastAsia="Arial" w:hAnsi="Arial"/>
                <w:sz w:val="13"/>
                <w:szCs w:val="13"/>
                <w:color w:val="auto"/>
                <w:w w:val="99"/>
              </w:rPr>
              <w:t>2006-2007</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34,336</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20,785</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88%</w:t>
            </w:r>
          </w:p>
        </w:tc>
        <w:tc>
          <w:tcPr>
            <w:tcW w:w="600" w:type="dxa"/>
            <w:vAlign w:val="bottom"/>
          </w:tcPr>
          <w:p>
            <w:pPr>
              <w:jc w:val="right"/>
              <w:spacing w:after="0"/>
              <w:rPr>
                <w:sz w:val="20"/>
                <w:szCs w:val="20"/>
                <w:color w:val="auto"/>
              </w:rPr>
            </w:pPr>
            <w:r>
              <w:rPr>
                <w:rFonts w:ascii="Arial" w:cs="Arial" w:eastAsia="Arial" w:hAnsi="Arial"/>
                <w:sz w:val="13"/>
                <w:szCs w:val="13"/>
                <w:color w:val="auto"/>
              </w:rPr>
              <w:t>88%</w:t>
            </w:r>
          </w:p>
        </w:tc>
        <w:tc>
          <w:tcPr>
            <w:tcW w:w="540" w:type="dxa"/>
            <w:vAlign w:val="bottom"/>
          </w:tcPr>
          <w:p>
            <w:pPr>
              <w:jc w:val="right"/>
              <w:ind w:right="77"/>
              <w:spacing w:after="0"/>
              <w:rPr>
                <w:sz w:val="20"/>
                <w:szCs w:val="20"/>
                <w:color w:val="auto"/>
              </w:rPr>
            </w:pPr>
            <w:r>
              <w:rPr>
                <w:rFonts w:ascii="Arial" w:cs="Arial" w:eastAsia="Arial" w:hAnsi="Arial"/>
                <w:sz w:val="13"/>
                <w:szCs w:val="13"/>
                <w:color w:val="auto"/>
                <w:w w:val="87"/>
              </w:rPr>
              <w:t>$ 21.87</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92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300" w:type="dxa"/>
            <w:vAlign w:val="bottom"/>
          </w:tcPr>
          <w:p>
            <w:pPr>
              <w:ind w:left="60"/>
              <w:spacing w:after="0"/>
              <w:rPr>
                <w:sz w:val="20"/>
                <w:szCs w:val="20"/>
                <w:color w:val="auto"/>
              </w:rPr>
            </w:pPr>
            <w:r>
              <w:rPr>
                <w:rFonts w:ascii="Arial" w:cs="Arial" w:eastAsia="Arial" w:hAnsi="Arial"/>
                <w:sz w:val="13"/>
                <w:szCs w:val="13"/>
                <w:color w:val="auto"/>
              </w:rPr>
              <w:t>Bank of America</w:t>
            </w:r>
          </w:p>
        </w:tc>
      </w:tr>
      <w:tr>
        <w:trPr>
          <w:trHeight w:val="156"/>
        </w:trPr>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Free State Shopping</w:t>
            </w: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TJ Maxx / Ross Dress For Less / Office</w:t>
            </w:r>
          </w:p>
        </w:tc>
      </w:tr>
      <w:tr>
        <w:trPr>
          <w:trHeight w:val="176"/>
        </w:trPr>
        <w:tc>
          <w:tcPr>
            <w:tcW w:w="2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Center</w:t>
            </w: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Washington, DC-MD-VA</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66,422</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16.01</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Depot</w:t>
            </w:r>
          </w:p>
        </w:tc>
      </w:tr>
      <w:tr>
        <w:trPr>
          <w:trHeight w:val="264"/>
        </w:trPr>
        <w:tc>
          <w:tcPr>
            <w:tcW w:w="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Plaza del Mercado</w:t>
            </w:r>
          </w:p>
        </w:tc>
        <w:tc>
          <w:tcPr>
            <w:tcW w:w="196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Washington, DC-MD-VA</w:t>
            </w:r>
          </w:p>
        </w:tc>
        <w:tc>
          <w:tcPr>
            <w:tcW w:w="7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2004</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21,533</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jc w:val="right"/>
              <w:ind w:right="37"/>
              <w:spacing w:after="0"/>
              <w:rPr>
                <w:sz w:val="20"/>
                <w:szCs w:val="20"/>
                <w:color w:val="auto"/>
              </w:rPr>
            </w:pPr>
            <w:r>
              <w:rPr>
                <w:rFonts w:ascii="Arial" w:cs="Arial" w:eastAsia="Arial" w:hAnsi="Arial"/>
                <w:sz w:val="13"/>
                <w:szCs w:val="13"/>
                <w:color w:val="auto"/>
              </w:rPr>
              <w:t>12,491</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20.05</w:t>
            </w:r>
          </w:p>
        </w:tc>
        <w:tc>
          <w:tcPr>
            <w:tcW w:w="6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230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CVS</w:t>
            </w:r>
          </w:p>
        </w:tc>
      </w:tr>
      <w:tr>
        <w:trPr>
          <w:trHeight w:val="134"/>
        </w:trPr>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280"/>
              <w:spacing w:after="0" w:line="134" w:lineRule="exact"/>
              <w:rPr>
                <w:sz w:val="20"/>
                <w:szCs w:val="20"/>
                <w:color w:val="auto"/>
              </w:rPr>
            </w:pPr>
            <w:r>
              <w:rPr>
                <w:rFonts w:ascii="Arial" w:cs="Arial" w:eastAsia="Arial" w:hAnsi="Arial"/>
                <w:sz w:val="13"/>
                <w:szCs w:val="13"/>
                <w:color w:val="auto"/>
                <w:w w:val="94"/>
              </w:rPr>
              <w:t>Total Washington Metropolitan</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Area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122,291</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18.07</w:t>
            </w: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b w:val="1"/>
                <w:bCs w:val="1"/>
                <w:color w:val="auto"/>
              </w:rPr>
              <w:t>New York / New</w:t>
            </w: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Jersey</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300" w:type="dxa"/>
            <w:vAlign w:val="bottom"/>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Greenlawn Plaza</w:t>
            </w: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Nassau-Suffolk, NY</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2006</w:t>
            </w: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20,571</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13,600</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9"/>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16.41</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Tuesday Morning</w:t>
            </w:r>
          </w:p>
        </w:tc>
      </w:tr>
      <w:tr>
        <w:trPr>
          <w:trHeight w:val="249"/>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gridSpan w:val="2"/>
          </w:tcPr>
          <w:p>
            <w:pPr>
              <w:ind w:left="280"/>
              <w:spacing w:after="0"/>
              <w:rPr>
                <w:sz w:val="20"/>
                <w:szCs w:val="20"/>
                <w:color w:val="auto"/>
              </w:rPr>
            </w:pPr>
            <w:r>
              <w:rPr>
                <w:rFonts w:ascii="Arial" w:cs="Arial" w:eastAsia="Arial" w:hAnsi="Arial"/>
                <w:sz w:val="13"/>
                <w:szCs w:val="13"/>
                <w:color w:val="auto"/>
                <w:w w:val="99"/>
              </w:rPr>
              <w:t>Total New York / New Jersey</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20,571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right"/>
              <w:spacing w:after="0"/>
              <w:rPr>
                <w:sz w:val="20"/>
                <w:szCs w:val="20"/>
                <w:color w:val="auto"/>
              </w:rPr>
            </w:pPr>
            <w:r>
              <w:rPr>
                <w:rFonts w:ascii="Arial" w:cs="Arial" w:eastAsia="Arial" w:hAnsi="Arial"/>
                <w:sz w:val="13"/>
                <w:szCs w:val="13"/>
                <w:color w:val="auto"/>
              </w:rPr>
              <w:t>97%</w:t>
            </w:r>
          </w:p>
        </w:tc>
        <w:tc>
          <w:tcPr>
            <w:tcW w:w="540" w:type="dxa"/>
            <w:vAlign w:val="bottom"/>
          </w:tcPr>
          <w:p>
            <w:pPr>
              <w:jc w:val="right"/>
              <w:ind w:right="77"/>
              <w:spacing w:after="0"/>
              <w:rPr>
                <w:sz w:val="20"/>
                <w:szCs w:val="20"/>
                <w:color w:val="auto"/>
              </w:rPr>
            </w:pPr>
            <w:r>
              <w:rPr>
                <w:rFonts w:ascii="Arial" w:cs="Arial" w:eastAsia="Arial" w:hAnsi="Arial"/>
                <w:sz w:val="13"/>
                <w:szCs w:val="13"/>
                <w:color w:val="auto"/>
              </w:rPr>
              <w:t>16.41</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258"/>
        </w:trPr>
        <w:tc>
          <w:tcPr>
            <w:tcW w:w="2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New England</w:t>
            </w: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300" w:type="dxa"/>
            <w:vAlign w:val="bottom"/>
            <w:shd w:val="clear" w:color="auto" w:fill="CCEEFF"/>
          </w:tcPr>
          <w:p>
            <w:pPr>
              <w:spacing w:after="0"/>
              <w:rPr>
                <w:sz w:val="22"/>
                <w:szCs w:val="22"/>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w w:val="93"/>
              </w:rPr>
              <w:t>Atlantic Plaza</w:t>
            </w:r>
          </w:p>
        </w:tc>
        <w:tc>
          <w:tcPr>
            <w:tcW w:w="540" w:type="dxa"/>
            <w:vAlign w:val="bottom"/>
            <w:tcBorders>
              <w:top w:val="single" w:sz="8" w:color="CCEEFF"/>
            </w:tcBorders>
            <w:gridSpan w:val="2"/>
          </w:tcPr>
          <w:p>
            <w:pPr>
              <w:spacing w:after="0"/>
              <w:rPr>
                <w:sz w:val="12"/>
                <w:szCs w:val="12"/>
                <w:color w:val="auto"/>
              </w:rPr>
            </w:pPr>
          </w:p>
        </w:tc>
        <w:tc>
          <w:tcPr>
            <w:tcW w:w="1960" w:type="dxa"/>
            <w:vAlign w:val="bottom"/>
            <w:tcBorders>
              <w:top w:val="single" w:sz="8" w:color="CCEEFF"/>
            </w:tcBorders>
            <w:gridSpan w:val="2"/>
          </w:tcPr>
          <w:p>
            <w:pPr>
              <w:ind w:left="280"/>
              <w:spacing w:after="0" w:line="148" w:lineRule="exact"/>
              <w:rPr>
                <w:sz w:val="20"/>
                <w:szCs w:val="20"/>
                <w:color w:val="auto"/>
              </w:rPr>
            </w:pPr>
            <w:r>
              <w:rPr>
                <w:rFonts w:ascii="Arial" w:cs="Arial" w:eastAsia="Arial" w:hAnsi="Arial"/>
                <w:sz w:val="13"/>
                <w:szCs w:val="13"/>
                <w:color w:val="auto"/>
                <w:w w:val="98"/>
              </w:rPr>
              <w:t>Boston-Worcester-Lawrence-</w:t>
            </w:r>
          </w:p>
        </w:tc>
        <w:tc>
          <w:tcPr>
            <w:tcW w:w="760" w:type="dxa"/>
            <w:vAlign w:val="bottom"/>
            <w:tcBorders>
              <w:top w:val="single" w:sz="8" w:color="CCEEFF"/>
            </w:tcBorders>
          </w:tcPr>
          <w:p>
            <w:pPr>
              <w:ind w:left="120"/>
              <w:spacing w:after="0" w:line="148" w:lineRule="exact"/>
              <w:rPr>
                <w:sz w:val="20"/>
                <w:szCs w:val="20"/>
                <w:color w:val="auto"/>
              </w:rPr>
            </w:pPr>
            <w:r>
              <w:rPr>
                <w:rFonts w:ascii="Arial" w:cs="Arial" w:eastAsia="Arial" w:hAnsi="Arial"/>
                <w:sz w:val="13"/>
                <w:szCs w:val="13"/>
                <w:color w:val="auto"/>
              </w:rPr>
              <w:t>2004</w:t>
            </w: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jc w:val="right"/>
              <w:ind w:right="37"/>
              <w:spacing w:after="0" w:line="148" w:lineRule="exact"/>
              <w:rPr>
                <w:sz w:val="20"/>
                <w:szCs w:val="20"/>
                <w:color w:val="auto"/>
              </w:rPr>
            </w:pPr>
            <w:r>
              <w:rPr>
                <w:rFonts w:ascii="Arial" w:cs="Arial" w:eastAsia="Arial" w:hAnsi="Arial"/>
                <w:sz w:val="13"/>
                <w:szCs w:val="13"/>
                <w:color w:val="auto"/>
              </w:rPr>
              <w:t>18,965</w:t>
            </w:r>
          </w:p>
        </w:tc>
        <w:tc>
          <w:tcPr>
            <w:tcW w:w="12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jc w:val="right"/>
              <w:ind w:right="37"/>
              <w:spacing w:after="0" w:line="148" w:lineRule="exact"/>
              <w:rPr>
                <w:sz w:val="20"/>
                <w:szCs w:val="20"/>
                <w:color w:val="auto"/>
              </w:rPr>
            </w:pPr>
            <w:r>
              <w:rPr>
                <w:rFonts w:ascii="Arial" w:cs="Arial" w:eastAsia="Arial" w:hAnsi="Arial"/>
                <w:sz w:val="13"/>
                <w:szCs w:val="13"/>
                <w:color w:val="auto"/>
              </w:rPr>
              <w:t>10,500</w:t>
            </w:r>
          </w:p>
        </w:tc>
        <w:tc>
          <w:tcPr>
            <w:tcW w:w="540" w:type="dxa"/>
            <w:vAlign w:val="bottom"/>
            <w:tcBorders>
              <w:top w:val="single" w:sz="8" w:color="CCEEFF"/>
            </w:tcBorders>
          </w:tcPr>
          <w:p>
            <w:pPr>
              <w:jc w:val="right"/>
              <w:ind w:right="37"/>
              <w:spacing w:after="0" w:line="148" w:lineRule="exact"/>
              <w:rPr>
                <w:sz w:val="20"/>
                <w:szCs w:val="20"/>
                <w:color w:val="auto"/>
              </w:rPr>
            </w:pPr>
            <w:r>
              <w:rPr>
                <w:rFonts w:ascii="Arial" w:cs="Arial" w:eastAsia="Arial" w:hAnsi="Arial"/>
                <w:sz w:val="13"/>
                <w:szCs w:val="13"/>
                <w:color w:val="auto"/>
                <w:w w:val="89"/>
              </w:rPr>
              <w:t>123,000</w:t>
            </w:r>
          </w:p>
        </w:tc>
        <w:tc>
          <w:tcPr>
            <w:tcW w:w="52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88%</w:t>
            </w:r>
          </w:p>
        </w:tc>
        <w:tc>
          <w:tcPr>
            <w:tcW w:w="60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88%</w:t>
            </w:r>
          </w:p>
        </w:tc>
        <w:tc>
          <w:tcPr>
            <w:tcW w:w="540" w:type="dxa"/>
            <w:vAlign w:val="bottom"/>
            <w:tcBorders>
              <w:top w:val="single" w:sz="8" w:color="CCEEFF"/>
            </w:tcBorders>
          </w:tcPr>
          <w:p>
            <w:pPr>
              <w:jc w:val="right"/>
              <w:ind w:right="77"/>
              <w:spacing w:after="0" w:line="148" w:lineRule="exact"/>
              <w:rPr>
                <w:sz w:val="20"/>
                <w:szCs w:val="20"/>
                <w:color w:val="auto"/>
              </w:rPr>
            </w:pPr>
            <w:r>
              <w:rPr>
                <w:rFonts w:ascii="Arial" w:cs="Arial" w:eastAsia="Arial" w:hAnsi="Arial"/>
                <w:sz w:val="13"/>
                <w:szCs w:val="13"/>
                <w:color w:val="auto"/>
              </w:rPr>
              <w:t>16.51</w:t>
            </w:r>
          </w:p>
        </w:tc>
        <w:tc>
          <w:tcPr>
            <w:tcW w:w="60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920" w:type="dxa"/>
            <w:vAlign w:val="bottom"/>
            <w:tcBorders>
              <w:top w:val="single" w:sz="8" w:color="CCEEFF"/>
            </w:tcBorders>
          </w:tcPr>
          <w:p>
            <w:pPr>
              <w:ind w:left="80"/>
              <w:spacing w:after="0" w:line="148" w:lineRule="exact"/>
              <w:rPr>
                <w:sz w:val="20"/>
                <w:szCs w:val="20"/>
                <w:color w:val="auto"/>
              </w:rPr>
            </w:pPr>
            <w:r>
              <w:rPr>
                <w:rFonts w:ascii="Arial" w:cs="Arial" w:eastAsia="Arial" w:hAnsi="Arial"/>
                <w:sz w:val="13"/>
                <w:szCs w:val="13"/>
                <w:color w:val="auto"/>
              </w:rPr>
              <w:t>Stop &amp; Shop</w:t>
            </w:r>
          </w:p>
        </w:tc>
        <w:tc>
          <w:tcPr>
            <w:tcW w:w="2300" w:type="dxa"/>
            <w:vAlign w:val="bottom"/>
            <w:tcBorders>
              <w:top w:val="single" w:sz="8" w:color="CCEEFF"/>
            </w:tcBorders>
          </w:tcPr>
          <w:p>
            <w:pPr>
              <w:ind w:left="60"/>
              <w:spacing w:after="0" w:line="148" w:lineRule="exact"/>
              <w:rPr>
                <w:sz w:val="20"/>
                <w:szCs w:val="20"/>
                <w:color w:val="auto"/>
              </w:rPr>
            </w:pPr>
            <w:r>
              <w:rPr>
                <w:rFonts w:ascii="Arial" w:cs="Arial" w:eastAsia="Arial" w:hAnsi="Arial"/>
                <w:sz w:val="13"/>
                <w:szCs w:val="13"/>
                <w:color w:val="auto"/>
              </w:rPr>
              <w:t>Sears</w:t>
            </w:r>
          </w:p>
        </w:tc>
      </w:t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2"/>
          </w:tcPr>
          <w:p>
            <w:pPr>
              <w:ind w:left="280"/>
              <w:spacing w:after="0"/>
              <w:rPr>
                <w:sz w:val="20"/>
                <w:szCs w:val="20"/>
                <w:color w:val="auto"/>
              </w:rPr>
            </w:pPr>
            <w:r>
              <w:rPr>
                <w:rFonts w:ascii="Arial" w:cs="Arial" w:eastAsia="Arial" w:hAnsi="Arial"/>
                <w:sz w:val="13"/>
                <w:szCs w:val="13"/>
                <w:color w:val="auto"/>
              </w:rPr>
              <w:t>Lowell-Brockton, MA</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Campus Plaza</w:t>
            </w: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8"/>
              </w:rPr>
              <w:t>Boston-Worcester-Lawrence-</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22,639</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117,000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12.95</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9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0"/>
              </w:rPr>
              <w:t>Roche Brothers</w:t>
            </w:r>
          </w:p>
        </w:tc>
        <w:tc>
          <w:tcPr>
            <w:tcW w:w="2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Burlington Coat Factory</w:t>
            </w:r>
          </w:p>
        </w:tc>
      </w:tr>
      <w:tr>
        <w:trPr>
          <w:trHeight w:val="176"/>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Lowell-Brockton, MA</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1300" w:type="dxa"/>
            <w:vAlign w:val="bottom"/>
            <w:gridSpan w:val="4"/>
          </w:tcPr>
          <w:p>
            <w:pPr>
              <w:spacing w:after="0" w:line="148" w:lineRule="exact"/>
              <w:rPr>
                <w:sz w:val="20"/>
                <w:szCs w:val="20"/>
                <w:color w:val="auto"/>
              </w:rPr>
            </w:pPr>
            <w:r>
              <w:rPr>
                <w:rFonts w:ascii="Arial" w:cs="Arial" w:eastAsia="Arial" w:hAnsi="Arial"/>
                <w:sz w:val="13"/>
                <w:szCs w:val="13"/>
                <w:color w:val="auto"/>
              </w:rPr>
              <w:t>Pleasant Shops</w:t>
            </w:r>
          </w:p>
        </w:tc>
        <w:tc>
          <w:tcPr>
            <w:tcW w:w="1960" w:type="dxa"/>
            <w:vAlign w:val="bottom"/>
            <w:gridSpan w:val="2"/>
          </w:tcPr>
          <w:p>
            <w:pPr>
              <w:ind w:left="280"/>
              <w:spacing w:after="0" w:line="148" w:lineRule="exact"/>
              <w:rPr>
                <w:sz w:val="20"/>
                <w:szCs w:val="20"/>
                <w:color w:val="auto"/>
              </w:rPr>
            </w:pPr>
            <w:r>
              <w:rPr>
                <w:rFonts w:ascii="Arial" w:cs="Arial" w:eastAsia="Arial" w:hAnsi="Arial"/>
                <w:sz w:val="13"/>
                <w:szCs w:val="13"/>
                <w:color w:val="auto"/>
                <w:w w:val="98"/>
              </w:rPr>
              <w:t>Boston-Worcester-Lawrence-</w:t>
            </w:r>
          </w:p>
        </w:tc>
        <w:tc>
          <w:tcPr>
            <w:tcW w:w="760" w:type="dxa"/>
            <w:vAlign w:val="bottom"/>
          </w:tcPr>
          <w:p>
            <w:pPr>
              <w:ind w:left="120"/>
              <w:spacing w:after="0" w:line="148" w:lineRule="exact"/>
              <w:rPr>
                <w:sz w:val="20"/>
                <w:szCs w:val="20"/>
                <w:color w:val="auto"/>
              </w:rPr>
            </w:pPr>
            <w:r>
              <w:rPr>
                <w:rFonts w:ascii="Arial" w:cs="Arial" w:eastAsia="Arial" w:hAnsi="Arial"/>
                <w:sz w:val="13"/>
                <w:szCs w:val="13"/>
                <w:color w:val="auto"/>
              </w:rPr>
              <w:t>2004</w:t>
            </w:r>
          </w:p>
        </w:tc>
        <w:tc>
          <w:tcPr>
            <w:tcW w:w="100" w:type="dxa"/>
            <w:vAlign w:val="bottom"/>
          </w:tcPr>
          <w:p>
            <w:pPr>
              <w:spacing w:after="0"/>
              <w:rPr>
                <w:sz w:val="12"/>
                <w:szCs w:val="12"/>
                <w:color w:val="auto"/>
              </w:rPr>
            </w:pPr>
          </w:p>
        </w:tc>
        <w:tc>
          <w:tcPr>
            <w:tcW w:w="5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23,521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jc w:val="right"/>
              <w:ind w:right="37"/>
              <w:spacing w:after="0" w:line="148" w:lineRule="exact"/>
              <w:rPr>
                <w:sz w:val="20"/>
                <w:szCs w:val="20"/>
                <w:color w:val="auto"/>
              </w:rPr>
            </w:pPr>
            <w:r>
              <w:rPr>
                <w:rFonts w:ascii="Arial" w:cs="Arial" w:eastAsia="Arial" w:hAnsi="Arial"/>
                <w:sz w:val="13"/>
                <w:szCs w:val="13"/>
                <w:color w:val="auto"/>
                <w:w w:val="89"/>
              </w:rPr>
              <w:t>130,000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54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13.69</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38,000</w:t>
            </w:r>
          </w:p>
        </w:tc>
        <w:tc>
          <w:tcPr>
            <w:tcW w:w="920" w:type="dxa"/>
            <w:vAlign w:val="bottom"/>
          </w:tcPr>
          <w:p>
            <w:pPr>
              <w:ind w:left="80"/>
              <w:spacing w:after="0" w:line="148" w:lineRule="exact"/>
              <w:rPr>
                <w:sz w:val="20"/>
                <w:szCs w:val="20"/>
                <w:color w:val="auto"/>
              </w:rPr>
            </w:pPr>
            <w:r>
              <w:rPr>
                <w:rFonts w:ascii="Arial" w:cs="Arial" w:eastAsia="Arial" w:hAnsi="Arial"/>
                <w:sz w:val="13"/>
                <w:szCs w:val="13"/>
                <w:color w:val="auto"/>
              </w:rPr>
              <w:t>Foodmaster</w:t>
            </w:r>
          </w:p>
        </w:tc>
        <w:tc>
          <w:tcPr>
            <w:tcW w:w="230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Lowell-Brockton, MA</w:t>
            </w: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r>
      <w:tr>
        <w:trPr>
          <w:trHeight w:val="250"/>
        </w:trPr>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3"/>
                <w:szCs w:val="13"/>
                <w:color w:val="auto"/>
              </w:rPr>
              <w:t>Total New England</w:t>
            </w:r>
          </w:p>
        </w:tc>
        <w:tc>
          <w:tcPr>
            <w:tcW w:w="7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65,125</w:t>
            </w: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9"/>
              </w:rPr>
              <w:t>370,000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14.34</w:t>
            </w:r>
          </w:p>
        </w:tc>
        <w:tc>
          <w:tcPr>
            <w:tcW w:w="6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2300" w:type="dxa"/>
            <w:vAlign w:val="bottom"/>
            <w:tcBorders>
              <w:bottom w:val="single" w:sz="8" w:color="auto"/>
            </w:tcBorders>
            <w:shd w:val="clear" w:color="auto" w:fill="CCEEFF"/>
          </w:tcPr>
          <w:p>
            <w:pPr>
              <w:spacing w:after="0"/>
              <w:rPr>
                <w:sz w:val="21"/>
                <w:szCs w:val="2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Grand Totals</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3"/>
              </w:rPr>
              <w:t>207,987</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57,376</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951,000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w:t>
            </w:r>
          </w:p>
        </w:tc>
        <w:tc>
          <w:tcPr>
            <w:tcW w:w="114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3"/>
                <w:szCs w:val="13"/>
                <w:b w:val="1"/>
                <w:bCs w:val="1"/>
                <w:color w:val="auto"/>
              </w:rPr>
              <w:t>91% $ 16.38</w:t>
            </w:r>
          </w:p>
        </w:tc>
        <w:tc>
          <w:tcPr>
            <w:tcW w:w="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(1) Grocery anchor is defined as a grocery tenant leasing 15,000 square feet or more.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60" w:top="958"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taxes, gain or loss on sale of real estate, gain or loss on deconsolidation of variable interest entity (“VIE”)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and year ended December 31, 2011 and 2010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2010</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32,455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149,612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128,237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31,853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126,568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119,817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25,721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98,465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2,801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89,982</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89,601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374,131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352,481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deconsolidation of VIE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89,707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89,601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357,030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351,071</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real estate related depreciation and amortization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lease 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2019-12-09T06:41:48Z</dcterms:created>
  <dcterms:modified xsi:type="dcterms:W3CDTF">2019-12-09T06:41:48Z</dcterms:modified>
</cp:coreProperties>
</file>