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March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May 6, 2009, Federal Realty Investment Trust issued supplemental data pertaining to its operations, as well as a press release, to report its financial results for the quarter ended March 31, 2009. The supplemental data and press release are furnished as Exhibit 99.1 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March 31, 2009 (including press release dated May 6,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Exh No.</w:t>
            </w:r>
          </w:p>
        </w:tc>
        <w:tc>
          <w:tcPr>
            <w:tcW w:w="66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Supplemental Information at March 31, 2009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72"/>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216"/>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94"/>
              </w:rPr>
              <w:t>SUPPLEMENTAL INFORMATION</w:t>
            </w:r>
          </w:p>
        </w:tc>
        <w:tc>
          <w:tcPr>
            <w:tcW w:w="2440" w:type="dxa"/>
            <w:vAlign w:val="bottom"/>
          </w:tcPr>
          <w:p>
            <w:pPr>
              <w:spacing w:after="0"/>
              <w:rPr>
                <w:sz w:val="18"/>
                <w:szCs w:val="18"/>
                <w:color w:val="auto"/>
              </w:rPr>
            </w:pPr>
          </w:p>
        </w:tc>
      </w:tr>
      <w:tr>
        <w:trPr>
          <w:trHeight w:val="222"/>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89"/>
              </w:rPr>
              <w:t>March 31, 2009</w:t>
            </w:r>
          </w:p>
        </w:tc>
        <w:tc>
          <w:tcPr>
            <w:tcW w:w="2440" w:type="dxa"/>
            <w:vAlign w:val="bottom"/>
          </w:tcPr>
          <w:p>
            <w:pPr>
              <w:spacing w:after="0"/>
              <w:rPr>
                <w:sz w:val="19"/>
                <w:szCs w:val="19"/>
                <w:color w:val="auto"/>
              </w:rPr>
            </w:pPr>
          </w:p>
        </w:tc>
      </w:tr>
      <w:tr>
        <w:trPr>
          <w:trHeight w:val="378"/>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419"/>
        </w:trPr>
        <w:tc>
          <w:tcPr>
            <w:tcW w:w="8980" w:type="dxa"/>
            <w:vAlign w:val="bottom"/>
          </w:tcPr>
          <w:p>
            <w:pPr>
              <w:spacing w:after="0"/>
              <w:rPr>
                <w:sz w:val="20"/>
                <w:szCs w:val="20"/>
                <w:color w:val="auto"/>
              </w:rPr>
            </w:pPr>
            <w:r>
              <w:rPr>
                <w:rFonts w:ascii="Arial" w:cs="Arial" w:eastAsia="Arial" w:hAnsi="Arial"/>
                <w:sz w:val="18"/>
                <w:szCs w:val="18"/>
                <w:color w:val="auto"/>
              </w:rPr>
              <w:t>1.   First Quarter 2009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Income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Market Data</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980" w:type="dxa"/>
            <w:vAlign w:val="bottom"/>
          </w:tcPr>
          <w:p>
            <w:pPr>
              <w:ind w:left="120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Capital Lease Obligations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10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10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10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10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10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100" w:type="dxa"/>
            <w:vAlign w:val="bottom"/>
          </w:tcPr>
          <w:p>
            <w:pPr>
              <w:ind w:left="60"/>
              <w:spacing w:after="0"/>
              <w:rPr>
                <w:sz w:val="20"/>
                <w:szCs w:val="20"/>
                <w:color w:val="auto"/>
              </w:rPr>
            </w:pPr>
            <w:r>
              <w:rPr>
                <w:rFonts w:ascii="Arial" w:cs="Arial" w:eastAsia="Arial" w:hAnsi="Arial"/>
                <w:sz w:val="18"/>
                <w:szCs w:val="18"/>
                <w:color w:val="auto"/>
              </w:rPr>
              <w:t>Litigation Update</w:t>
            </w:r>
          </w:p>
        </w:tc>
        <w:tc>
          <w:tcPr>
            <w:tcW w:w="30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Litigation Update Summary</w:t>
            </w:r>
          </w:p>
        </w:tc>
        <w:tc>
          <w:tcPr>
            <w:tcW w:w="3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“Final Proposal” Document</w:t>
            </w:r>
          </w:p>
        </w:tc>
        <w:tc>
          <w:tcPr>
            <w:tcW w:w="3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10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0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Summarized Income Statements and Balance Sheets</w:t>
            </w:r>
          </w:p>
        </w:tc>
        <w:tc>
          <w:tcPr>
            <w:tcW w:w="3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10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include the following:</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i w:val="1"/>
          <w:iCs w:val="1"/>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26, 2009.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2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660" w:type="dxa"/>
            <w:vAlign w:val="bottom"/>
          </w:tcPr>
          <w:p>
            <w:pPr>
              <w:spacing w:after="0"/>
              <w:rPr>
                <w:sz w:val="19"/>
                <w:szCs w:val="19"/>
                <w:color w:val="auto"/>
              </w:rPr>
            </w:pPr>
          </w:p>
        </w:tc>
      </w:tr>
      <w:tr>
        <w:trPr>
          <w:trHeight w:val="380"/>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26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6300" w:type="dxa"/>
            <w:vAlign w:val="bottom"/>
          </w:tcPr>
          <w:p>
            <w:pPr>
              <w:spacing w:after="0"/>
              <w:rPr>
                <w:sz w:val="19"/>
                <w:szCs w:val="19"/>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Janelle Stevenson</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660" w:type="dxa"/>
            <w:vAlign w:val="bottom"/>
          </w:tcPr>
          <w:p>
            <w:pPr>
              <w:ind w:left="42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6300" w:type="dxa"/>
            <w:vAlign w:val="bottom"/>
          </w:tcPr>
          <w:p>
            <w:pPr>
              <w:spacing w:after="0"/>
              <w:rPr>
                <w:sz w:val="18"/>
                <w:szCs w:val="18"/>
                <w:color w:val="auto"/>
              </w:rPr>
            </w:pPr>
          </w:p>
        </w:tc>
        <w:tc>
          <w:tcPr>
            <w:tcW w:w="2660" w:type="dxa"/>
            <w:vAlign w:val="bottom"/>
          </w:tcPr>
          <w:p>
            <w:pPr>
              <w:ind w:left="420"/>
              <w:spacing w:after="0"/>
              <w:rPr>
                <w:sz w:val="20"/>
                <w:szCs w:val="20"/>
                <w:color w:val="auto"/>
              </w:rPr>
            </w:pPr>
            <w:r>
              <w:rPr>
                <w:rFonts w:ascii="Arial" w:cs="Arial" w:eastAsia="Arial" w:hAnsi="Arial"/>
                <w:sz w:val="18"/>
                <w:szCs w:val="18"/>
                <w:color w:val="auto"/>
              </w:rPr>
              <w:t>301/998-8185</w:t>
            </w: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2660" w:type="dxa"/>
            <w:vAlign w:val="bottom"/>
          </w:tcPr>
          <w:p>
            <w:pPr>
              <w:ind w:left="420"/>
              <w:spacing w:after="0"/>
              <w:rPr>
                <w:sz w:val="20"/>
                <w:szCs w:val="20"/>
                <w:color w:val="auto"/>
              </w:rPr>
            </w:pPr>
            <w:r>
              <w:rPr>
                <w:rFonts w:ascii="Arial" w:cs="Arial" w:eastAsia="Arial" w:hAnsi="Arial"/>
                <w:sz w:val="18"/>
                <w:szCs w:val="18"/>
                <w:i w:val="1"/>
                <w:iCs w:val="1"/>
                <w:color w:val="auto"/>
                <w:w w:val="86"/>
              </w:rPr>
              <w:t>jmstevenson@federalrealty.com</w:t>
            </w:r>
          </w:p>
        </w:tc>
      </w:tr>
      <w:tr>
        <w:trPr>
          <w:trHeight w:val="36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 ANNOUNCES FIRST QUARTER 2009</w:t>
            </w:r>
          </w:p>
        </w:tc>
        <w:tc>
          <w:tcPr>
            <w:tcW w:w="2660" w:type="dxa"/>
            <w:vAlign w:val="bottom"/>
          </w:tcPr>
          <w:p>
            <w:pPr>
              <w:spacing w:after="0"/>
              <w:rPr>
                <w:sz w:val="24"/>
                <w:szCs w:val="24"/>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OPERATING RESULTS</w:t>
            </w:r>
          </w:p>
        </w:tc>
        <w:tc>
          <w:tcPr>
            <w:tcW w:w="2660" w:type="dxa"/>
            <w:vAlign w:val="bottom"/>
          </w:tcPr>
          <w:p>
            <w:pPr>
              <w:spacing w:after="0"/>
              <w:rPr>
                <w:sz w:val="19"/>
                <w:szCs w:val="19"/>
                <w:color w:val="auto"/>
              </w:rPr>
            </w:pPr>
          </w:p>
        </w:tc>
      </w:tr>
      <w:tr>
        <w:trPr>
          <w:trHeight w:val="222"/>
        </w:trPr>
        <w:tc>
          <w:tcPr>
            <w:tcW w:w="2060" w:type="dxa"/>
            <w:vAlign w:val="bottom"/>
          </w:tcPr>
          <w:p>
            <w:pPr>
              <w:spacing w:after="0"/>
              <w:rPr>
                <w:sz w:val="19"/>
                <w:szCs w:val="19"/>
                <w:color w:val="auto"/>
              </w:rPr>
            </w:pPr>
          </w:p>
        </w:tc>
        <w:tc>
          <w:tcPr>
            <w:tcW w:w="6300" w:type="dxa"/>
            <w:vAlign w:val="bottom"/>
          </w:tcPr>
          <w:p>
            <w:pPr>
              <w:ind w:left="1440"/>
              <w:spacing w:after="0"/>
              <w:rPr>
                <w:sz w:val="20"/>
                <w:szCs w:val="20"/>
                <w:color w:val="auto"/>
              </w:rPr>
            </w:pPr>
            <w:r>
              <w:rPr>
                <w:rFonts w:ascii="Arial" w:cs="Arial" w:eastAsia="Arial" w:hAnsi="Arial"/>
                <w:sz w:val="18"/>
                <w:szCs w:val="18"/>
                <w:i w:val="1"/>
                <w:iCs w:val="1"/>
                <w:color w:val="auto"/>
                <w:w w:val="96"/>
              </w:rPr>
              <w:t>- Strong core operations drive year-over-year results up 6.5% -</w:t>
            </w:r>
          </w:p>
        </w:tc>
        <w:tc>
          <w:tcPr>
            <w:tcW w:w="2660" w:type="dxa"/>
            <w:vAlign w:val="bottom"/>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ROCKVILLE, Md. (May 6, 2009) – Federal Realty Investment Trust (NYSE:FRT) today reported operating results for its first quarter ended March 31,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Federal Realty reported funds from operations available for common shareholders (FFO) of $37.8 million or $0.64 per diluted share, and net income available for common shareholders of $10.3 million or earnings per diluted share of $0.17. The Trust’s reported results include a provision for litigation of $20.6 million, or $0.35 per diluted share related to a tentative ruling issued on April 22 awarding damages associated with a previously disclosed lawsuit involving a property adjacent to Santana Row. Excluding the litigation provision, FFO per diluted share increased 6.5% to $0.99 in first quarter 2009 compared to $0.93 in first quarter 2008, while total FFO increased to $58.3 million from $55.2 million reported in first quarter 2008. Net income available for common shareholders excluding the litigation provision was $31.0 million and earnings per diluted share was $0.52 for the quarter ended March 31, 2009 versus $29.9 million and $0.51, respectively, for first quarter 2008. Additional information regarding the litigation can be found in the Trust’s supplemental report furnished to the SEC on Form 8-K.</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first quarter 2009, same-center property operating income, including redevelopment and expansion properties, increased 1.4% over first quarter 2008. When redevelopment and expansion properties are excluded from same-center results, property operating income for first quarter 2009 decreased 2.1% compared to first quarter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overall portfolio was 94.2% leased as of March 31, 2009, compared to 95.0% on December 31, 2008 and 96.1% on March 31, 2008. Federal Realty’s same-center portfolio was 94.5% leased on March 31, 2009, compared to 95.4% on December 31, 2008 and 96.4% on March 31, 2008.</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first quarter of 2009, Federal Realty signed 69 leases for 233,000 square feet of retail space. On a comparable space basis (i.e., spaces for which there was a former tenant), the Trust leased 232,000 square feet at an average cash-basis contractual rent increase per square foot (i.e., excluding the impact of straight-line rents) of 16%. The average contractual rent on this comparable space for the first year of the new leases is $31.42 per square foot, compared to the average contractual rent of $26.99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26% for first quarter 2009. As of March 31, 2009, Federal Realty’s average contractual, cash basis minimum rent for retail and commercial space in its portfolio was $21.88 per square foot.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Refinancing Updates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May 4, Federal Realty closed a new $372 million unsecured term loan, proceeds of which were utilized to retire the Trust’s outstanding $200 million unsecured term loan and provide capital to retire the 8.75% Notes due December 1, 2009. The term loan, which bears interest at an annual rate of LIBOR (subject to a 1.50% floor) plus 300 basis points, will mature in July 2011. The term loan was increased from its initial size of $200 million, reflecting significant demand from high-quality financial institutions for the Trust’s credit at market leading terms.</w:t>
      </w:r>
    </w:p>
    <w:p>
      <w:pPr>
        <w:spacing w:after="0" w:line="14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April, Federal Realty closed a $24.1 million, ten-year loan secured by Rollingwood Apartments in Silver Spring, Maryland at an effective annual interest rate of 5.72%. The Trust has also obtained a commitment of approximately $139 million for a five-year loan secured by four retail assets located in Northern Virginia that is expected to bear interest at an effective annual rate of 7.72%. This secured financing is expected to close during the second quarter of 2009.</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result of these financing activities, Federal Realty anticipates that it will have adequate capital to retire all of its 2009 debt maturities, will have significant capacity on its $300 million unsecured credit facility and will have no additional debt maturities until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 am very pleased with our first quarter results, especially in terms of the steady leasing activity we were able to achieve despite a continuing difficult economic environment,” said Donald C. Wood, president and chief executive officer of the Trust. “The combination of strong operating results and support for our financing activities is a testament to the strength and quality of our portfolio and our sustainable low-risk business strategy.”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$0.65 per share on its common shares, resulting in an indicated annual rate of $2.60 per share. The regular common dividend will be payable in cash on July 15, 2009 to common shareholders of record on June 24,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Federal Realty left its guidance, excluding the provision for litigation, for 2009 FFO per diluted share unchanged at a range of $3.80 to $3.92, and provided 2009 earnings per diluted share guidance of $1.88 to $2.00. Guidance for 2009 assumes an approximately $10 million increase in interest expense relative to 2008 associated with addressing the Trust’s fourth quarter 2009 debt maturities significantly in advance of the actual maturity dates, repaying the credit facility with excess proceeds from the Trust’s capital raising activities and projected changes in short-term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2009 earnings conference call, which is scheduled for May 7, 2009, at 11 a.m. Eastern Daylight Time. To participate, please call (866) 271-6130 five to ten minutes prior to the call start time and use the passcode FRT EARNINGS (required). Federal Realty will also provide an online Web Simulcast on the Company’s Web site, www.federalrealty.com, which will remain available for 30 days following the call. A telephone recording of the call will also be available through June 5, 2009, by dialing (888) 286-8010 and using the passcode 91157379.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assets. Federal Realty’s portfolio (excluding joint venture properties) contains approximately 18.1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94.2% leased to national, regional, and local retailers as of March 31, 2009, with no single tenant accounting for more than approximately 2.6% of annualized base 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2009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include the following:</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close any pending financing activities, our ability to meet existing financial covenants and the limitations imposed on our operations by those covenants, and the possibility of increases in interest rates that would result in increased interest expense; and</w:t>
      </w:r>
    </w:p>
    <w:p>
      <w:pPr>
        <w:spacing w:after="0" w:line="25"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26,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98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89"/>
              </w:rPr>
              <w:t>(unaudited)</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42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127,330</w:t>
            </w:r>
          </w:p>
        </w:tc>
        <w:tc>
          <w:tcPr>
            <w:tcW w:w="4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131,201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28,705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13,892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20,632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34,235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(23,569)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10,958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Results from discontinued operations</w:t>
            </w:r>
          </w:p>
        </w:tc>
        <w:tc>
          <w:tcPr>
            <w:tcW w:w="4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 attributable to the Trust</w:t>
            </w:r>
          </w:p>
        </w:tc>
        <w:tc>
          <w:tcPr>
            <w:tcW w:w="4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w:t>
            </w:r>
          </w:p>
        </w:tc>
        <w:tc>
          <w:tcPr>
            <w:tcW w:w="4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10,349</w:t>
            </w:r>
          </w:p>
        </w:tc>
        <w:tc>
          <w:tcPr>
            <w:tcW w:w="180" w:type="dxa"/>
            <w:vAlign w:val="bottom"/>
          </w:tcPr>
          <w:p>
            <w:pPr>
              <w:spacing w:after="0"/>
              <w:rPr>
                <w:sz w:val="19"/>
                <w:szCs w:val="19"/>
                <w:color w:val="auto"/>
              </w:rPr>
            </w:pPr>
          </w:p>
        </w:tc>
        <w:tc>
          <w:tcPr>
            <w:tcW w:w="4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42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4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42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0.17</w:t>
            </w:r>
          </w:p>
        </w:tc>
        <w:tc>
          <w:tcPr>
            <w:tcW w:w="4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58,841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gridSpan w:val="2"/>
            <w:vMerge w:val="continue"/>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42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vMerge w:val="continue"/>
          </w:tcPr>
          <w:p>
            <w:pPr>
              <w:spacing w:after="0"/>
              <w:rPr>
                <w:sz w:val="18"/>
                <w:szCs w:val="18"/>
                <w:color w:val="auto"/>
              </w:rPr>
            </w:pP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58,960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060" w:type="dxa"/>
            <w:vAlign w:val="bottom"/>
            <w:vMerge w:val="restart"/>
          </w:tcPr>
          <w:p>
            <w:pPr>
              <w:jc w:val="right"/>
              <w:ind w:right="3232"/>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98"/>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453"/>
              <w:spacing w:after="0" w:line="129" w:lineRule="exact"/>
              <w:rPr>
                <w:sz w:val="20"/>
                <w:szCs w:val="20"/>
                <w:color w:val="auto"/>
              </w:rPr>
            </w:pPr>
            <w:r>
              <w:rPr>
                <w:rFonts w:ascii="Arial" w:cs="Arial" w:eastAsia="Arial" w:hAnsi="Arial"/>
                <w:sz w:val="12"/>
                <w:szCs w:val="12"/>
                <w:b w:val="1"/>
                <w:bCs w:val="1"/>
                <w:color w:val="auto"/>
                <w:w w:val="80"/>
              </w:rPr>
              <w:t>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60" w:type="dxa"/>
            <w:vAlign w:val="bottom"/>
            <w:gridSpan w:val="3"/>
          </w:tcPr>
          <w:p>
            <w:pPr>
              <w:jc w:val="center"/>
              <w:ind w:right="98"/>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3,568,470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3,567,035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4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3,693,544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3,673,685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38"/>
              <w:spacing w:after="0"/>
              <w:rPr>
                <w:sz w:val="20"/>
                <w:szCs w:val="20"/>
                <w:color w:val="auto"/>
              </w:rPr>
            </w:pPr>
            <w:r>
              <w:rPr>
                <w:rFonts w:ascii="Arial" w:cs="Arial" w:eastAsia="Arial" w:hAnsi="Arial"/>
                <w:sz w:val="18"/>
                <w:szCs w:val="18"/>
                <w:color w:val="auto"/>
                <w:w w:val="98"/>
              </w:rPr>
              <w:t>(865,987)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(846,258)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4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2,827,557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2,827,427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3,090,962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gridSpan w:val="2"/>
            <w:vMerge w:val="continue"/>
          </w:tcPr>
          <w:p>
            <w:pPr>
              <w:spacing w:after="0"/>
              <w:rPr>
                <w:sz w:val="18"/>
                <w:szCs w:val="18"/>
                <w:color w:val="auto"/>
              </w:rPr>
            </w:pP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Mortgages payable and capital lease obligations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446,362</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452,810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4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1,969,335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1,945,822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1,079,497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1,104,605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4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1,089,494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1,114,602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4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1,121,627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1,146,954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3,090,962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540" w:type="dxa"/>
            <w:vAlign w:val="bottom"/>
            <w:vMerge w:val="restart"/>
          </w:tcPr>
          <w:p>
            <w:pPr>
              <w:jc w:val="right"/>
              <w:ind w:right="3632"/>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(in thousands, except per share data)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3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10,484</w:t>
            </w: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25,436</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Depreciation of joint venture real estate assets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2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Income attributable to unvested shares</w:t>
            </w:r>
          </w:p>
        </w:tc>
        <w:tc>
          <w:tcPr>
            <w:tcW w:w="2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FFO (3)</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37,761</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4"/>
          </w:tcPr>
          <w:p>
            <w:pPr>
              <w:ind w:left="420"/>
              <w:spacing w:after="0"/>
              <w:rPr>
                <w:sz w:val="20"/>
                <w:szCs w:val="20"/>
                <w:color w:val="auto"/>
              </w:rPr>
            </w:pPr>
            <w:r>
              <w:rPr>
                <w:rFonts w:ascii="Arial" w:cs="Arial" w:eastAsia="Arial" w:hAnsi="Arial"/>
                <w:sz w:val="18"/>
                <w:szCs w:val="18"/>
                <w:color w:val="auto"/>
              </w:rPr>
              <w:t>Litigation provision, net of allocation to unvested shares (3)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20,565</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FFO excluding litigation provision (3)</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58,326</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20" w:type="dxa"/>
            <w:vAlign w:val="bottom"/>
            <w:gridSpan w:val="5"/>
          </w:tcPr>
          <w:p>
            <w:pPr>
              <w:spacing w:after="0"/>
              <w:rPr>
                <w:sz w:val="20"/>
                <w:szCs w:val="20"/>
                <w:color w:val="auto"/>
              </w:rPr>
            </w:pPr>
            <w:r>
              <w:rPr>
                <w:rFonts w:ascii="Arial" w:cs="Arial" w:eastAsia="Arial" w:hAnsi="Arial"/>
                <w:sz w:val="18"/>
                <w:szCs w:val="18"/>
                <w:color w:val="auto"/>
              </w:rPr>
              <w:t>FFO per diluted share (2)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0.64</w:t>
            </w:r>
          </w:p>
        </w:tc>
        <w:tc>
          <w:tcPr>
            <w:tcW w:w="540" w:type="dxa"/>
            <w:vAlign w:val="bottom"/>
          </w:tcPr>
          <w:p>
            <w:pPr>
              <w:spacing w:after="0"/>
              <w:rPr>
                <w:sz w:val="24"/>
                <w:szCs w:val="2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Litigation provision per diluted share (3)</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5"/>
          </w:tcPr>
          <w:p>
            <w:pPr>
              <w:spacing w:after="0"/>
              <w:rPr>
                <w:sz w:val="20"/>
                <w:szCs w:val="20"/>
                <w:color w:val="auto"/>
              </w:rPr>
            </w:pPr>
            <w:r>
              <w:rPr>
                <w:rFonts w:ascii="Arial" w:cs="Arial" w:eastAsia="Arial" w:hAnsi="Arial"/>
                <w:sz w:val="18"/>
                <w:szCs w:val="18"/>
                <w:color w:val="auto"/>
              </w:rPr>
              <w:t>FFO per diluted share excluding litigation provision (2) (3)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0.99</w:t>
            </w:r>
          </w:p>
        </w:tc>
        <w:tc>
          <w:tcPr>
            <w:tcW w:w="540" w:type="dxa"/>
            <w:vAlign w:val="bottom"/>
          </w:tcPr>
          <w:p>
            <w:pPr>
              <w:spacing w:after="0"/>
              <w:rPr>
                <w:sz w:val="19"/>
                <w:szCs w:val="19"/>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59,161</w:t>
            </w:r>
          </w:p>
        </w:tc>
        <w:tc>
          <w:tcPr>
            <w:tcW w:w="0" w:type="dxa"/>
            <w:vAlign w:val="bottom"/>
          </w:tcPr>
          <w:p>
            <w:pPr>
              <w:spacing w:after="0"/>
              <w:rPr>
                <w:sz w:val="1"/>
                <w:szCs w:val="1"/>
                <w:color w:val="auto"/>
              </w:rPr>
            </w:pPr>
          </w:p>
        </w:tc>
      </w:tr>
      <w:tr>
        <w:trPr>
          <w:trHeight w:val="20"/>
        </w:trPr>
        <w:tc>
          <w:tcPr>
            <w:tcW w:w="8520" w:type="dxa"/>
            <w:vAlign w:val="bottom"/>
            <w:gridSpan w:val="5"/>
            <w:vMerge w:val="restart"/>
          </w:tcPr>
          <w:p>
            <w:pPr>
              <w:spacing w:after="0"/>
              <w:rPr>
                <w:sz w:val="20"/>
                <w:szCs w:val="20"/>
                <w:color w:val="auto"/>
              </w:rPr>
            </w:pPr>
            <w:r>
              <w:rPr>
                <w:rFonts w:ascii="Arial" w:cs="Arial" w:eastAsia="Arial" w:hAnsi="Arial"/>
                <w:sz w:val="18"/>
                <w:szCs w:val="18"/>
                <w:color w:val="auto"/>
              </w:rPr>
              <w:t>Summary of Capital Expenditures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5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tcPr>
          <w:p>
            <w:pPr>
              <w:ind w:left="860"/>
              <w:spacing w:after="0"/>
              <w:rPr>
                <w:sz w:val="20"/>
                <w:szCs w:val="20"/>
                <w:color w:val="auto"/>
              </w:rPr>
            </w:pPr>
            <w:r>
              <w:rPr>
                <w:rFonts w:ascii="Arial" w:cs="Arial" w:eastAsia="Arial" w:hAnsi="Arial"/>
                <w:sz w:val="18"/>
                <w:szCs w:val="18"/>
                <w:color w:val="auto"/>
              </w:rPr>
              <w:t>Redevelopment and expansions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20,827</w:t>
            </w:r>
          </w:p>
        </w:tc>
        <w:tc>
          <w:tcPr>
            <w:tcW w:w="54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Tenant improvements and incentives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5"/>
          </w:tcPr>
          <w:p>
            <w:pPr>
              <w:spacing w:after="0"/>
              <w:rPr>
                <w:sz w:val="20"/>
                <w:szCs w:val="20"/>
                <w:color w:val="auto"/>
              </w:rPr>
            </w:pPr>
            <w:r>
              <w:rPr>
                <w:rFonts w:ascii="Arial" w:cs="Arial" w:eastAsia="Arial" w:hAnsi="Arial"/>
                <w:sz w:val="18"/>
                <w:szCs w:val="18"/>
                <w:color w:val="auto"/>
              </w:rPr>
              <w:t>Total non-maintenance capital expenditures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24,594</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34,331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Maintenance capital expenditures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5"/>
          </w:tcPr>
          <w:p>
            <w:pPr>
              <w:spacing w:after="0"/>
              <w:rPr>
                <w:sz w:val="20"/>
                <w:szCs w:val="20"/>
                <w:color w:val="auto"/>
              </w:rPr>
            </w:pPr>
            <w:r>
              <w:rPr>
                <w:rFonts w:ascii="Arial" w:cs="Arial" w:eastAsia="Arial" w:hAnsi="Arial"/>
                <w:sz w:val="18"/>
                <w:szCs w:val="18"/>
                <w:color w:val="auto"/>
              </w:rPr>
              <w:t>Total capital expenditures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25,914</w:t>
            </w:r>
          </w:p>
        </w:tc>
        <w:tc>
          <w:tcPr>
            <w:tcW w:w="540" w:type="dxa"/>
            <w:vAlign w:val="bottom"/>
          </w:tcPr>
          <w:p>
            <w:pPr>
              <w:spacing w:after="0"/>
              <w:rPr>
                <w:sz w:val="19"/>
                <w:szCs w:val="19"/>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Dividends and Payout Ratios</w:t>
            </w:r>
          </w:p>
        </w:tc>
        <w:tc>
          <w:tcPr>
            <w:tcW w:w="646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Regular common dividends declared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38,404</w:t>
            </w:r>
          </w:p>
        </w:tc>
        <w:tc>
          <w:tcPr>
            <w:tcW w:w="540" w:type="dxa"/>
            <w:vAlign w:val="bottom"/>
          </w:tcPr>
          <w:p>
            <w:pPr>
              <w:spacing w:after="0"/>
              <w:rPr>
                <w:sz w:val="19"/>
                <w:szCs w:val="19"/>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Dividend payout ratio as a percentage of FFO excluding litigation provision (3)</w:t>
            </w:r>
          </w:p>
        </w:tc>
        <w:tc>
          <w:tcPr>
            <w:tcW w:w="2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January 1, 2009, we adopted FSP EITF No. 03-6-1, “Determining Whether Instruments Granted in Share-Based Payment Transactions are Participating Securities”, and consequently have calculated FFO per diluted share under the two-class method, as defined in SFAS No. 128, for all periods presented. The implementation resulted in a decrease to the March 31, 2008 reported FFO per diluted share from $0.94 to $0.93.</w:t>
      </w:r>
    </w:p>
    <w:p>
      <w:pPr>
        <w:spacing w:after="0" w:line="2" w:lineRule="exact"/>
        <w:rPr>
          <w:rFonts w:ascii="Arial" w:cs="Arial" w:eastAsia="Arial" w:hAnsi="Arial"/>
          <w:sz w:val="16"/>
          <w:szCs w:val="16"/>
          <w:color w:val="auto"/>
        </w:rPr>
      </w:pPr>
    </w:p>
    <w:p>
      <w:pPr>
        <w:ind w:left="460" w:right="1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FFO includes a charge of $20.6 million, or $0.35 per diluted share, related to litigation regarding a parcel of land located adjacent to our Santana Row property. FFO excluding litigation provision excludes this $20.6 million charge. See additional information in the litigation update section of this Form 8-K.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4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except</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58,781</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2,717,726</w:t>
            </w:r>
          </w:p>
        </w:tc>
        <w:tc>
          <w:tcPr>
            <w:tcW w:w="30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4,581,979</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2,727,726</w:t>
            </w:r>
          </w:p>
        </w:tc>
        <w:tc>
          <w:tcPr>
            <w:tcW w:w="30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4,591,979</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1,750,619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1,636,457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4,478,345</w:t>
            </w:r>
          </w:p>
        </w:tc>
        <w:tc>
          <w:tcPr>
            <w:tcW w:w="30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6,228,436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2"/>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$77.95</w:t>
            </w:r>
          </w:p>
        </w:tc>
        <w:tc>
          <w:tcPr>
            <w:tcW w:w="120" w:type="dxa"/>
            <w:vAlign w:val="bottom"/>
          </w:tcPr>
          <w:p>
            <w:pPr>
              <w:spacing w:after="0"/>
              <w:rPr>
                <w:sz w:val="24"/>
                <w:szCs w:val="24"/>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do not include 373,260 and 380,938 Operating Partnership Units outstanding at March 31, 2009 and 2008,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jc w:val="both"/>
        <w:ind w:left="460" w:right="32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the $24.4 million which is the Trust’s 30% share of the total mortgages payable of $81.3 million and $81.5 million, at March 31, 2009 and 2008, respectively, of the partnership with a discretionary fund created and advised by ING Clarion Partners.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93,566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89,612</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24,564</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127,330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121,867</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rents include $1.4 million and $1.5 million for the three months ended March 31, 2009 and 2008, respectively, to recognize minimum rents on a straight-line basis. In addition, minimum rents include $0.4 million and $0.6 million for the three months ended March 31, 2009 and 2008, respectively, to recognize income from the amortization of in-place leases in accordance with SFAS No. 141.</w:t>
      </w:r>
    </w:p>
    <w:p>
      <w:pPr>
        <w:spacing w:after="0" w:line="1" w:lineRule="exact"/>
        <w:rPr>
          <w:rFonts w:ascii="Arial" w:cs="Arial" w:eastAsia="Arial" w:hAnsi="Arial"/>
          <w:sz w:val="18"/>
          <w:szCs w:val="18"/>
          <w:color w:val="auto"/>
        </w:rPr>
      </w:pPr>
    </w:p>
    <w:p>
      <w:pPr>
        <w:ind w:left="460" w:right="240" w:hanging="452"/>
        <w:spacing w:after="0" w:line="36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Residential minimum rents consist of the rental amounts for residential units at Rollingwood Apartments, the Crest at Congressional Plaza Apartments, Santana Row, and Arlington East (Bethesda Row). The first rental units at Arlington East were delivered and became rent paying in May 2008.</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4" w:right="339" w:bottom="1440" w:gutter="0" w:footer="0" w:header="0"/>
        </w:sectPr>
      </w:pPr>
    </w:p>
    <w:bookmarkStart w:id="15" w:name="page16"/>
    <w:bookmarkEnd w:id="15"/>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Stated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 average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Balance as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Maturity date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March 31, 2009</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2009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March 31, 2009 (i)</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06/01/11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Tysons Station</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09/01/11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7.400%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6,028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07/01/12</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Bethesda Row</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01/01/13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5.370%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19,996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02/01/13</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White Marsh Plaza (b)</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04/01/13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6.040%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10,058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08/11/13</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Melville Mall (c)</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09/01/14</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24,291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01/01/15</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11/01/15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7.950%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41,191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11/01/15</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Lawrence Park</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11/01/15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7.950%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29,197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11/01/15</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25,663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Wynnewood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11/01/15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7.950%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29,754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11/01/15</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30,492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Shoppers’ World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01/31/21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5.910%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5,833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Mount Vernon (d)</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04/15/28</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Chelsea</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01/15/31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5.360%</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383,575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Net unamortized discount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mortgage loans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40" w:type="dxa"/>
            <w:vAlign w:val="bottom"/>
            <w:gridSpan w:val="6"/>
          </w:tcPr>
          <w:p>
            <w:pPr>
              <w:spacing w:after="0" w:line="182" w:lineRule="exact"/>
              <w:rPr>
                <w:sz w:val="20"/>
                <w:szCs w:val="20"/>
                <w:color w:val="auto"/>
              </w:rPr>
            </w:pPr>
            <w:r>
              <w:rPr>
                <w:rFonts w:ascii="Arial" w:cs="Arial" w:eastAsia="Arial" w:hAnsi="Arial"/>
                <w:sz w:val="18"/>
                <w:szCs w:val="18"/>
                <w:color w:val="auto"/>
              </w:rPr>
              <w:t>Notes payable</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04/01/12</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01/31/13</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Unsecured variable rate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Term loan (e)</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11/06/09</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LIBOR + 0.575%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Revolving credit facility (f)</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07/27/10</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LIBOR + 0.425%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141,000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Escondido (Municipal bonds) (g)</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10/01/16</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0.549%</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5"/>
          </w:tcPr>
          <w:p>
            <w:pPr>
              <w:ind w:left="860"/>
              <w:spacing w:after="0"/>
              <w:rPr>
                <w:sz w:val="20"/>
                <w:szCs w:val="20"/>
                <w:color w:val="auto"/>
              </w:rPr>
            </w:pPr>
            <w:r>
              <w:rPr>
                <w:rFonts w:ascii="Arial" w:cs="Arial" w:eastAsia="Arial" w:hAnsi="Arial"/>
                <w:sz w:val="18"/>
                <w:szCs w:val="18"/>
                <w:color w:val="auto"/>
              </w:rPr>
              <w:t>Total notes payable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353,856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(j)</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Senior notes and debentures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Borders>
              <w:top w:val="single" w:sz="8" w:color="auto"/>
            </w:tcBorders>
            <w:gridSpan w:val="4"/>
          </w:tcPr>
          <w:p>
            <w:pPr>
              <w:ind w:left="420"/>
              <w:spacing w:after="0"/>
              <w:rPr>
                <w:sz w:val="20"/>
                <w:szCs w:val="20"/>
                <w:color w:val="auto"/>
              </w:rPr>
            </w:pPr>
            <w:r>
              <w:rPr>
                <w:rFonts w:ascii="Arial" w:cs="Arial" w:eastAsia="Arial" w:hAnsi="Arial"/>
                <w:sz w:val="18"/>
                <w:szCs w:val="18"/>
                <w:i w:val="1"/>
                <w:iCs w:val="1"/>
                <w:color w:val="auto"/>
                <w:w w:val="91"/>
              </w:rPr>
              <w:t>Unsecured fixed rate</w:t>
            </w:r>
          </w:p>
        </w:tc>
        <w:tc>
          <w:tcPr>
            <w:tcW w:w="30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8.75% notes (h)</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12/01/09</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168,855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4.50% notes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02/15/11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6.00% notes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07/15/12</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5.40% notes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12/01/13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06/01/16</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6.20% notes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01/15/17</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6.200%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08/15/26</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6.82% medium term notes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08/01/27</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6.820%</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948,055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5"/>
          </w:tcPr>
          <w:p>
            <w:pPr>
              <w:ind w:left="420"/>
              <w:spacing w:after="0"/>
              <w:rPr>
                <w:sz w:val="20"/>
                <w:szCs w:val="20"/>
                <w:color w:val="auto"/>
              </w:rPr>
            </w:pPr>
            <w:r>
              <w:rPr>
                <w:rFonts w:ascii="Arial" w:cs="Arial" w:eastAsia="Arial" w:hAnsi="Arial"/>
                <w:sz w:val="18"/>
                <w:szCs w:val="18"/>
                <w:color w:val="auto"/>
              </w:rPr>
              <w:t>Net unamortized premium</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senior notes and debentures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950,401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40" w:type="dxa"/>
            <w:vAlign w:val="bottom"/>
            <w:gridSpan w:val="6"/>
          </w:tcPr>
          <w:p>
            <w:pPr>
              <w:spacing w:after="0" w:line="182" w:lineRule="exact"/>
              <w:rPr>
                <w:sz w:val="20"/>
                <w:szCs w:val="20"/>
                <w:color w:val="auto"/>
              </w:rPr>
            </w:pPr>
            <w:r>
              <w:rPr>
                <w:rFonts w:ascii="Arial" w:cs="Arial" w:eastAsia="Arial" w:hAnsi="Arial"/>
                <w:sz w:val="18"/>
                <w:szCs w:val="18"/>
                <w:color w:val="auto"/>
              </w:rPr>
              <w:t>Capital lease obligations</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Various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Various through 2106</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Various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6"/>
          </w:tcPr>
          <w:p>
            <w:pPr>
              <w:spacing w:after="0"/>
              <w:rPr>
                <w:sz w:val="20"/>
                <w:szCs w:val="20"/>
                <w:color w:val="auto"/>
              </w:rPr>
            </w:pPr>
            <w:r>
              <w:rPr>
                <w:rFonts w:ascii="Arial" w:cs="Arial" w:eastAsia="Arial" w:hAnsi="Arial"/>
                <w:sz w:val="18"/>
                <w:szCs w:val="18"/>
                <w:color w:val="auto"/>
              </w:rPr>
              <w:t>Total debt and capital lease obligations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1,750,619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1,400,219</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5"/>
          </w:tcPr>
          <w:p>
            <w:pPr>
              <w:spacing w:after="0"/>
              <w:rPr>
                <w:sz w:val="20"/>
                <w:szCs w:val="20"/>
                <w:color w:val="auto"/>
              </w:rPr>
            </w:pPr>
            <w:r>
              <w:rPr>
                <w:rFonts w:ascii="Arial" w:cs="Arial" w:eastAsia="Arial" w:hAnsi="Arial"/>
                <w:sz w:val="18"/>
                <w:szCs w:val="18"/>
                <w:color w:val="auto"/>
              </w:rPr>
              <w:t>Total variable rate debt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350,400</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(j)</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DEBT AND CAPITAL LEASES OBLIGATIONS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1,750,619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Three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5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5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5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7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2009 (l)</w:t>
            </w:r>
          </w:p>
        </w:tc>
        <w:tc>
          <w:tcPr>
            <w:tcW w:w="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190"/>
        </w:trPr>
        <w:tc>
          <w:tcPr>
            <w:tcW w:w="15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8"/>
              </w:rPr>
              <w:t>Operational Statistics</w:t>
            </w:r>
          </w:p>
        </w:tc>
        <w:tc>
          <w:tcPr>
            <w:tcW w:w="70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8600" w:type="dxa"/>
            <w:vAlign w:val="bottom"/>
            <w:gridSpan w:val="2"/>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(k)</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2.46x</w:t>
            </w:r>
          </w:p>
        </w:tc>
        <w:tc>
          <w:tcPr>
            <w:tcW w:w="32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3.27x</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2.95x</w:t>
            </w:r>
          </w:p>
        </w:tc>
        <w:tc>
          <w:tcPr>
            <w:tcW w:w="2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 dividends (k)</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2.42x</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3.23x</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2.95x</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1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$81.3 million debt of the partnership with a discretionary fund created and advised by ING Clarion Partners.</w:t>
      </w:r>
    </w:p>
    <w:p>
      <w:pPr>
        <w:ind w:left="460" w:right="32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100" w:hanging="452"/>
        <w:spacing w:after="0" w:line="3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w:t>
      </w:r>
    </w:p>
    <w:p>
      <w:pPr>
        <w:sectPr>
          <w:pgSz w:w="11900" w:h="16901" w:orient="portrait"/>
          <w:cols w:equalWidth="0" w:num="1">
            <w:col w:w="11420"/>
          </w:cols>
          <w:pgMar w:left="240" w:top="274" w:right="239" w:bottom="0" w:gutter="0" w:footer="0" w:header="0"/>
        </w:sectPr>
      </w:pPr>
    </w:p>
    <w:bookmarkStart w:id="16" w:name="page17"/>
    <w:bookmarkEnd w:id="16"/>
    <w:p>
      <w:pPr>
        <w:ind w:left="452"/>
        <w:spacing w:after="0"/>
        <w:rPr>
          <w:sz w:val="20"/>
          <w:szCs w:val="20"/>
          <w:color w:val="auto"/>
        </w:rPr>
      </w:pPr>
      <w:r>
        <w:rPr>
          <w:rFonts w:ascii="Arial" w:cs="Arial" w:eastAsia="Arial" w:hAnsi="Arial"/>
          <w:sz w:val="18"/>
          <w:szCs w:val="18"/>
          <w:color w:val="auto"/>
        </w:rPr>
        <w:t>legal obligation.</w:t>
      </w:r>
    </w:p>
    <w:p>
      <w:pPr>
        <w:spacing w:after="0" w:line="15" w:lineRule="exact"/>
        <w:rPr>
          <w:sz w:val="20"/>
          <w:szCs w:val="20"/>
          <w:color w:val="auto"/>
        </w:rPr>
      </w:pPr>
    </w:p>
    <w:p>
      <w:pPr>
        <w:ind w:left="452" w:right="56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52" w:hanging="452"/>
        <w:spacing w:after="0" w:line="281"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effective interest rate, before amortization of debt fees, was 2.14% for the three months ended March 31, 2009. On May 4, 2009, we refinanced our existing $200 million term loan with a new $372 million term loan which bears interest at LIBOR, subject to a 1.50% floor, plus 300 basis points and will mature in July 2011. The $200 million term loan was repaid with the proceeds from the new $372 million term loan.</w:t>
      </w:r>
    </w:p>
    <w:p>
      <w:pPr>
        <w:spacing w:after="0" w:line="2" w:lineRule="exact"/>
        <w:rPr>
          <w:rFonts w:ascii="Arial" w:cs="Arial" w:eastAsia="Arial" w:hAnsi="Arial"/>
          <w:sz w:val="16"/>
          <w:szCs w:val="16"/>
          <w:color w:val="auto"/>
        </w:rPr>
      </w:pPr>
    </w:p>
    <w:p>
      <w:pPr>
        <w:jc w:val="both"/>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2009 was $172.5 million. The weighted average effective interest rate on borrowings under our revolving credit facility, before amortization of debt fees, was 1.52% for the three months ended March 31, 2009. This credit facility matures on July 27, 2010, subject to a one-year extension at our option</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52" w:right="120" w:hanging="452"/>
        <w:spacing w:after="0" w:line="281"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12, 2009, February 5, 2009, and February 27, 2009, we purchased and retired $5.0 million, $0.9 million, and $0.2 million, respectively, using funds borrowed on our $300 million revolving credit facility. On April 1, 2009, we purchased and retired $5.0 million of the outstanding $168.9 million balance of our 8.75% notes. The notes were repaid with funds borrowed on our $300 million revolving credit facility.</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effective interest rate includes the amortization of any deferred financing fees, discounts and premiums, if applicable.</w:t>
      </w:r>
    </w:p>
    <w:p>
      <w:pPr>
        <w:spacing w:after="0" w:line="32" w:lineRule="exact"/>
        <w:rPr>
          <w:rFonts w:ascii="Arial" w:cs="Arial" w:eastAsia="Arial" w:hAnsi="Arial"/>
          <w:sz w:val="16"/>
          <w:szCs w:val="16"/>
          <w:color w:val="auto"/>
        </w:rPr>
      </w:pPr>
    </w:p>
    <w:p>
      <w:pPr>
        <w:ind w:left="452" w:right="20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$0.1 million in quarterly financing fees on our revolving credit facility which had a $141.0 million balance on March 31, 2009.</w:t>
      </w:r>
    </w:p>
    <w:p>
      <w:pPr>
        <w:ind w:left="452" w:right="4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$0.9 million in gain on sale for the three months ended March 31, 2009. Adjusted EBITDA is reconciled to net income attributable to the Trust in the Glossary of Terms.</w:t>
      </w:r>
    </w:p>
    <w:p>
      <w:pPr>
        <w:spacing w:after="0" w:line="1" w:lineRule="exact"/>
        <w:rPr>
          <w:rFonts w:ascii="Arial" w:cs="Arial" w:eastAsia="Arial" w:hAnsi="Arial"/>
          <w:sz w:val="18"/>
          <w:szCs w:val="18"/>
          <w:color w:val="auto"/>
        </w:rPr>
      </w:pPr>
    </w:p>
    <w:p>
      <w:pPr>
        <w:ind w:left="452" w:right="160" w:hanging="452"/>
        <w:spacing w:after="0" w:line="323"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to exclude a $20.6 million litigation provision charge for the three months ended March 31, 2009 related to litigation regarding a parcel of land located adjacent to our Santana Row property. See additional information in the litigation update section of this Form 8-K.</w:t>
      </w:r>
    </w:p>
    <w:p>
      <w:pPr>
        <w:spacing w:after="0" w:line="7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32"/>
          </w:cols>
          <w:pgMar w:left="248" w:top="131"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following table reflects contractual debt maturities as of March 31, 2009. Given all of the financing related activities that we have completed since March 31, 2009 and that we expect to complete by December 31, 2009, we have also included “pro-forma” total debt maturity columns to reflect our projected debt maturities after completion of those financing activities. Specifically, the pro-forma total debt maturity columns assume completion of all of the following:</w:t>
      </w:r>
    </w:p>
    <w:p>
      <w:pPr>
        <w:spacing w:after="0" w:line="2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Closing on May 4, 2009 of a new $372 million term loan maturing in July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on May 4, 2009 of our $200 million term loan that was scheduled to mature on November 6,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on May 4, 2009 of the $141 million outstanding balance on our revolving credit facility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Closing on April 14, 2009 of a $24.1 million loan secured by Rollingwood Apartments which will mature in May 2019</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Closing in second quarter 2009 of a $139 million loan secured by four retail assets in Northern Virginia which will mature in 2014. We can give no assurance that we will be successful in closing this loan.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of the $168.9 million of 8.75% notes that are due on December 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As of March 31, 2009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79"/>
              </w:rPr>
              <w:t>Scheduled</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Maturities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Maturities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368,855</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376,141</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2010</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141,000</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150,880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2012</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181,916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191,889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2014</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147,635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2016</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134,400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137,376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2018</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2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131,980</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1,616,701</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1,748,681   (3)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1,626,514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1,773,876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jc w:val="both"/>
        <w:ind w:left="460" w:right="1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April 1, 2009, we purchased and retired $5.0 million of the outstanding $168.9 million balance of our 8.75% notes. The notes were repaid with funds borrowed on our $300 million revolving credit facility. On May 4, 2009, we refinanced our existing $200 million term loan with a new $372 million term loan which bears interest at LIBOR, subject to a 1.50% floor, plus 300 basis points and will mature in July 2011.</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March 31, 2009, there was $141.0 million drawn under this credit facility.</w:t>
      </w:r>
    </w:p>
    <w:p>
      <w:pPr>
        <w:ind w:left="460" w:right="5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March 31,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87"/>
              </w:rPr>
              <w:t>Projected</w:t>
            </w:r>
          </w:p>
        </w:tc>
        <w:tc>
          <w:tcPr>
            <w:tcW w:w="5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w w:val="84"/>
              </w:rPr>
              <w:t>Projected</w:t>
            </w:r>
          </w:p>
        </w:tc>
        <w:tc>
          <w:tcPr>
            <w:tcW w:w="340" w:type="dxa"/>
            <w:vAlign w:val="bottom"/>
          </w:tcPr>
          <w:p>
            <w:pPr>
              <w:spacing w:after="0"/>
              <w:rPr>
                <w:sz w:val="13"/>
                <w:szCs w:val="13"/>
                <w:color w:val="auto"/>
              </w:rPr>
            </w:pPr>
          </w:p>
        </w:tc>
        <w:tc>
          <w:tcPr>
            <w:tcW w:w="46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w w:val="87"/>
              </w:rPr>
              <w:t>Cost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Property</w:t>
            </w: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Opportunity</w:t>
            </w:r>
          </w:p>
        </w:tc>
        <w:tc>
          <w:tcPr>
            <w:tcW w:w="2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(2)</w:t>
            </w:r>
          </w:p>
        </w:tc>
        <w:tc>
          <w:tcPr>
            <w:tcW w:w="3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Cost (1)</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2009 (3) (5)</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Santana Row</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San Jose, CA</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w w:val="93"/>
              </w:rPr>
              <w:t>5-story building with 15,000 square feet of ground level retail and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65,000 square feet of office space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Hollywood Galaxy Building</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Hollywood, CA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Re-tenanting three level entertainment center and converting</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project into urban neighborhood community center</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Houston Street</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San Antonio, TX</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Construction of a new building with ground level leased to</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Walgreen’s pharmacy and office above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Village of Shirlington - Phase III &amp;</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Arlington, VA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Ground lease to hotel operator and ground floor retail as part of</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IV</w:t>
            </w: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office building development (by others)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9"/>
            <w:vMerge w:val="restart"/>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2009 (3) (4) (5)</w:t>
            </w: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9"/>
            <w:vMerge w:val="continue"/>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3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2010 (3)</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Lancaster</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Lancaster, PA</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w w:val="93"/>
              </w:rPr>
              <w:t>Renovation and expansion of existing grocer, new bank pad, and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façade renovation</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Bethesda Row (Hampden Lane)</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Bethesda, MD</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Construction of new three level building leased to fitness center</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 2 additional ground level retail spaces.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9"/>
            <w:vMerge w:val="restart"/>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2010 (3) (4)</w:t>
            </w: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9"/>
            <w:vMerge w:val="continue"/>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Total: Projects Anticipated to Stabilize in 2009 and 2010 (3) (4)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60" w:type="dxa"/>
            <w:vAlign w:val="bottom"/>
            <w:gridSpan w:val="7"/>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w w:val="91"/>
              </w:rPr>
              <w:t>Potential future redevelopment pipeline includes (6):</w:t>
            </w:r>
          </w:p>
        </w:tc>
        <w:tc>
          <w:tcPr>
            <w:tcW w:w="20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Property</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Opportunity</w:t>
            </w:r>
          </w:p>
        </w:tc>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Assembly Square</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Somerville, MA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Potential substantial transit oriented mixed-use development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Bala Cynwyd</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w w:val="99"/>
              </w:rPr>
              <w:t>Bala Cynwyd, PA</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w w:val="93"/>
              </w:rPr>
              <w:t>Redevelopment of nine acres of land for a transit oriented mixed-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use project or retail center</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Barracks Road</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Charlottesville,</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Anchor re-tenanting, pad re-tenanting, and site improvements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VA</w:t>
            </w:r>
          </w:p>
        </w:tc>
        <w:tc>
          <w:tcPr>
            <w:tcW w:w="2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Bethesda Row</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Bethesda, MD</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w w:val="96"/>
              </w:rPr>
              <w:t>Acquire and develop ground floor retail space in a new Class A</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office building</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Brick Plaza</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Brick, NJ</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Redevelopment and expansion of existing pad site, plus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additional pad site</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Courthouse Center</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Rockville, MD</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Center redevelopment adjacent to Rockville Town Square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Plaza</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Rockville, MD</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Pad building opportunities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Flourtown</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Flourtown, PA</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Anchor re-tenanting, small shop renovation, and site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improvements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Hollywood Peterson Building</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Hollywood, CA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Co-terminus leases create potential for property redevelopment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 expansion</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Huntington</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Huntington, NY</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Pad site additions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Langhorne</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Levittown, PA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Pad site addition</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Linden Square</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Wellesley, MA</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Additional phases of infill redevelopment</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Mercer Mall</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Lawrenceville, NJ</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Construction of new outparcel</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Mid-Pike Plaza</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Rockville, MD</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w w:val="97"/>
              </w:rPr>
              <w:t>Co-terminus leases create potential for retail redevelopment or</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transit oriented mixed-use development</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Pike 7</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Vienna, VA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Co-terminus leases create potential for retail redevelopment or</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transit oriented mixed-use development</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Santana Row</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San Jose, CA</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Future phases of mixed-use development</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Town Center of New Britain</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New Britain, PA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Renovation and expansion of existing grocer</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Troy</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Parsippany, NJ</w:t>
            </w: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Pad site addition</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Westgate</w:t>
            </w:r>
          </w:p>
        </w:tc>
        <w:tc>
          <w:tcPr>
            <w:tcW w:w="1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San Jose, CA</w:t>
            </w:r>
          </w:p>
        </w:tc>
        <w:tc>
          <w:tcPr>
            <w:tcW w:w="4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Convert 30,000 square feet of basement space to leasable area</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jc w:val="both"/>
        <w:ind w:left="460" w:right="200" w:hanging="452"/>
        <w:spacing w:after="0" w:line="28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$55 million of development capital at Linden Square, anticipated at acquisition of this in-process development.</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4" w:right="239" w:bottom="657"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4" w:right="239" w:bottom="657"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Mortgage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and/or</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Real</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Grocery</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Lease</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Anchor</w:t>
            </w:r>
          </w:p>
        </w:tc>
        <w:tc>
          <w:tcPr>
            <w:tcW w:w="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20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61"/>
        </w:trPr>
        <w:tc>
          <w:tcPr>
            <w:tcW w:w="2060" w:type="dxa"/>
            <w:vAlign w:val="bottom"/>
            <w:gridSpan w:val="10"/>
          </w:tcPr>
          <w:p>
            <w:pPr>
              <w:spacing w:after="0"/>
              <w:rPr>
                <w:sz w:val="20"/>
                <w:szCs w:val="20"/>
                <w:color w:val="auto"/>
              </w:rPr>
            </w:pPr>
            <w:r>
              <w:rPr>
                <w:rFonts w:ascii="Arial" w:cs="Arial" w:eastAsia="Arial" w:hAnsi="Arial"/>
                <w:sz w:val="14"/>
                <w:szCs w:val="14"/>
                <w:b w:val="1"/>
                <w:bCs w:val="1"/>
                <w:color w:val="auto"/>
              </w:rPr>
              <w:t>Property Name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Acquired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at Cost</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Obligation (1)</w:t>
            </w: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GLA (2)</w:t>
            </w: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GLA (3)</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w w:val="99"/>
              </w:rPr>
              <w:t>Anchor (3)</w:t>
            </w:r>
          </w:p>
        </w:tc>
        <w:tc>
          <w:tcPr>
            <w:tcW w:w="8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4"/>
                <w:szCs w:val="14"/>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auto"/>
            </w:tcBorders>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7"/>
              </w:rPr>
              <w:t>Washington Metropolitan Area</w:t>
            </w:r>
          </w:p>
        </w:tc>
        <w:tc>
          <w:tcPr>
            <w:tcW w:w="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9"/>
          </w:tcPr>
          <w:p>
            <w:pPr>
              <w:spacing w:after="0" w:line="142" w:lineRule="exact"/>
              <w:rPr>
                <w:sz w:val="20"/>
                <w:szCs w:val="20"/>
                <w:color w:val="auto"/>
              </w:rPr>
            </w:pPr>
            <w:r>
              <w:rPr>
                <w:rFonts w:ascii="Arial" w:cs="Arial" w:eastAsia="Arial" w:hAnsi="Arial"/>
                <w:sz w:val="14"/>
                <w:szCs w:val="14"/>
                <w:color w:val="auto"/>
              </w:rPr>
              <w:t>Bethesda Row</w:t>
            </w:r>
          </w:p>
        </w:tc>
        <w:tc>
          <w:tcPr>
            <w:tcW w:w="240" w:type="dxa"/>
            <w:vAlign w:val="bottom"/>
          </w:tcPr>
          <w:p>
            <w:pPr>
              <w:jc w:val="right"/>
              <w:spacing w:after="0" w:line="142" w:lineRule="exact"/>
              <w:rPr>
                <w:sz w:val="20"/>
                <w:szCs w:val="20"/>
                <w:color w:val="auto"/>
              </w:rPr>
            </w:pPr>
            <w:r>
              <w:rPr>
                <w:rFonts w:ascii="Arial" w:cs="Arial" w:eastAsia="Arial" w:hAnsi="Arial"/>
                <w:sz w:val="14"/>
                <w:szCs w:val="14"/>
                <w:color w:val="auto"/>
              </w:rPr>
              <w:t>(4)</w:t>
            </w:r>
          </w:p>
        </w:tc>
        <w:tc>
          <w:tcPr>
            <w:tcW w:w="144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90"/>
              </w:rPr>
              <w:t>Washington, DC-MD-VA</w:t>
            </w:r>
          </w:p>
        </w:tc>
        <w:tc>
          <w:tcPr>
            <w:tcW w:w="104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w w:val="96"/>
              </w:rPr>
              <w:t>1993-2006/2008</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187,540</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25,432</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520,000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40,000</w:t>
            </w:r>
          </w:p>
        </w:tc>
        <w:tc>
          <w:tcPr>
            <w:tcW w:w="820" w:type="dxa"/>
            <w:vAlign w:val="bottom"/>
          </w:tcPr>
          <w:p>
            <w:pPr>
              <w:spacing w:after="0" w:line="142" w:lineRule="exact"/>
              <w:rPr>
                <w:sz w:val="20"/>
                <w:szCs w:val="20"/>
                <w:color w:val="auto"/>
              </w:rPr>
            </w:pPr>
            <w:r>
              <w:rPr>
                <w:rFonts w:ascii="Arial" w:cs="Arial" w:eastAsia="Arial" w:hAnsi="Arial"/>
                <w:sz w:val="14"/>
                <w:szCs w:val="14"/>
                <w:color w:val="auto"/>
              </w:rPr>
              <w:t>Giant Food</w:t>
            </w:r>
          </w:p>
        </w:tc>
        <w:tc>
          <w:tcPr>
            <w:tcW w:w="214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91"/>
              </w:rPr>
              <w:t>Barnes &amp; Noble / Landmark Theater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Congressional Plaza</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Whole Foods</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Buy Buy Baby / Container 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Courthouse Center</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1967-1972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Federal Plaza</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61,898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32,976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TJ Maxx / Micro Center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Borders / 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Gaithersburg Square</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76%</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Bed, Bath &amp; Beyond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Whole Foods</w:t>
            </w: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Laurel</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47,827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Leesburg Plaza</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236,000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Petsmart / Pier One / 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Loehmann’s Plaza</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32,516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Bally Total Fitness / Loehmann’s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0"/>
              </w:rPr>
              <w:t>Washington, DC-MD-VA</w:t>
            </w:r>
          </w:p>
        </w:tc>
        <w:tc>
          <w:tcPr>
            <w:tcW w:w="104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1982/2007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44,570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309,000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1"/>
              </w:rPr>
              <w:t>Toys R Us / Bally Total Fitness / AC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w w:val="98"/>
              </w:rPr>
              <w:t>Mount Vernon/South Valley/7770</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(6)</w:t>
            </w: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2003-2006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77,111</w:t>
            </w:r>
          </w:p>
        </w:tc>
        <w:tc>
          <w:tcPr>
            <w:tcW w:w="100" w:type="dxa"/>
            <w:vAlign w:val="bottom"/>
          </w:tcPr>
          <w:p>
            <w:pPr>
              <w:spacing w:after="0"/>
              <w:rPr>
                <w:sz w:val="11"/>
                <w:szCs w:val="11"/>
                <w:color w:val="auto"/>
              </w:rPr>
            </w:pPr>
          </w:p>
        </w:tc>
        <w:tc>
          <w:tcPr>
            <w:tcW w:w="7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11,556</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62,000</w:t>
            </w:r>
          </w:p>
        </w:tc>
        <w:tc>
          <w:tcPr>
            <w:tcW w:w="820" w:type="dxa"/>
            <w:vAlign w:val="bottom"/>
          </w:tcPr>
          <w:p>
            <w:pPr>
              <w:spacing w:after="0" w:line="138" w:lineRule="exact"/>
              <w:rPr>
                <w:sz w:val="20"/>
                <w:szCs w:val="20"/>
                <w:color w:val="auto"/>
              </w:rPr>
            </w:pPr>
            <w:r>
              <w:rPr>
                <w:rFonts w:ascii="Arial" w:cs="Arial" w:eastAsia="Arial" w:hAnsi="Arial"/>
                <w:sz w:val="14"/>
                <w:szCs w:val="14"/>
                <w:color w:val="auto"/>
              </w:rPr>
              <w:t>Shoppers</w:t>
            </w: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Bed, Bath &amp; Beyond / Michaels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8"/>
          </w:tcPr>
          <w:p>
            <w:pPr>
              <w:spacing w:after="0" w:line="149" w:lineRule="exact"/>
              <w:rPr>
                <w:sz w:val="20"/>
                <w:szCs w:val="20"/>
                <w:color w:val="auto"/>
              </w:rPr>
            </w:pPr>
            <w:r>
              <w:rPr>
                <w:rFonts w:ascii="Arial" w:cs="Arial" w:eastAsia="Arial" w:hAnsi="Arial"/>
                <w:sz w:val="14"/>
                <w:szCs w:val="14"/>
                <w:color w:val="auto"/>
              </w:rPr>
              <w:t>Richmond Hwy</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Food</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Home Depot / TJ Maxx / Gold’s Gym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line="15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Whole Foods</w:t>
            </w: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Pan Am</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28,176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Safeway</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87,826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296,000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45,000</w:t>
            </w:r>
          </w:p>
        </w:tc>
        <w:tc>
          <w:tcPr>
            <w:tcW w:w="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Harris Teeter</w:t>
            </w:r>
          </w:p>
        </w:tc>
        <w:tc>
          <w:tcPr>
            <w:tcW w:w="21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Bally Total Fitness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Beyond / DSW / Cost Plus World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Pike 7</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34,830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Rockville Town Square</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2006-2007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37,336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Sam’s Park &amp; Shop</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Tyson’s Station</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6,028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Village at Shirlington</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6,267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Harris Teeter</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AMC Loews / Carlyle Grand 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Wildwood</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0"/>
              </w:rPr>
              <w:t>Washington, DC-MD-VA</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25,663</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Balducci’s</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8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971,501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5,195,000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8"/>
          </w:tcPr>
          <w:p>
            <w:pPr>
              <w:spacing w:after="0" w:line="135" w:lineRule="exact"/>
              <w:rPr>
                <w:sz w:val="20"/>
                <w:szCs w:val="20"/>
                <w:color w:val="auto"/>
              </w:rPr>
            </w:pPr>
            <w:r>
              <w:rPr>
                <w:rFonts w:ascii="Arial" w:cs="Arial" w:eastAsia="Arial" w:hAnsi="Arial"/>
                <w:sz w:val="14"/>
                <w:szCs w:val="14"/>
                <w:b w:val="1"/>
                <w:bCs w:val="1"/>
                <w:color w:val="auto"/>
              </w:rPr>
              <w:t>Philadelphia Metropolitan</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Area</w:t>
            </w:r>
          </w:p>
        </w:tc>
        <w:tc>
          <w:tcPr>
            <w:tcW w:w="32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40" w:type="dxa"/>
            <w:vAlign w:val="bottom"/>
            <w:gridSpan w:val="9"/>
            <w:shd w:val="clear" w:color="auto" w:fill="CCEEFF"/>
          </w:tcPr>
          <w:p>
            <w:pPr>
              <w:spacing w:after="0" w:line="142" w:lineRule="exact"/>
              <w:rPr>
                <w:sz w:val="20"/>
                <w:szCs w:val="20"/>
                <w:color w:val="auto"/>
              </w:rPr>
            </w:pPr>
            <w:r>
              <w:rPr>
                <w:rFonts w:ascii="Arial" w:cs="Arial" w:eastAsia="Arial" w:hAnsi="Arial"/>
                <w:sz w:val="14"/>
                <w:szCs w:val="14"/>
                <w:color w:val="auto"/>
              </w:rPr>
              <w:t>Andorra</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1988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22,994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267,000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94%</w:t>
            </w:r>
          </w:p>
        </w:tc>
        <w:tc>
          <w:tcPr>
            <w:tcW w:w="5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24,000</w:t>
            </w:r>
          </w:p>
        </w:tc>
        <w:tc>
          <w:tcPr>
            <w:tcW w:w="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Acme Markets</w:t>
            </w:r>
          </w:p>
        </w:tc>
        <w:tc>
          <w:tcPr>
            <w:tcW w:w="214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Kohl’s / Staples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Bala Cynwyd</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34,454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89"/>
              </w:rPr>
              <w:t>Acme Markets</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Lord &amp; Taylor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Feasterville</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11,880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111,000</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Langhorne Square</w:t>
            </w:r>
          </w:p>
        </w:tc>
        <w:tc>
          <w:tcPr>
            <w:tcW w:w="240" w:type="dxa"/>
            <w:vAlign w:val="bottom"/>
          </w:tcPr>
          <w:p>
            <w:pPr>
              <w:spacing w:after="0"/>
              <w:rPr>
                <w:sz w:val="11"/>
                <w:szCs w:val="11"/>
                <w:color w:val="auto"/>
              </w:rPr>
            </w:pP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18,981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216,000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55,000</w:t>
            </w:r>
          </w:p>
        </w:tc>
        <w:tc>
          <w:tcPr>
            <w:tcW w:w="820" w:type="dxa"/>
            <w:vAlign w:val="bottom"/>
          </w:tcPr>
          <w:p>
            <w:pPr>
              <w:spacing w:after="0" w:line="138" w:lineRule="exact"/>
              <w:rPr>
                <w:sz w:val="20"/>
                <w:szCs w:val="20"/>
                <w:color w:val="auto"/>
              </w:rPr>
            </w:pPr>
            <w:r>
              <w:rPr>
                <w:rFonts w:ascii="Arial" w:cs="Arial" w:eastAsia="Arial" w:hAnsi="Arial"/>
                <w:sz w:val="14"/>
                <w:szCs w:val="14"/>
                <w:color w:val="auto"/>
              </w:rPr>
              <w:t>Redner’s</w:t>
            </w: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Warehouse</w:t>
            </w: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line="159" w:lineRule="exact"/>
              <w:rPr>
                <w:sz w:val="20"/>
                <w:szCs w:val="20"/>
                <w:color w:val="auto"/>
              </w:rPr>
            </w:pPr>
            <w:r>
              <w:rPr>
                <w:rFonts w:ascii="Arial" w:cs="Arial" w:eastAsia="Arial" w:hAnsi="Arial"/>
                <w:sz w:val="14"/>
                <w:szCs w:val="14"/>
                <w:color w:val="auto"/>
              </w:rPr>
              <w:t>Mkts.</w:t>
            </w: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Lawrence Park</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29,197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353,000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Acme Markets</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CHI / TJ Maxx / HomeGoods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Northeast</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22,597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Willow Grove</w:t>
            </w:r>
          </w:p>
        </w:tc>
        <w:tc>
          <w:tcPr>
            <w:tcW w:w="240" w:type="dxa"/>
            <w:vAlign w:val="bottom"/>
          </w:tcPr>
          <w:p>
            <w:pPr>
              <w:spacing w:after="0"/>
              <w:rPr>
                <w:sz w:val="11"/>
                <w:szCs w:val="11"/>
                <w:color w:val="auto"/>
              </w:rPr>
            </w:pP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27,159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216,000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0"/>
              </w:rPr>
              <w:t>Barnes &amp; Noble / Marshalls / Toys 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Philadelphia, PA-NJ</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36,326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29,754</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255,000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97%</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98,000</w:t>
            </w:r>
          </w:p>
        </w:tc>
        <w:tc>
          <w:tcPr>
            <w:tcW w:w="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21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Bed, Bath &amp; Beyond / Borders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Navy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w w:val="99"/>
              </w:rPr>
              <w:t>Total Philadelphia Metropolitan Area</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261,374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9"/>
              </w:rPr>
              <w:t>2,569,000</w:t>
            </w:r>
          </w:p>
        </w:tc>
        <w:tc>
          <w:tcPr>
            <w:tcW w:w="40" w:type="dxa"/>
            <w:vAlign w:val="bottom"/>
          </w:tcPr>
          <w:p>
            <w:pPr>
              <w:spacing w:after="0"/>
              <w:rPr>
                <w:sz w:val="13"/>
                <w:szCs w:val="13"/>
                <w:color w:val="auto"/>
              </w:rPr>
            </w:pPr>
          </w:p>
        </w:tc>
        <w:tc>
          <w:tcPr>
            <w:tcW w:w="6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40" w:type="dxa"/>
            <w:vAlign w:val="bottom"/>
            <w:tcBorders>
              <w:bottom w:val="single" w:sz="8" w:color="CCEEFF"/>
            </w:tcBorders>
            <w:gridSpan w:val="5"/>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9"/>
          </w:tcPr>
          <w:p>
            <w:pPr>
              <w:spacing w:after="0" w:line="131" w:lineRule="exact"/>
              <w:rPr>
                <w:sz w:val="20"/>
                <w:szCs w:val="20"/>
                <w:color w:val="auto"/>
              </w:rPr>
            </w:pPr>
            <w:r>
              <w:rPr>
                <w:rFonts w:ascii="Arial" w:cs="Arial" w:eastAsia="Arial" w:hAnsi="Arial"/>
                <w:sz w:val="14"/>
                <w:szCs w:val="14"/>
                <w:color w:val="auto"/>
              </w:rPr>
              <w:t>Colorado Blvd</w:t>
            </w:r>
          </w:p>
        </w:tc>
        <w:tc>
          <w:tcPr>
            <w:tcW w:w="240" w:type="dxa"/>
            <w:vAlign w:val="bottom"/>
          </w:tcPr>
          <w:p>
            <w:pPr>
              <w:spacing w:after="0"/>
              <w:rPr>
                <w:sz w:val="11"/>
                <w:szCs w:val="11"/>
                <w:color w:val="auto"/>
              </w:rPr>
            </w:pPr>
          </w:p>
        </w:tc>
        <w:tc>
          <w:tcPr>
            <w:tcW w:w="144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Los Angeles-</w:t>
            </w:r>
          </w:p>
        </w:tc>
        <w:tc>
          <w:tcPr>
            <w:tcW w:w="10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1996-1998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4"/>
                <w:szCs w:val="14"/>
                <w:color w:val="auto"/>
              </w:rPr>
              <w:t>16,556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68,000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Pottery Barn / Banana Republic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Long Beach, CA</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San Ramon, CA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2005-2007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21,113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Save Mart</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Escondido</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(7)</w:t>
            </w: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San Diego,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28,464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222,000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2"/>
              </w:rPr>
              <w:t>Cost Plus World Market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San Diego, CA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Hermosa Ave</w:t>
            </w:r>
          </w:p>
        </w:tc>
        <w:tc>
          <w:tcPr>
            <w:tcW w:w="240" w:type="dxa"/>
            <w:vAlign w:val="bottom"/>
          </w:tcPr>
          <w:p>
            <w:pPr>
              <w:spacing w:after="0"/>
              <w:rPr>
                <w:sz w:val="11"/>
                <w:szCs w:val="11"/>
                <w:color w:val="auto"/>
              </w:rPr>
            </w:pP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Los Angeles-Long</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5,423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Beach,</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2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14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Los Angeles-Long</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37,669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153,000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85%</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DSW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Beach,</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Kings Court</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(6)</w:t>
            </w: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11,576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79,000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99%</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25,000</w:t>
            </w:r>
          </w:p>
        </w:tc>
        <w:tc>
          <w:tcPr>
            <w:tcW w:w="820" w:type="dxa"/>
            <w:vAlign w:val="bottom"/>
          </w:tcPr>
          <w:p>
            <w:pPr>
              <w:spacing w:after="0" w:line="138" w:lineRule="exact"/>
              <w:rPr>
                <w:sz w:val="20"/>
                <w:szCs w:val="20"/>
                <w:color w:val="auto"/>
              </w:rPr>
            </w:pPr>
            <w:r>
              <w:rPr>
                <w:rFonts w:ascii="Arial" w:cs="Arial" w:eastAsia="Arial" w:hAnsi="Arial"/>
                <w:sz w:val="14"/>
                <w:szCs w:val="14"/>
                <w:color w:val="auto"/>
              </w:rPr>
              <w:t>Lunardi’s</w:t>
            </w: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Longs Drug Store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line="159" w:lineRule="exact"/>
              <w:rPr>
                <w:sz w:val="20"/>
                <w:szCs w:val="20"/>
                <w:color w:val="auto"/>
              </w:rPr>
            </w:pPr>
            <w:r>
              <w:rPr>
                <w:rFonts w:ascii="Arial" w:cs="Arial" w:eastAsia="Arial" w:hAnsi="Arial"/>
                <w:sz w:val="14"/>
                <w:szCs w:val="14"/>
                <w:color w:val="auto"/>
                <w:w w:val="95"/>
              </w:rPr>
              <w:t>Super Market</w:t>
            </w: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34,053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96,000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Borders / Gap Kids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Santana Row</w:t>
            </w:r>
          </w:p>
        </w:tc>
        <w:tc>
          <w:tcPr>
            <w:tcW w:w="240" w:type="dxa"/>
            <w:vAlign w:val="bottom"/>
          </w:tcPr>
          <w:p>
            <w:pPr>
              <w:spacing w:after="0"/>
              <w:rPr>
                <w:sz w:val="11"/>
                <w:szCs w:val="11"/>
                <w:color w:val="auto"/>
              </w:rPr>
            </w:pP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518,884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8"/>
              </w:rPr>
              <w:t>Crate &amp; Barrel / Container Store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Best Buy / Borders / CineArts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shd w:val="clear" w:color="auto" w:fill="CCEEFF"/>
          </w:tcPr>
          <w:p>
            <w:pPr>
              <w:spacing w:after="0" w:line="138" w:lineRule="exact"/>
              <w:rPr>
                <w:sz w:val="20"/>
                <w:szCs w:val="20"/>
                <w:color w:val="auto"/>
              </w:rPr>
            </w:pPr>
            <w:r>
              <w:rPr>
                <w:rFonts w:ascii="Arial" w:cs="Arial" w:eastAsia="Arial" w:hAnsi="Arial"/>
                <w:sz w:val="14"/>
                <w:szCs w:val="14"/>
                <w:color w:val="auto"/>
              </w:rPr>
              <w:t>Third St Promenade</w:t>
            </w:r>
          </w:p>
        </w:tc>
        <w:tc>
          <w:tcPr>
            <w:tcW w:w="24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Los Angeles-Long</w:t>
            </w:r>
          </w:p>
        </w:tc>
        <w:tc>
          <w:tcPr>
            <w:tcW w:w="10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1996-2000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78,288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211,000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J. Crew / Banana Republic / Old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Beach,</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Navy / Abercrombie &amp; Fitch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Westgate</w:t>
            </w:r>
          </w:p>
        </w:tc>
        <w:tc>
          <w:tcPr>
            <w:tcW w:w="240" w:type="dxa"/>
            <w:vAlign w:val="bottom"/>
          </w:tcPr>
          <w:p>
            <w:pPr>
              <w:spacing w:after="0"/>
              <w:rPr>
                <w:sz w:val="11"/>
                <w:szCs w:val="11"/>
                <w:color w:val="auto"/>
              </w:rPr>
            </w:pP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San Jose, CA</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116,222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96%</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38,000</w:t>
            </w:r>
          </w:p>
        </w:tc>
        <w:tc>
          <w:tcPr>
            <w:tcW w:w="820" w:type="dxa"/>
            <w:vAlign w:val="bottom"/>
          </w:tcPr>
          <w:p>
            <w:pPr>
              <w:spacing w:after="0" w:line="138" w:lineRule="exact"/>
              <w:rPr>
                <w:sz w:val="20"/>
                <w:szCs w:val="20"/>
                <w:color w:val="auto"/>
              </w:rPr>
            </w:pPr>
            <w:r>
              <w:rPr>
                <w:rFonts w:ascii="Arial" w:cs="Arial" w:eastAsia="Arial" w:hAnsi="Arial"/>
                <w:sz w:val="14"/>
                <w:szCs w:val="14"/>
                <w:color w:val="auto"/>
              </w:rPr>
              <w:t>Safeway</w:t>
            </w: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8"/>
              </w:rPr>
              <w:t>Target / Burlington Coat Factory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Barnes &amp; Noble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150 Post Street</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San Francisco, CA</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California</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962,626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9"/>
              </w:rPr>
              <w:t>2,456,000</w:t>
            </w:r>
          </w:p>
        </w:tc>
        <w:tc>
          <w:tcPr>
            <w:tcW w:w="40" w:type="dxa"/>
            <w:vAlign w:val="bottom"/>
          </w:tcPr>
          <w:p>
            <w:pPr>
              <w:spacing w:after="0"/>
              <w:rPr>
                <w:sz w:val="13"/>
                <w:szCs w:val="13"/>
                <w:color w:val="auto"/>
              </w:rPr>
            </w:pPr>
          </w:p>
        </w:tc>
        <w:tc>
          <w:tcPr>
            <w:tcW w:w="6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auto"/>
            </w:tcBorders>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500" w:type="dxa"/>
            <w:vAlign w:val="bottom"/>
            <w:tcBorders>
              <w:bottom w:val="single" w:sz="8" w:color="CCEEFF"/>
            </w:tcBorders>
            <w:gridSpan w:val="3"/>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9"/>
          </w:tcPr>
          <w:p>
            <w:pPr>
              <w:spacing w:after="0" w:line="131" w:lineRule="exact"/>
              <w:rPr>
                <w:sz w:val="20"/>
                <w:szCs w:val="20"/>
                <w:color w:val="auto"/>
              </w:rPr>
            </w:pPr>
            <w:r>
              <w:rPr>
                <w:rFonts w:ascii="Arial" w:cs="Arial" w:eastAsia="Arial" w:hAnsi="Arial"/>
                <w:sz w:val="14"/>
                <w:szCs w:val="14"/>
                <w:color w:val="auto"/>
              </w:rPr>
              <w:t>Brick Plaza</w:t>
            </w:r>
          </w:p>
        </w:tc>
        <w:tc>
          <w:tcPr>
            <w:tcW w:w="240" w:type="dxa"/>
            <w:vAlign w:val="bottom"/>
          </w:tcPr>
          <w:p>
            <w:pPr>
              <w:spacing w:after="0"/>
              <w:rPr>
                <w:sz w:val="11"/>
                <w:szCs w:val="11"/>
                <w:color w:val="auto"/>
              </w:rPr>
            </w:pPr>
          </w:p>
        </w:tc>
        <w:tc>
          <w:tcPr>
            <w:tcW w:w="144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Monmouth-Ocean, NJ</w:t>
            </w:r>
          </w:p>
        </w:tc>
        <w:tc>
          <w:tcPr>
            <w:tcW w:w="10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Arial" w:cs="Arial" w:eastAsia="Arial" w:hAnsi="Arial"/>
                <w:sz w:val="14"/>
                <w:szCs w:val="14"/>
                <w:color w:val="auto"/>
              </w:rPr>
              <w:t>56,574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30,492</w:t>
            </w: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409,000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rPr>
              <w:t>66,000</w:t>
            </w:r>
          </w:p>
        </w:tc>
        <w:tc>
          <w:tcPr>
            <w:tcW w:w="820" w:type="dxa"/>
            <w:vAlign w:val="bottom"/>
          </w:tcPr>
          <w:p>
            <w:pPr>
              <w:spacing w:after="0" w:line="131" w:lineRule="exact"/>
              <w:rPr>
                <w:sz w:val="20"/>
                <w:szCs w:val="20"/>
                <w:color w:val="auto"/>
              </w:rPr>
            </w:pPr>
            <w:r>
              <w:rPr>
                <w:rFonts w:ascii="Arial" w:cs="Arial" w:eastAsia="Arial" w:hAnsi="Arial"/>
                <w:sz w:val="14"/>
                <w:szCs w:val="14"/>
                <w:color w:val="auto"/>
              </w:rPr>
              <w:t>A&amp;P</w:t>
            </w:r>
          </w:p>
        </w:tc>
        <w:tc>
          <w:tcPr>
            <w:tcW w:w="21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AMC Loews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Forest Hills</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New York, NY</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tcPr>
          <w:p>
            <w:pPr>
              <w:spacing w:after="0" w:line="149" w:lineRule="exact"/>
              <w:rPr>
                <w:sz w:val="20"/>
                <w:szCs w:val="20"/>
                <w:color w:val="auto"/>
              </w:rPr>
            </w:pPr>
            <w:r>
              <w:rPr>
                <w:rFonts w:ascii="Arial" w:cs="Arial" w:eastAsia="Arial" w:hAnsi="Arial"/>
                <w:sz w:val="14"/>
                <w:szCs w:val="14"/>
                <w:color w:val="auto"/>
              </w:rPr>
              <w:t>Fresh Meadows</w:t>
            </w:r>
          </w:p>
        </w:tc>
        <w:tc>
          <w:tcPr>
            <w:tcW w:w="24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New York, NY</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68,946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403,000</w:t>
            </w:r>
          </w:p>
        </w:tc>
        <w:tc>
          <w:tcPr>
            <w:tcW w:w="4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2"/>
              </w:rPr>
              <w:t>Island of Gold</w:t>
            </w:r>
          </w:p>
        </w:tc>
        <w:tc>
          <w:tcPr>
            <w:tcW w:w="21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Hauppauge</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Nassau-Suffolk, NY</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15,528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 Rite</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Huntington</w:t>
            </w:r>
          </w:p>
        </w:tc>
        <w:tc>
          <w:tcPr>
            <w:tcW w:w="240" w:type="dxa"/>
            <w:vAlign w:val="bottom"/>
          </w:tcPr>
          <w:p>
            <w:pPr>
              <w:spacing w:after="0"/>
              <w:rPr>
                <w:sz w:val="11"/>
                <w:szCs w:val="11"/>
                <w:color w:val="auto"/>
              </w:rPr>
            </w:pP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Nassau-Suffolk, NY</w:t>
            </w:r>
          </w:p>
        </w:tc>
        <w:tc>
          <w:tcPr>
            <w:tcW w:w="104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1988/2007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38,604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279,000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9"/>
              </w:rPr>
              <w:t>Buy Buy Baby / Toys R Us / Bed,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Bath &amp; Beyond / 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Melville Mall</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Nassau-Suffolk, NY</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24,291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Waldbaum’s</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Kohl’s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9"/>
          </w:tcPr>
          <w:p>
            <w:pPr>
              <w:spacing w:after="0" w:line="138" w:lineRule="exact"/>
              <w:rPr>
                <w:sz w:val="20"/>
                <w:szCs w:val="20"/>
                <w:color w:val="auto"/>
              </w:rPr>
            </w:pPr>
            <w:r>
              <w:rPr>
                <w:rFonts w:ascii="Arial" w:cs="Arial" w:eastAsia="Arial" w:hAnsi="Arial"/>
                <w:sz w:val="14"/>
                <w:szCs w:val="14"/>
                <w:color w:val="auto"/>
              </w:rPr>
              <w:t>Mercer Mall</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(4)</w:t>
            </w:r>
          </w:p>
        </w:tc>
        <w:tc>
          <w:tcPr>
            <w:tcW w:w="14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Trenton, NJ</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104,995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50,990</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501,000</w:t>
            </w:r>
          </w:p>
        </w:tc>
        <w:tc>
          <w:tcPr>
            <w:tcW w:w="4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99%</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75,000</w:t>
            </w:r>
          </w:p>
        </w:tc>
        <w:tc>
          <w:tcPr>
            <w:tcW w:w="820" w:type="dxa"/>
            <w:vAlign w:val="bottom"/>
          </w:tcPr>
          <w:p>
            <w:pPr>
              <w:spacing w:after="0" w:line="138" w:lineRule="exact"/>
              <w:rPr>
                <w:sz w:val="20"/>
                <w:szCs w:val="20"/>
                <w:color w:val="auto"/>
              </w:rPr>
            </w:pPr>
            <w:r>
              <w:rPr>
                <w:rFonts w:ascii="Arial" w:cs="Arial" w:eastAsia="Arial" w:hAnsi="Arial"/>
                <w:sz w:val="14"/>
                <w:szCs w:val="14"/>
                <w:color w:val="auto"/>
              </w:rPr>
              <w:t>Shop Rite</w:t>
            </w:r>
          </w:p>
        </w:tc>
        <w:tc>
          <w:tcPr>
            <w:tcW w:w="21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Bed, Bath &amp; Beyond / DSW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Maxx / Raymour &amp; Flanigan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Newark, NJ</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64,000</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Pathmark</w:t>
            </w:r>
          </w:p>
        </w:tc>
        <w:tc>
          <w:tcPr>
            <w:tcW w:w="21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Total New York / New Jersey</w:t>
            </w: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398,268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9"/>
              </w:rPr>
              <w:t>2,226,000</w:t>
            </w:r>
          </w:p>
        </w:tc>
        <w:tc>
          <w:tcPr>
            <w:tcW w:w="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98%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274" w:right="239" w:bottom="63" w:gutter="0" w:footer="0" w:header="0"/>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4" w:right="239" w:bottom="63"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Mortgage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and/or</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Real</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Grocery</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Lease</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Anchor</w:t>
            </w:r>
          </w:p>
        </w:tc>
        <w:tc>
          <w:tcPr>
            <w:tcW w:w="100" w:type="dxa"/>
            <w:vAlign w:val="bottom"/>
          </w:tcPr>
          <w:p>
            <w:pPr>
              <w:spacing w:after="0"/>
              <w:rPr>
                <w:sz w:val="12"/>
                <w:szCs w:val="12"/>
                <w:color w:val="auto"/>
              </w:rPr>
            </w:pPr>
          </w:p>
        </w:tc>
        <w:tc>
          <w:tcPr>
            <w:tcW w:w="7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21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61"/>
        </w:trPr>
        <w:tc>
          <w:tcPr>
            <w:tcW w:w="146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460" w:type="dxa"/>
            <w:vAlign w:val="bottom"/>
          </w:tcPr>
          <w:p>
            <w:pPr>
              <w:spacing w:after="0"/>
              <w:rPr>
                <w:sz w:val="14"/>
                <w:szCs w:val="14"/>
                <w:color w:val="auto"/>
              </w:rPr>
            </w:pPr>
          </w:p>
        </w:tc>
        <w:tc>
          <w:tcPr>
            <w:tcW w:w="2000" w:type="dxa"/>
            <w:vAlign w:val="bottom"/>
          </w:tcPr>
          <w:p>
            <w:pPr>
              <w:ind w:left="50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Acquired</w:t>
            </w:r>
          </w:p>
        </w:tc>
        <w:tc>
          <w:tcPr>
            <w:tcW w:w="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at Cost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Obligation (1)</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GLA (2)</w:t>
            </w: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(3)</w:t>
            </w:r>
          </w:p>
        </w:tc>
        <w:tc>
          <w:tcPr>
            <w:tcW w:w="1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7"/>
              </w:rPr>
              <w:t>Anchor (3)</w:t>
            </w:r>
          </w:p>
        </w:tc>
        <w:tc>
          <w:tcPr>
            <w:tcW w:w="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440" w:type="dxa"/>
            <w:vAlign w:val="bottom"/>
            <w:gridSpan w:val="6"/>
          </w:tcPr>
          <w:p>
            <w:pPr>
              <w:spacing w:after="0" w:line="131" w:lineRule="exact"/>
              <w:rPr>
                <w:sz w:val="20"/>
                <w:szCs w:val="20"/>
                <w:color w:val="auto"/>
              </w:rPr>
            </w:pPr>
            <w:r>
              <w:rPr>
                <w:rFonts w:ascii="Arial" w:cs="Arial" w:eastAsia="Arial" w:hAnsi="Arial"/>
                <w:sz w:val="14"/>
                <w:szCs w:val="14"/>
                <w:color w:val="auto"/>
              </w:rPr>
              <w:t>Assembly Square</w:t>
            </w:r>
          </w:p>
        </w:tc>
        <w:tc>
          <w:tcPr>
            <w:tcW w:w="460" w:type="dxa"/>
            <w:vAlign w:val="bottom"/>
          </w:tcPr>
          <w:p>
            <w:pPr>
              <w:spacing w:after="0"/>
              <w:rPr>
                <w:sz w:val="11"/>
                <w:szCs w:val="11"/>
                <w:color w:val="auto"/>
              </w:rPr>
            </w:pPr>
          </w:p>
        </w:tc>
        <w:tc>
          <w:tcPr>
            <w:tcW w:w="2000" w:type="dxa"/>
            <w:vAlign w:val="bottom"/>
          </w:tcPr>
          <w:p>
            <w:pPr>
              <w:spacing w:after="0" w:line="131" w:lineRule="exact"/>
              <w:rPr>
                <w:sz w:val="20"/>
                <w:szCs w:val="20"/>
                <w:color w:val="auto"/>
              </w:rPr>
            </w:pPr>
            <w:r>
              <w:rPr>
                <w:rFonts w:ascii="Arial" w:cs="Arial" w:eastAsia="Arial" w:hAnsi="Arial"/>
                <w:sz w:val="14"/>
                <w:szCs w:val="14"/>
                <w:color w:val="auto"/>
                <w:w w:val="90"/>
              </w:rPr>
              <w:t>Boston-Cambridge-Quincy, MA-NH</w:t>
            </w:r>
          </w:p>
        </w:tc>
        <w:tc>
          <w:tcPr>
            <w:tcW w:w="78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2005-2008</w:t>
            </w:r>
          </w:p>
        </w:tc>
        <w:tc>
          <w:tcPr>
            <w:tcW w:w="8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142,234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332,000</w:t>
            </w:r>
          </w:p>
        </w:tc>
        <w:tc>
          <w:tcPr>
            <w:tcW w:w="74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9"/>
              </w:rPr>
              <w:t>AC Moore / 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Christmas Tree Shops / Kmart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8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3"/>
              </w:rPr>
              <w:t>Staples / Sports 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2006-2008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29,038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8,063</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222,000</w:t>
            </w:r>
          </w:p>
        </w:tc>
        <w:tc>
          <w:tcPr>
            <w:tcW w:w="7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91%</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Sav-A-Lot</w:t>
            </w:r>
          </w:p>
        </w:tc>
        <w:tc>
          <w:tcPr>
            <w:tcW w:w="2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Quincy, MA-NH</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tcPr>
          <w:p>
            <w:pPr>
              <w:spacing w:after="0" w:line="138" w:lineRule="exact"/>
              <w:rPr>
                <w:sz w:val="20"/>
                <w:szCs w:val="20"/>
                <w:color w:val="auto"/>
              </w:rPr>
            </w:pPr>
            <w:r>
              <w:rPr>
                <w:rFonts w:ascii="Arial" w:cs="Arial" w:eastAsia="Arial" w:hAnsi="Arial"/>
                <w:sz w:val="14"/>
                <w:szCs w:val="14"/>
                <w:color w:val="auto"/>
              </w:rPr>
              <w:t>Dedham Plaza</w:t>
            </w:r>
          </w:p>
        </w:tc>
        <w:tc>
          <w:tcPr>
            <w:tcW w:w="460" w:type="dxa"/>
            <w:vAlign w:val="bottom"/>
          </w:tcPr>
          <w:p>
            <w:pPr>
              <w:spacing w:after="0"/>
              <w:rPr>
                <w:sz w:val="11"/>
                <w:szCs w:val="11"/>
                <w:color w:val="auto"/>
              </w:rPr>
            </w:pPr>
          </w:p>
        </w:tc>
        <w:tc>
          <w:tcPr>
            <w:tcW w:w="2000" w:type="dxa"/>
            <w:vAlign w:val="bottom"/>
          </w:tcPr>
          <w:p>
            <w:pPr>
              <w:spacing w:after="0" w:line="138" w:lineRule="exact"/>
              <w:rPr>
                <w:sz w:val="20"/>
                <w:szCs w:val="20"/>
                <w:color w:val="auto"/>
              </w:rPr>
            </w:pPr>
            <w:r>
              <w:rPr>
                <w:rFonts w:ascii="Arial" w:cs="Arial" w:eastAsia="Arial" w:hAnsi="Arial"/>
                <w:sz w:val="14"/>
                <w:szCs w:val="14"/>
                <w:color w:val="auto"/>
              </w:rPr>
              <w:t>Boston-Cambridge-</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31,280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242,000</w:t>
            </w:r>
          </w:p>
        </w:tc>
        <w:tc>
          <w:tcPr>
            <w:tcW w:w="74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83%</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80,000</w:t>
            </w:r>
          </w:p>
        </w:tc>
        <w:tc>
          <w:tcPr>
            <w:tcW w:w="10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rPr>
              <w:t>Star Market</w:t>
            </w:r>
          </w:p>
        </w:tc>
        <w:tc>
          <w:tcPr>
            <w:tcW w:w="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line="159" w:lineRule="exact"/>
              <w:rPr>
                <w:sz w:val="20"/>
                <w:szCs w:val="20"/>
                <w:color w:val="auto"/>
              </w:rPr>
            </w:pPr>
            <w:r>
              <w:rPr>
                <w:rFonts w:ascii="Arial" w:cs="Arial" w:eastAsia="Arial" w:hAnsi="Arial"/>
                <w:sz w:val="14"/>
                <w:szCs w:val="14"/>
                <w:color w:val="auto"/>
              </w:rPr>
              <w:t>Quincy, MA-NH</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2006-2007</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141,727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217,000</w:t>
            </w:r>
          </w:p>
        </w:tc>
        <w:tc>
          <w:tcPr>
            <w:tcW w:w="7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82%</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Roche</w:t>
            </w:r>
          </w:p>
        </w:tc>
        <w:tc>
          <w:tcPr>
            <w:tcW w:w="2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CVS / Fitness Club for Women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Quincy, MA-NH</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Brothers</w:t>
            </w:r>
          </w:p>
        </w:tc>
        <w:tc>
          <w:tcPr>
            <w:tcW w:w="2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Wellesley Volkswagen, Buick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4"/>
              </w:rPr>
              <w:t>Supermarkets</w:t>
            </w:r>
          </w:p>
        </w:tc>
        <w:tc>
          <w:tcPr>
            <w:tcW w:w="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tcPr>
          <w:p>
            <w:pPr>
              <w:spacing w:after="0" w:line="138" w:lineRule="exact"/>
              <w:rPr>
                <w:sz w:val="20"/>
                <w:szCs w:val="20"/>
                <w:color w:val="auto"/>
              </w:rPr>
            </w:pPr>
            <w:r>
              <w:rPr>
                <w:rFonts w:ascii="Arial" w:cs="Arial" w:eastAsia="Arial" w:hAnsi="Arial"/>
                <w:sz w:val="14"/>
                <w:szCs w:val="14"/>
                <w:color w:val="auto"/>
              </w:rPr>
              <w:t>North Dartmouth</w:t>
            </w:r>
          </w:p>
        </w:tc>
        <w:tc>
          <w:tcPr>
            <w:tcW w:w="460" w:type="dxa"/>
            <w:vAlign w:val="bottom"/>
          </w:tcPr>
          <w:p>
            <w:pPr>
              <w:spacing w:after="0"/>
              <w:rPr>
                <w:sz w:val="11"/>
                <w:szCs w:val="11"/>
                <w:color w:val="auto"/>
              </w:rPr>
            </w:pPr>
          </w:p>
        </w:tc>
        <w:tc>
          <w:tcPr>
            <w:tcW w:w="2000" w:type="dxa"/>
            <w:vAlign w:val="bottom"/>
          </w:tcPr>
          <w:p>
            <w:pPr>
              <w:spacing w:after="0" w:line="138" w:lineRule="exact"/>
              <w:rPr>
                <w:sz w:val="20"/>
                <w:szCs w:val="20"/>
                <w:color w:val="auto"/>
              </w:rPr>
            </w:pPr>
            <w:r>
              <w:rPr>
                <w:rFonts w:ascii="Arial" w:cs="Arial" w:eastAsia="Arial" w:hAnsi="Arial"/>
                <w:sz w:val="14"/>
                <w:szCs w:val="14"/>
                <w:color w:val="auto"/>
              </w:rPr>
              <w:t>Boston-Cambridge-</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9,368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48,000</w:t>
            </w:r>
          </w:p>
        </w:tc>
        <w:tc>
          <w:tcPr>
            <w:tcW w:w="74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48,000</w:t>
            </w:r>
          </w:p>
        </w:tc>
        <w:tc>
          <w:tcPr>
            <w:tcW w:w="10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w w:val="94"/>
              </w:rPr>
              <w:t>Stop &amp; Shop</w:t>
            </w:r>
          </w:p>
        </w:tc>
        <w:tc>
          <w:tcPr>
            <w:tcW w:w="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line="159" w:lineRule="exact"/>
              <w:rPr>
                <w:sz w:val="20"/>
                <w:szCs w:val="20"/>
                <w:color w:val="auto"/>
              </w:rPr>
            </w:pPr>
            <w:r>
              <w:rPr>
                <w:rFonts w:ascii="Arial" w:cs="Arial" w:eastAsia="Arial" w:hAnsi="Arial"/>
                <w:sz w:val="14"/>
                <w:szCs w:val="14"/>
                <w:color w:val="auto"/>
              </w:rPr>
              <w:t>Quincy, MA-NH</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40" w:type="dxa"/>
            <w:vAlign w:val="bottom"/>
            <w:gridSpan w:val="6"/>
          </w:tcPr>
          <w:p>
            <w:pPr>
              <w:spacing w:after="0" w:line="138" w:lineRule="exact"/>
              <w:rPr>
                <w:sz w:val="20"/>
                <w:szCs w:val="20"/>
                <w:color w:val="auto"/>
              </w:rPr>
            </w:pPr>
            <w:r>
              <w:rPr>
                <w:rFonts w:ascii="Arial" w:cs="Arial" w:eastAsia="Arial" w:hAnsi="Arial"/>
                <w:sz w:val="14"/>
                <w:szCs w:val="14"/>
                <w:color w:val="auto"/>
              </w:rPr>
              <w:t>Queen Anne Plaza</w:t>
            </w:r>
          </w:p>
        </w:tc>
        <w:tc>
          <w:tcPr>
            <w:tcW w:w="460" w:type="dxa"/>
            <w:vAlign w:val="bottom"/>
          </w:tcPr>
          <w:p>
            <w:pPr>
              <w:spacing w:after="0"/>
              <w:rPr>
                <w:sz w:val="11"/>
                <w:szCs w:val="11"/>
                <w:color w:val="auto"/>
              </w:rPr>
            </w:pPr>
          </w:p>
        </w:tc>
        <w:tc>
          <w:tcPr>
            <w:tcW w:w="2000" w:type="dxa"/>
            <w:vAlign w:val="bottom"/>
          </w:tcPr>
          <w:p>
            <w:pPr>
              <w:spacing w:after="0" w:line="138" w:lineRule="exact"/>
              <w:rPr>
                <w:sz w:val="20"/>
                <w:szCs w:val="20"/>
                <w:color w:val="auto"/>
              </w:rPr>
            </w:pPr>
            <w:r>
              <w:rPr>
                <w:rFonts w:ascii="Arial" w:cs="Arial" w:eastAsia="Arial" w:hAnsi="Arial"/>
                <w:sz w:val="14"/>
                <w:szCs w:val="14"/>
                <w:color w:val="auto"/>
              </w:rPr>
              <w:t>Boston-Cambridge-</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1994</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149,000</w:t>
            </w:r>
          </w:p>
        </w:tc>
        <w:tc>
          <w:tcPr>
            <w:tcW w:w="74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rPr>
              <w:t>Hannaford</w:t>
            </w:r>
          </w:p>
        </w:tc>
        <w:tc>
          <w:tcPr>
            <w:tcW w:w="218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line="159" w:lineRule="exact"/>
              <w:rPr>
                <w:sz w:val="20"/>
                <w:szCs w:val="20"/>
                <w:color w:val="auto"/>
              </w:rPr>
            </w:pPr>
            <w:r>
              <w:rPr>
                <w:rFonts w:ascii="Arial" w:cs="Arial" w:eastAsia="Arial" w:hAnsi="Arial"/>
                <w:sz w:val="14"/>
                <w:szCs w:val="14"/>
                <w:color w:val="auto"/>
              </w:rPr>
              <w:t>Quincy, MA-NH</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Boston-Cambridge-</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13,693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171,000</w:t>
            </w:r>
          </w:p>
        </w:tc>
        <w:tc>
          <w:tcPr>
            <w:tcW w:w="7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Super Stop &amp;</w:t>
            </w:r>
          </w:p>
        </w:tc>
        <w:tc>
          <w:tcPr>
            <w:tcW w:w="2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Quincy, MA-NH</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Shop</w:t>
            </w:r>
          </w:p>
        </w:tc>
        <w:tc>
          <w:tcPr>
            <w:tcW w:w="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line="155" w:lineRule="exact"/>
              <w:rPr>
                <w:sz w:val="20"/>
                <w:szCs w:val="20"/>
                <w:color w:val="auto"/>
              </w:rPr>
            </w:pPr>
            <w:r>
              <w:rPr>
                <w:rFonts w:ascii="Arial" w:cs="Arial" w:eastAsia="Arial" w:hAnsi="Arial"/>
                <w:sz w:val="14"/>
                <w:szCs w:val="14"/>
                <w:b w:val="1"/>
                <w:bCs w:val="1"/>
                <w:color w:val="auto"/>
              </w:rPr>
              <w:t>Total New England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382,990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9"/>
              </w:rPr>
              <w:t>1,381,000</w:t>
            </w:r>
          </w:p>
        </w:tc>
        <w:tc>
          <w:tcPr>
            <w:tcW w:w="74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92%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Baltimore</w:t>
            </w:r>
          </w:p>
        </w:tc>
        <w:tc>
          <w:tcPr>
            <w:tcW w:w="660" w:type="dxa"/>
            <w:vAlign w:val="bottom"/>
            <w:tcBorders>
              <w:bottom w:val="single" w:sz="8" w:color="CCEEFF"/>
            </w:tcBorders>
            <w:gridSpan w:val="2"/>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6"/>
          </w:tcPr>
          <w:p>
            <w:pPr>
              <w:spacing w:after="0" w:line="142" w:lineRule="exact"/>
              <w:rPr>
                <w:sz w:val="20"/>
                <w:szCs w:val="20"/>
                <w:color w:val="auto"/>
              </w:rPr>
            </w:pPr>
            <w:r>
              <w:rPr>
                <w:rFonts w:ascii="Arial" w:cs="Arial" w:eastAsia="Arial" w:hAnsi="Arial"/>
                <w:sz w:val="14"/>
                <w:szCs w:val="14"/>
                <w:color w:val="auto"/>
              </w:rPr>
              <w:t>Governor Plaza</w:t>
            </w:r>
          </w:p>
        </w:tc>
        <w:tc>
          <w:tcPr>
            <w:tcW w:w="460" w:type="dxa"/>
            <w:vAlign w:val="bottom"/>
          </w:tcPr>
          <w:p>
            <w:pPr>
              <w:spacing w:after="0"/>
              <w:rPr>
                <w:sz w:val="12"/>
                <w:szCs w:val="12"/>
                <w:color w:val="auto"/>
              </w:rPr>
            </w:pPr>
          </w:p>
        </w:tc>
        <w:tc>
          <w:tcPr>
            <w:tcW w:w="2000" w:type="dxa"/>
            <w:vAlign w:val="bottom"/>
          </w:tcPr>
          <w:p>
            <w:pPr>
              <w:spacing w:after="0" w:line="142" w:lineRule="exact"/>
              <w:rPr>
                <w:sz w:val="20"/>
                <w:szCs w:val="20"/>
                <w:color w:val="auto"/>
              </w:rPr>
            </w:pPr>
            <w:r>
              <w:rPr>
                <w:rFonts w:ascii="Arial" w:cs="Arial" w:eastAsia="Arial" w:hAnsi="Arial"/>
                <w:sz w:val="14"/>
                <w:szCs w:val="14"/>
                <w:color w:val="auto"/>
              </w:rPr>
              <w:t>Baltimore, MD</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269,000</w:t>
            </w:r>
          </w:p>
        </w:tc>
        <w:tc>
          <w:tcPr>
            <w:tcW w:w="7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16,500</w:t>
            </w:r>
          </w:p>
        </w:tc>
        <w:tc>
          <w:tcPr>
            <w:tcW w:w="10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Aldi</w:t>
            </w:r>
          </w:p>
        </w:tc>
        <w:tc>
          <w:tcPr>
            <w:tcW w:w="2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Bally Total Fitness / Office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26,607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402,000</w:t>
            </w:r>
          </w:p>
        </w:tc>
        <w:tc>
          <w:tcPr>
            <w:tcW w:w="7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58,000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Shoppers</w:t>
            </w:r>
          </w:p>
        </w:tc>
        <w:tc>
          <w:tcPr>
            <w:tcW w:w="2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Home Depot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Food</w:t>
            </w:r>
          </w:p>
        </w:tc>
        <w:tc>
          <w:tcPr>
            <w:tcW w:w="2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Warehouse</w:t>
            </w:r>
          </w:p>
        </w:tc>
        <w:tc>
          <w:tcPr>
            <w:tcW w:w="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tcPr>
          <w:p>
            <w:pPr>
              <w:spacing w:after="0" w:line="138" w:lineRule="exact"/>
              <w:rPr>
                <w:sz w:val="20"/>
                <w:szCs w:val="20"/>
                <w:color w:val="auto"/>
              </w:rPr>
            </w:pPr>
            <w:r>
              <w:rPr>
                <w:rFonts w:ascii="Arial" w:cs="Arial" w:eastAsia="Arial" w:hAnsi="Arial"/>
                <w:sz w:val="14"/>
                <w:szCs w:val="14"/>
                <w:color w:val="auto"/>
                <w:w w:val="98"/>
              </w:rPr>
              <w:t>THE AVENUE at White</w:t>
            </w:r>
          </w:p>
        </w:tc>
        <w:tc>
          <w:tcPr>
            <w:tcW w:w="4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(10)</w:t>
            </w:r>
          </w:p>
        </w:tc>
        <w:tc>
          <w:tcPr>
            <w:tcW w:w="2000" w:type="dxa"/>
            <w:vAlign w:val="bottom"/>
          </w:tcPr>
          <w:p>
            <w:pPr>
              <w:spacing w:after="0" w:line="138" w:lineRule="exact"/>
              <w:rPr>
                <w:sz w:val="20"/>
                <w:szCs w:val="20"/>
                <w:color w:val="auto"/>
              </w:rPr>
            </w:pPr>
            <w:r>
              <w:rPr>
                <w:rFonts w:ascii="Arial" w:cs="Arial" w:eastAsia="Arial" w:hAnsi="Arial"/>
                <w:sz w:val="14"/>
                <w:szCs w:val="14"/>
                <w:color w:val="auto"/>
              </w:rPr>
              <w:t>Baltimore, MD</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94,607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59,752</w:t>
            </w: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298,000</w:t>
            </w:r>
          </w:p>
        </w:tc>
        <w:tc>
          <w:tcPr>
            <w:tcW w:w="74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7"/>
              </w:rPr>
              <w:t>AMC Loews / Old Navy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tcPr>
          <w:p>
            <w:pPr>
              <w:spacing w:after="0" w:line="159" w:lineRule="exact"/>
              <w:rPr>
                <w:sz w:val="20"/>
                <w:szCs w:val="20"/>
                <w:color w:val="auto"/>
              </w:rPr>
            </w:pPr>
            <w:r>
              <w:rPr>
                <w:rFonts w:ascii="Arial" w:cs="Arial" w:eastAsia="Arial" w:hAnsi="Arial"/>
                <w:sz w:val="14"/>
                <w:szCs w:val="14"/>
                <w:color w:val="auto"/>
              </w:rPr>
              <w:t>Marsh</w:t>
            </w:r>
          </w:p>
        </w:tc>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Noble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The Shoppes at</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27,568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52,000</w:t>
            </w:r>
          </w:p>
        </w:tc>
        <w:tc>
          <w:tcPr>
            <w:tcW w:w="7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Nottingham Square</w:t>
            </w: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tcPr>
          <w:p>
            <w:pPr>
              <w:spacing w:after="0" w:line="149" w:lineRule="exact"/>
              <w:rPr>
                <w:sz w:val="20"/>
                <w:szCs w:val="20"/>
                <w:color w:val="auto"/>
              </w:rPr>
            </w:pPr>
            <w:r>
              <w:rPr>
                <w:rFonts w:ascii="Arial" w:cs="Arial" w:eastAsia="Arial" w:hAnsi="Arial"/>
                <w:sz w:val="14"/>
                <w:szCs w:val="14"/>
                <w:color w:val="auto"/>
              </w:rPr>
              <w:t>White Marsh Plaza</w:t>
            </w:r>
          </w:p>
        </w:tc>
        <w:tc>
          <w:tcPr>
            <w:tcW w:w="46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10,058</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Total Baltimore</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227,696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1,150,000</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3"/>
              </w:rPr>
              <w:t>Chicago</w:t>
            </w:r>
          </w:p>
        </w:tc>
        <w:tc>
          <w:tcPr>
            <w:tcW w:w="760" w:type="dxa"/>
            <w:vAlign w:val="bottom"/>
            <w:tcBorders>
              <w:bottom w:val="single" w:sz="8" w:color="CCEEFF"/>
            </w:tcBorders>
            <w:gridSpan w:val="3"/>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6"/>
          </w:tcPr>
          <w:p>
            <w:pPr>
              <w:spacing w:after="0" w:line="142" w:lineRule="exact"/>
              <w:rPr>
                <w:sz w:val="20"/>
                <w:szCs w:val="20"/>
                <w:color w:val="auto"/>
              </w:rPr>
            </w:pPr>
            <w:r>
              <w:rPr>
                <w:rFonts w:ascii="Arial" w:cs="Arial" w:eastAsia="Arial" w:hAnsi="Arial"/>
                <w:sz w:val="14"/>
                <w:szCs w:val="14"/>
                <w:color w:val="auto"/>
              </w:rPr>
              <w:t>Crossroads</w:t>
            </w:r>
          </w:p>
        </w:tc>
        <w:tc>
          <w:tcPr>
            <w:tcW w:w="460" w:type="dxa"/>
            <w:vAlign w:val="bottom"/>
          </w:tcPr>
          <w:p>
            <w:pPr>
              <w:spacing w:after="0"/>
              <w:rPr>
                <w:sz w:val="12"/>
                <w:szCs w:val="12"/>
                <w:color w:val="auto"/>
              </w:rPr>
            </w:pPr>
          </w:p>
        </w:tc>
        <w:tc>
          <w:tcPr>
            <w:tcW w:w="2000" w:type="dxa"/>
            <w:vAlign w:val="bottom"/>
          </w:tcPr>
          <w:p>
            <w:pPr>
              <w:spacing w:after="0" w:line="142" w:lineRule="exact"/>
              <w:rPr>
                <w:sz w:val="20"/>
                <w:szCs w:val="20"/>
                <w:color w:val="auto"/>
              </w:rPr>
            </w:pPr>
            <w:r>
              <w:rPr>
                <w:rFonts w:ascii="Arial" w:cs="Arial" w:eastAsia="Arial" w:hAnsi="Arial"/>
                <w:sz w:val="14"/>
                <w:szCs w:val="14"/>
                <w:color w:val="auto"/>
              </w:rPr>
              <w:t>Chicago, IL</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1993</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24,031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173,000</w:t>
            </w:r>
          </w:p>
        </w:tc>
        <w:tc>
          <w:tcPr>
            <w:tcW w:w="7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71%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Chicago, IL</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31,299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315,000</w:t>
            </w:r>
          </w:p>
        </w:tc>
        <w:tc>
          <w:tcPr>
            <w:tcW w:w="7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Bed, Bath &amp; Beyond / Buy Buy Baby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tcPr>
          <w:p>
            <w:pPr>
              <w:spacing w:after="0" w:line="149" w:lineRule="exact"/>
              <w:rPr>
                <w:sz w:val="20"/>
                <w:szCs w:val="20"/>
                <w:color w:val="auto"/>
              </w:rPr>
            </w:pPr>
            <w:r>
              <w:rPr>
                <w:rFonts w:ascii="Arial" w:cs="Arial" w:eastAsia="Arial" w:hAnsi="Arial"/>
                <w:sz w:val="14"/>
                <w:szCs w:val="14"/>
                <w:color w:val="auto"/>
              </w:rPr>
              <w:t>Garden Market</w:t>
            </w:r>
          </w:p>
        </w:tc>
        <w:tc>
          <w:tcPr>
            <w:tcW w:w="46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11,535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140,000</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63,000</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2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North Lake Commons</w:t>
            </w: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1994</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Total Chicago</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80,558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757,000</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440" w:type="dxa"/>
            <w:vAlign w:val="bottom"/>
            <w:gridSpan w:val="6"/>
          </w:tcPr>
          <w:p>
            <w:pPr>
              <w:spacing w:after="0" w:line="142" w:lineRule="exact"/>
              <w:rPr>
                <w:sz w:val="20"/>
                <w:szCs w:val="20"/>
                <w:color w:val="auto"/>
              </w:rPr>
            </w:pPr>
            <w:r>
              <w:rPr>
                <w:rFonts w:ascii="Arial" w:cs="Arial" w:eastAsia="Arial" w:hAnsi="Arial"/>
                <w:sz w:val="14"/>
                <w:szCs w:val="14"/>
                <w:color w:val="auto"/>
              </w:rPr>
              <w:t>Courtyard Shops</w:t>
            </w:r>
          </w:p>
        </w:tc>
        <w:tc>
          <w:tcPr>
            <w:tcW w:w="460" w:type="dxa"/>
            <w:vAlign w:val="bottom"/>
          </w:tcPr>
          <w:p>
            <w:pPr>
              <w:spacing w:after="0"/>
              <w:rPr>
                <w:sz w:val="12"/>
                <w:szCs w:val="12"/>
                <w:color w:val="auto"/>
              </w:rPr>
            </w:pPr>
          </w:p>
        </w:tc>
        <w:tc>
          <w:tcPr>
            <w:tcW w:w="2000" w:type="dxa"/>
            <w:vAlign w:val="bottom"/>
          </w:tcPr>
          <w:p>
            <w:pPr>
              <w:spacing w:after="0" w:line="142" w:lineRule="exact"/>
              <w:rPr>
                <w:sz w:val="20"/>
                <w:szCs w:val="20"/>
                <w:color w:val="auto"/>
              </w:rPr>
            </w:pPr>
            <w:r>
              <w:rPr>
                <w:rFonts w:ascii="Arial" w:cs="Arial" w:eastAsia="Arial" w:hAnsi="Arial"/>
                <w:sz w:val="14"/>
                <w:szCs w:val="14"/>
                <w:color w:val="auto"/>
              </w:rPr>
              <w:t>Miami-Ft Lauderdale</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38,829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7,679</w:t>
            </w: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130,000</w:t>
            </w:r>
          </w:p>
        </w:tc>
        <w:tc>
          <w:tcPr>
            <w:tcW w:w="7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49,000</w:t>
            </w:r>
          </w:p>
        </w:tc>
        <w:tc>
          <w:tcPr>
            <w:tcW w:w="10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Publix</w:t>
            </w: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Del Mar Village</w:t>
            </w: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Miami-Ft Lauderdale</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2008</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Winn Dixie</w:t>
            </w:r>
          </w:p>
        </w:tc>
        <w:tc>
          <w:tcPr>
            <w:tcW w:w="2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Total South Florida</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92,760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308,000</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Other</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440" w:type="dxa"/>
            <w:vAlign w:val="bottom"/>
            <w:gridSpan w:val="6"/>
          </w:tcPr>
          <w:p>
            <w:pPr>
              <w:spacing w:after="0" w:line="131" w:lineRule="exact"/>
              <w:rPr>
                <w:sz w:val="20"/>
                <w:szCs w:val="20"/>
                <w:color w:val="auto"/>
              </w:rPr>
            </w:pPr>
            <w:r>
              <w:rPr>
                <w:rFonts w:ascii="Arial" w:cs="Arial" w:eastAsia="Arial" w:hAnsi="Arial"/>
                <w:sz w:val="14"/>
                <w:szCs w:val="14"/>
                <w:color w:val="auto"/>
              </w:rPr>
              <w:t>Barracks Road</w:t>
            </w:r>
          </w:p>
        </w:tc>
        <w:tc>
          <w:tcPr>
            <w:tcW w:w="460" w:type="dxa"/>
            <w:vAlign w:val="bottom"/>
          </w:tcPr>
          <w:p>
            <w:pPr>
              <w:spacing w:after="0"/>
              <w:rPr>
                <w:sz w:val="11"/>
                <w:szCs w:val="11"/>
                <w:color w:val="auto"/>
              </w:rPr>
            </w:pPr>
          </w:p>
        </w:tc>
        <w:tc>
          <w:tcPr>
            <w:tcW w:w="2000" w:type="dxa"/>
            <w:vAlign w:val="bottom"/>
          </w:tcPr>
          <w:p>
            <w:pPr>
              <w:spacing w:after="0" w:line="131" w:lineRule="exact"/>
              <w:rPr>
                <w:sz w:val="20"/>
                <w:szCs w:val="20"/>
                <w:color w:val="auto"/>
              </w:rPr>
            </w:pPr>
            <w:r>
              <w:rPr>
                <w:rFonts w:ascii="Arial" w:cs="Arial" w:eastAsia="Arial" w:hAnsi="Arial"/>
                <w:sz w:val="14"/>
                <w:szCs w:val="14"/>
                <w:color w:val="auto"/>
              </w:rPr>
              <w:t>Charlottesville, VA</w:t>
            </w:r>
          </w:p>
        </w:tc>
        <w:tc>
          <w:tcPr>
            <w:tcW w:w="780" w:type="dxa"/>
            <w:vAlign w:val="bottom"/>
            <w:gridSpan w:val="3"/>
          </w:tcPr>
          <w:p>
            <w:pPr>
              <w:jc w:val="right"/>
              <w:ind w:right="80"/>
              <w:spacing w:after="0" w:line="131" w:lineRule="exact"/>
              <w:rPr>
                <w:sz w:val="20"/>
                <w:szCs w:val="20"/>
                <w:color w:val="auto"/>
              </w:rPr>
            </w:pPr>
            <w:r>
              <w:rPr>
                <w:rFonts w:ascii="Arial" w:cs="Arial" w:eastAsia="Arial" w:hAnsi="Arial"/>
                <w:sz w:val="14"/>
                <w:szCs w:val="14"/>
                <w:color w:val="auto"/>
              </w:rPr>
              <w:t>1985</w:t>
            </w:r>
          </w:p>
        </w:tc>
        <w:tc>
          <w:tcPr>
            <w:tcW w:w="8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45,237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41,191</w:t>
            </w:r>
          </w:p>
        </w:tc>
        <w:tc>
          <w:tcPr>
            <w:tcW w:w="6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488,000</w:t>
            </w:r>
          </w:p>
        </w:tc>
        <w:tc>
          <w:tcPr>
            <w:tcW w:w="740" w:type="dxa"/>
            <w:vAlign w:val="bottom"/>
            <w:gridSpan w:val="3"/>
          </w:tcPr>
          <w:p>
            <w:pPr>
              <w:jc w:val="right"/>
              <w:ind w:right="120"/>
              <w:spacing w:after="0" w:line="131"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99,000</w:t>
            </w:r>
          </w:p>
        </w:tc>
        <w:tc>
          <w:tcPr>
            <w:tcW w:w="100" w:type="dxa"/>
            <w:vAlign w:val="bottom"/>
          </w:tcPr>
          <w:p>
            <w:pPr>
              <w:spacing w:after="0"/>
              <w:rPr>
                <w:sz w:val="11"/>
                <w:szCs w:val="11"/>
                <w:color w:val="auto"/>
              </w:rPr>
            </w:pPr>
          </w:p>
        </w:tc>
        <w:tc>
          <w:tcPr>
            <w:tcW w:w="760" w:type="dxa"/>
            <w:vAlign w:val="bottom"/>
          </w:tcPr>
          <w:p>
            <w:pPr>
              <w:spacing w:after="0" w:line="131" w:lineRule="exact"/>
              <w:rPr>
                <w:sz w:val="20"/>
                <w:szCs w:val="20"/>
                <w:color w:val="auto"/>
              </w:rPr>
            </w:pPr>
            <w:r>
              <w:rPr>
                <w:rFonts w:ascii="Arial" w:cs="Arial" w:eastAsia="Arial" w:hAnsi="Arial"/>
                <w:sz w:val="14"/>
                <w:szCs w:val="14"/>
                <w:color w:val="auto"/>
                <w:w w:val="90"/>
              </w:rPr>
              <w:t>Harris Teeter</w:t>
            </w:r>
          </w:p>
        </w:tc>
        <w:tc>
          <w:tcPr>
            <w:tcW w:w="218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Bed, Bath &amp; Beyond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line="159" w:lineRule="exact"/>
              <w:rPr>
                <w:sz w:val="20"/>
                <w:szCs w:val="20"/>
                <w:color w:val="auto"/>
              </w:rPr>
            </w:pPr>
            <w:r>
              <w:rPr>
                <w:rFonts w:ascii="Arial" w:cs="Arial" w:eastAsia="Arial" w:hAnsi="Arial"/>
                <w:sz w:val="14"/>
                <w:szCs w:val="14"/>
                <w:color w:val="auto"/>
              </w:rPr>
              <w:t>/ Kroger</w:t>
            </w:r>
          </w:p>
        </w:tc>
        <w:tc>
          <w:tcPr>
            <w:tcW w:w="21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Noble / 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Bristol Plaza</w:t>
            </w: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Hartford, CT</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272,000</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Stop &amp; Shop</w:t>
            </w:r>
          </w:p>
        </w:tc>
        <w:tc>
          <w:tcPr>
            <w:tcW w:w="2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tcPr>
          <w:p>
            <w:pPr>
              <w:spacing w:after="0" w:line="138" w:lineRule="exact"/>
              <w:rPr>
                <w:sz w:val="20"/>
                <w:szCs w:val="20"/>
                <w:color w:val="auto"/>
              </w:rPr>
            </w:pPr>
            <w:r>
              <w:rPr>
                <w:rFonts w:ascii="Arial" w:cs="Arial" w:eastAsia="Arial" w:hAnsi="Arial"/>
                <w:sz w:val="14"/>
                <w:szCs w:val="14"/>
                <w:color w:val="auto"/>
              </w:rPr>
              <w:t>Eastgate</w:t>
            </w:r>
          </w:p>
        </w:tc>
        <w:tc>
          <w:tcPr>
            <w:tcW w:w="460" w:type="dxa"/>
            <w:vAlign w:val="bottom"/>
          </w:tcPr>
          <w:p>
            <w:pPr>
              <w:spacing w:after="0"/>
              <w:rPr>
                <w:sz w:val="11"/>
                <w:szCs w:val="11"/>
                <w:color w:val="auto"/>
              </w:rPr>
            </w:pPr>
          </w:p>
        </w:tc>
        <w:tc>
          <w:tcPr>
            <w:tcW w:w="2000" w:type="dxa"/>
            <w:vAlign w:val="bottom"/>
          </w:tcPr>
          <w:p>
            <w:pPr>
              <w:spacing w:after="0" w:line="138" w:lineRule="exact"/>
              <w:rPr>
                <w:sz w:val="20"/>
                <w:szCs w:val="20"/>
                <w:color w:val="auto"/>
              </w:rPr>
            </w:pPr>
            <w:r>
              <w:rPr>
                <w:rFonts w:ascii="Arial" w:cs="Arial" w:eastAsia="Arial" w:hAnsi="Arial"/>
                <w:sz w:val="14"/>
                <w:szCs w:val="14"/>
                <w:color w:val="auto"/>
              </w:rPr>
              <w:t>Raleigh-Durham-Chapel</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1986</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25,212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153,000</w:t>
            </w:r>
          </w:p>
        </w:tc>
        <w:tc>
          <w:tcPr>
            <w:tcW w:w="74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line="159" w:lineRule="exact"/>
              <w:rPr>
                <w:sz w:val="20"/>
                <w:szCs w:val="20"/>
                <w:color w:val="auto"/>
              </w:rPr>
            </w:pPr>
            <w:r>
              <w:rPr>
                <w:rFonts w:ascii="Arial" w:cs="Arial" w:eastAsia="Arial" w:hAnsi="Arial"/>
                <w:sz w:val="14"/>
                <w:szCs w:val="14"/>
                <w:color w:val="auto"/>
              </w:rPr>
              <w:t>Hill, NC</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46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Bed, Bath &amp; Beyond / Best Buy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Detroit, MI</w:t>
            </w:r>
          </w:p>
        </w:tc>
        <w:tc>
          <w:tcPr>
            <w:tcW w:w="7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1973</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18,675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217,000</w:t>
            </w:r>
          </w:p>
        </w:tc>
        <w:tc>
          <w:tcPr>
            <w:tcW w:w="74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69,000</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Kroger</w:t>
            </w:r>
          </w:p>
        </w:tc>
        <w:tc>
          <w:tcPr>
            <w:tcW w:w="21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40" w:type="dxa"/>
            <w:vAlign w:val="bottom"/>
            <w:gridSpan w:val="6"/>
          </w:tcPr>
          <w:p>
            <w:pPr>
              <w:spacing w:after="0" w:line="138" w:lineRule="exact"/>
              <w:rPr>
                <w:sz w:val="20"/>
                <w:szCs w:val="20"/>
                <w:color w:val="auto"/>
              </w:rPr>
            </w:pPr>
            <w:r>
              <w:rPr>
                <w:rFonts w:ascii="Arial" w:cs="Arial" w:eastAsia="Arial" w:hAnsi="Arial"/>
                <w:sz w:val="14"/>
                <w:szCs w:val="14"/>
                <w:color w:val="auto"/>
              </w:rPr>
              <w:t>Greenwich Avenue</w:t>
            </w:r>
          </w:p>
        </w:tc>
        <w:tc>
          <w:tcPr>
            <w:tcW w:w="460" w:type="dxa"/>
            <w:vAlign w:val="bottom"/>
          </w:tcPr>
          <w:p>
            <w:pPr>
              <w:spacing w:after="0"/>
              <w:rPr>
                <w:sz w:val="11"/>
                <w:szCs w:val="11"/>
                <w:color w:val="auto"/>
              </w:rPr>
            </w:pPr>
          </w:p>
        </w:tc>
        <w:tc>
          <w:tcPr>
            <w:tcW w:w="2000" w:type="dxa"/>
            <w:vAlign w:val="bottom"/>
          </w:tcPr>
          <w:p>
            <w:pPr>
              <w:spacing w:after="0" w:line="138" w:lineRule="exact"/>
              <w:rPr>
                <w:sz w:val="20"/>
                <w:szCs w:val="20"/>
                <w:color w:val="auto"/>
              </w:rPr>
            </w:pPr>
            <w:r>
              <w:rPr>
                <w:rFonts w:ascii="Arial" w:cs="Arial" w:eastAsia="Arial" w:hAnsi="Arial"/>
                <w:sz w:val="14"/>
                <w:szCs w:val="14"/>
                <w:color w:val="auto"/>
              </w:rPr>
              <w:t>New Haven-Bridgeport-</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1995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13,936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36,000</w:t>
            </w:r>
          </w:p>
        </w:tc>
        <w:tc>
          <w:tcPr>
            <w:tcW w:w="74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line="159" w:lineRule="exact"/>
              <w:rPr>
                <w:sz w:val="20"/>
                <w:szCs w:val="20"/>
                <w:color w:val="auto"/>
              </w:rPr>
            </w:pPr>
            <w:r>
              <w:rPr>
                <w:rFonts w:ascii="Arial" w:cs="Arial" w:eastAsia="Arial" w:hAnsi="Arial"/>
                <w:sz w:val="14"/>
                <w:szCs w:val="14"/>
                <w:color w:val="auto"/>
              </w:rPr>
              <w:t>Stamford-Waterbury</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Houston St</w:t>
            </w: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Antonio, TX</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1998</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68,957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182,000</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tcPr>
          <w:p>
            <w:pPr>
              <w:spacing w:after="0" w:line="149" w:lineRule="exact"/>
              <w:rPr>
                <w:sz w:val="20"/>
                <w:szCs w:val="20"/>
                <w:color w:val="auto"/>
              </w:rPr>
            </w:pPr>
            <w:r>
              <w:rPr>
                <w:rFonts w:ascii="Arial" w:cs="Arial" w:eastAsia="Arial" w:hAnsi="Arial"/>
                <w:sz w:val="14"/>
                <w:szCs w:val="14"/>
                <w:color w:val="auto"/>
              </w:rPr>
              <w:t>Lancaster</w:t>
            </w: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2000" w:type="dxa"/>
            <w:vAlign w:val="bottom"/>
          </w:tcPr>
          <w:p>
            <w:pPr>
              <w:spacing w:after="0" w:line="149" w:lineRule="exact"/>
              <w:rPr>
                <w:sz w:val="20"/>
                <w:szCs w:val="20"/>
                <w:color w:val="auto"/>
              </w:rPr>
            </w:pPr>
            <w:r>
              <w:rPr>
                <w:rFonts w:ascii="Arial" w:cs="Arial" w:eastAsia="Arial" w:hAnsi="Arial"/>
                <w:sz w:val="14"/>
                <w:szCs w:val="14"/>
                <w:color w:val="auto"/>
              </w:rPr>
              <w:t>Lancaster, PA</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4,907</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107,000</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39,000</w:t>
            </w:r>
          </w:p>
        </w:tc>
        <w:tc>
          <w:tcPr>
            <w:tcW w:w="10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2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Shoppers’ World</w:t>
            </w: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Charlottesville, VA</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2007</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29,541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169,000</w:t>
            </w: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Whole Foods</w:t>
            </w:r>
          </w:p>
        </w:tc>
        <w:tc>
          <w:tcPr>
            <w:tcW w:w="2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gridSpan w:val="6"/>
          </w:tcPr>
          <w:p>
            <w:pPr>
              <w:spacing w:after="0" w:line="149" w:lineRule="exact"/>
              <w:rPr>
                <w:sz w:val="20"/>
                <w:szCs w:val="20"/>
                <w:color w:val="auto"/>
              </w:rPr>
            </w:pPr>
            <w:r>
              <w:rPr>
                <w:rFonts w:ascii="Arial" w:cs="Arial" w:eastAsia="Arial" w:hAnsi="Arial"/>
                <w:sz w:val="14"/>
                <w:szCs w:val="14"/>
                <w:color w:val="auto"/>
              </w:rPr>
              <w:t>Shops at Willow Lawn</w:t>
            </w:r>
          </w:p>
        </w:tc>
        <w:tc>
          <w:tcPr>
            <w:tcW w:w="460" w:type="dxa"/>
            <w:vAlign w:val="bottom"/>
          </w:tcPr>
          <w:p>
            <w:pPr>
              <w:spacing w:after="0"/>
              <w:rPr>
                <w:sz w:val="13"/>
                <w:szCs w:val="13"/>
                <w:color w:val="auto"/>
              </w:rPr>
            </w:pPr>
          </w:p>
        </w:tc>
        <w:tc>
          <w:tcPr>
            <w:tcW w:w="2000" w:type="dxa"/>
            <w:vAlign w:val="bottom"/>
          </w:tcPr>
          <w:p>
            <w:pPr>
              <w:spacing w:after="0" w:line="149" w:lineRule="exact"/>
              <w:rPr>
                <w:sz w:val="20"/>
                <w:szCs w:val="20"/>
                <w:color w:val="auto"/>
              </w:rPr>
            </w:pPr>
            <w:r>
              <w:rPr>
                <w:rFonts w:ascii="Arial" w:cs="Arial" w:eastAsia="Arial" w:hAnsi="Arial"/>
                <w:sz w:val="14"/>
                <w:szCs w:val="14"/>
                <w:color w:val="auto"/>
              </w:rPr>
              <w:t>Richmond-Petersburg, VA</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1983</w:t>
            </w:r>
          </w:p>
        </w:tc>
        <w:tc>
          <w:tcPr>
            <w:tcW w:w="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75,991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476,000</w:t>
            </w: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00" w:type="dxa"/>
            <w:vAlign w:val="bottom"/>
          </w:tcPr>
          <w:p>
            <w:pPr>
              <w:spacing w:after="0"/>
              <w:rPr>
                <w:sz w:val="13"/>
                <w:szCs w:val="13"/>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Kroger</w:t>
            </w:r>
          </w:p>
        </w:tc>
        <w:tc>
          <w:tcPr>
            <w:tcW w:w="2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315,771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2,100,000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Grand Total</w:t>
            </w: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   3,693,544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446,770</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18,142,000</w:t>
            </w:r>
          </w:p>
        </w:tc>
        <w:tc>
          <w:tcPr>
            <w:tcW w:w="74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94%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w w:val="86"/>
              </w:rPr>
              <w:t>Straight-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Basis %</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Comparable</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Annual</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Increase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Leases</w:t>
            </w: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Leases</w:t>
            </w:r>
          </w:p>
        </w:tc>
        <w:tc>
          <w:tcPr>
            <w:tcW w:w="24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1"/>
              </w:rPr>
              <w:t>GLA</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Rent (3)</w:t>
            </w: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48"/>
        </w:trPr>
        <w:tc>
          <w:tcPr>
            <w:tcW w:w="1500" w:type="dxa"/>
            <w:vAlign w:val="bottom"/>
            <w:gridSpan w:val="3"/>
            <w:vMerge w:val="continue"/>
          </w:tcPr>
          <w:p>
            <w:pPr>
              <w:spacing w:after="0"/>
              <w:rPr>
                <w:sz w:val="12"/>
                <w:szCs w:val="12"/>
                <w:color w:val="auto"/>
              </w:rPr>
            </w:pPr>
          </w:p>
        </w:tc>
        <w:tc>
          <w:tcPr>
            <w:tcW w:w="680" w:type="dxa"/>
            <w:vAlign w:val="bottom"/>
            <w:gridSpan w:val="4"/>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Signed</w:t>
            </w:r>
          </w:p>
        </w:tc>
        <w:tc>
          <w:tcPr>
            <w:tcW w:w="1060" w:type="dxa"/>
            <w:vAlign w:val="bottom"/>
            <w:gridSpan w:val="4"/>
          </w:tcPr>
          <w:p>
            <w:pPr>
              <w:jc w:val="center"/>
              <w:ind w:right="320"/>
              <w:spacing w:after="0" w:line="148" w:lineRule="exact"/>
              <w:rPr>
                <w:sz w:val="20"/>
                <w:szCs w:val="20"/>
                <w:color w:val="auto"/>
              </w:rPr>
            </w:pPr>
            <w:r>
              <w:rPr>
                <w:rFonts w:ascii="Arial" w:cs="Arial" w:eastAsia="Arial" w:hAnsi="Arial"/>
                <w:sz w:val="14"/>
                <w:szCs w:val="14"/>
                <w:b w:val="1"/>
                <w:bCs w:val="1"/>
                <w:color w:val="auto"/>
                <w:w w:val="81"/>
              </w:rPr>
              <w:t>Signed</w:t>
            </w:r>
          </w:p>
        </w:tc>
        <w:tc>
          <w:tcPr>
            <w:tcW w:w="96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rPr>
              <w:t>Signed</w:t>
            </w: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Per Sq. Ft.</w:t>
            </w:r>
          </w:p>
        </w:tc>
        <w:tc>
          <w:tcPr>
            <w:tcW w:w="5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8"/>
              </w:rPr>
              <w:t>in Rent</w:t>
            </w:r>
          </w:p>
        </w:tc>
        <w:tc>
          <w:tcPr>
            <w:tcW w:w="9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8"/>
              </w:rPr>
              <w:t>Prior Rent</w:t>
            </w:r>
          </w:p>
        </w:tc>
        <w:tc>
          <w:tcPr>
            <w:tcW w:w="8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Rent</w:t>
            </w:r>
          </w:p>
        </w:tc>
        <w:tc>
          <w:tcPr>
            <w:tcW w:w="170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w w:val="95"/>
              </w:rPr>
              <w:t>Term (5)    &amp; Incentives (6)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232,105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$26.99</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$1,029,234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2,413,756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4th Quarter 2008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329,622</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21.62</w:t>
            </w:r>
          </w:p>
        </w:tc>
        <w:tc>
          <w:tcPr>
            <w:tcW w:w="2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3"/>
              </w:rPr>
              <w:t>$19.18</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803,054</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1,733,441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351,310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$20.28</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$1,669,056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2,728,958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2nd Quarter 2008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239,207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36.39</w:t>
            </w:r>
          </w:p>
        </w:tc>
        <w:tc>
          <w:tcPr>
            <w:tcW w:w="2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29.21</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1,717,881</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2,316,197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1,152,244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23.17</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5,219,225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9,192,352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gridSpan w:val="11"/>
          </w:tcPr>
          <w:p>
            <w:pPr>
              <w:spacing w:after="0"/>
              <w:rPr>
                <w:sz w:val="20"/>
                <w:szCs w:val="20"/>
                <w:color w:val="auto"/>
              </w:rPr>
            </w:pPr>
            <w:r>
              <w:rPr>
                <w:rFonts w:ascii="Arial" w:cs="Arial" w:eastAsia="Arial" w:hAnsi="Arial"/>
                <w:sz w:val="18"/>
                <w:szCs w:val="18"/>
                <w:b w:val="1"/>
                <w:bCs w:val="1"/>
                <w:color w:val="auto"/>
                <w:w w:val="98"/>
              </w:rPr>
              <w:t>New Lease Summary - Comparable (2)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Basis %</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c>
          <w:tcPr>
            <w:tcW w:w="18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Annual</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2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Rent (3)</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48"/>
        </w:trPr>
        <w:tc>
          <w:tcPr>
            <w:tcW w:w="1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81"/>
              </w:rPr>
              <w:t>Signed</w:t>
            </w:r>
          </w:p>
        </w:tc>
        <w:tc>
          <w:tcPr>
            <w:tcW w:w="180" w:type="dxa"/>
            <w:vAlign w:val="bottom"/>
          </w:tcPr>
          <w:p>
            <w:pPr>
              <w:spacing w:after="0"/>
              <w:rPr>
                <w:sz w:val="12"/>
                <w:szCs w:val="12"/>
                <w:color w:val="auto"/>
              </w:rPr>
            </w:pPr>
          </w:p>
        </w:tc>
        <w:tc>
          <w:tcPr>
            <w:tcW w:w="88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Signed</w:t>
            </w:r>
          </w:p>
        </w:tc>
        <w:tc>
          <w:tcPr>
            <w:tcW w:w="240" w:type="dxa"/>
            <w:vAlign w:val="bottom"/>
          </w:tcPr>
          <w:p>
            <w:pPr>
              <w:spacing w:after="0"/>
              <w:rPr>
                <w:sz w:val="12"/>
                <w:szCs w:val="12"/>
                <w:color w:val="auto"/>
              </w:rPr>
            </w:pPr>
          </w:p>
        </w:tc>
        <w:tc>
          <w:tcPr>
            <w:tcW w:w="7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Signed</w:t>
            </w:r>
          </w:p>
        </w:tc>
        <w:tc>
          <w:tcPr>
            <w:tcW w:w="92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Per Sq. Ft.</w:t>
            </w:r>
          </w:p>
        </w:tc>
        <w:tc>
          <w:tcPr>
            <w:tcW w:w="5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8"/>
              </w:rPr>
              <w:t>in Rent</w:t>
            </w: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Prior Rent</w:t>
            </w:r>
          </w:p>
        </w:tc>
        <w:tc>
          <w:tcPr>
            <w:tcW w:w="8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Rent</w:t>
            </w:r>
          </w:p>
        </w:tc>
        <w:tc>
          <w:tcPr>
            <w:tcW w:w="170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w w:val="95"/>
              </w:rPr>
              <w:t>Term (5)    &amp; Incentives (6)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73,535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$32.28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2,398,456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4th Quarter 2008</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67,903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28.76</w:t>
            </w:r>
          </w:p>
        </w:tc>
        <w:tc>
          <w:tcPr>
            <w:tcW w:w="260" w:type="dxa"/>
            <w:vAlign w:val="bottom"/>
          </w:tcPr>
          <w:p>
            <w:pPr>
              <w:spacing w:after="0"/>
              <w:rPr>
                <w:sz w:val="18"/>
                <w:szCs w:val="18"/>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$24.20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309,272</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1,583,441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93,768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$29.76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$1,257,073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2,224,958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2nd Quarter 2008</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115,097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34.23</w:t>
            </w:r>
          </w:p>
        </w:tc>
        <w:tc>
          <w:tcPr>
            <w:tcW w:w="260" w:type="dxa"/>
            <w:vAlign w:val="bottom"/>
          </w:tcPr>
          <w:p>
            <w:pPr>
              <w:spacing w:after="0"/>
              <w:rPr>
                <w:sz w:val="18"/>
                <w:szCs w:val="18"/>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894,253</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1,770,940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350,303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28.13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2,480,228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7,977,795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gridSpan w:val="4"/>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gridSpan w:val="14"/>
          </w:tcPr>
          <w:p>
            <w:pPr>
              <w:spacing w:after="0"/>
              <w:rPr>
                <w:sz w:val="20"/>
                <w:szCs w:val="20"/>
                <w:color w:val="auto"/>
              </w:rPr>
            </w:pPr>
            <w:r>
              <w:rPr>
                <w:rFonts w:ascii="Arial" w:cs="Arial" w:eastAsia="Arial" w:hAnsi="Arial"/>
                <w:sz w:val="18"/>
                <w:szCs w:val="18"/>
                <w:b w:val="1"/>
                <w:bCs w:val="1"/>
                <w:color w:val="auto"/>
              </w:rPr>
              <w:t>Renewal Lease Summary - Comparable (2) (7)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Basis %</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c>
          <w:tcPr>
            <w:tcW w:w="18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Annual</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79"/>
              </w:rPr>
              <w:t>Leases</w:t>
            </w:r>
          </w:p>
        </w:tc>
        <w:tc>
          <w:tcPr>
            <w:tcW w:w="2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Rent (3)</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Signed</w:t>
            </w:r>
          </w:p>
        </w:tc>
        <w:tc>
          <w:tcPr>
            <w:tcW w:w="1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Signed</w:t>
            </w:r>
          </w:p>
        </w:tc>
        <w:tc>
          <w:tcPr>
            <w:tcW w:w="2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Signed</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 Rent</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Prior Rent</w:t>
            </w: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Term (5)    &amp; Incentives (6)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158,570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$24.53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$1,009,604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4th Quarter 2008</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80%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261,719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18"/>
                <w:szCs w:val="18"/>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$17.88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493,783</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257,542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$16.83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411,984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2nd Quarter 2008</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124,110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38.40</w:t>
            </w:r>
          </w:p>
        </w:tc>
        <w:tc>
          <w:tcPr>
            <w:tcW w:w="260" w:type="dxa"/>
            <w:vAlign w:val="bottom"/>
          </w:tcPr>
          <w:p>
            <w:pPr>
              <w:spacing w:after="0"/>
              <w:rPr>
                <w:sz w:val="18"/>
                <w:szCs w:val="18"/>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823,628</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545,257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801,941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2,738,999</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1,214,557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and Non-comparable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2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3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32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3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Leases Signed</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GLA Signed</w:t>
            </w:r>
          </w:p>
        </w:tc>
        <w:tc>
          <w:tcPr>
            <w:tcW w:w="3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4"/>
              </w:rPr>
              <w:t>Lease Term (5)</w:t>
            </w:r>
          </w:p>
        </w:tc>
        <w:tc>
          <w:tcPr>
            <w:tcW w:w="3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&amp; Incentives (6)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 Quarter 2009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2,430,940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4th Quarter 2008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720" w:type="dxa"/>
            <w:vAlign w:val="bottom"/>
          </w:tcPr>
          <w:p>
            <w:pPr>
              <w:jc w:val="right"/>
              <w:spacing w:after="0"/>
              <w:rPr>
                <w:sz w:val="20"/>
                <w:szCs w:val="20"/>
                <w:color w:val="auto"/>
              </w:rPr>
            </w:pPr>
            <w:r>
              <w:rPr>
                <w:rFonts w:ascii="Arial" w:cs="Arial" w:eastAsia="Arial" w:hAnsi="Arial"/>
                <w:sz w:val="18"/>
                <w:szCs w:val="18"/>
                <w:color w:val="auto"/>
              </w:rPr>
              <w:t>334,127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1,898,706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369,323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3,721,035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2nd Quarter 2008</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253,048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2,940,855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1,189,670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10,991,536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Anchor SF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PSF (2)</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Expiring SF</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12.36</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858,000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29.09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1,505,000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1,135,000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2,004,000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12.90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1,083,000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31.14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2,111,000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1,019,000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2,073,000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1,349,000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15.55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640,000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32.24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1,989,000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1,011,000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424,000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31.35</w:t>
            </w:r>
          </w:p>
        </w:tc>
        <w:tc>
          <w:tcPr>
            <w:tcW w:w="780" w:type="dxa"/>
            <w:vAlign w:val="bottom"/>
          </w:tcPr>
          <w:p>
            <w:pPr>
              <w:jc w:val="right"/>
              <w:spacing w:after="0"/>
              <w:rPr>
                <w:sz w:val="20"/>
                <w:szCs w:val="20"/>
                <w:color w:val="auto"/>
              </w:rPr>
            </w:pPr>
            <w:r>
              <w:rPr>
                <w:rFonts w:ascii="Arial" w:cs="Arial" w:eastAsia="Arial" w:hAnsi="Arial"/>
                <w:sz w:val="18"/>
                <w:szCs w:val="18"/>
                <w:color w:val="auto"/>
              </w:rPr>
              <w:t>808,000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421,000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1,044,000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304,000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34.87</w:t>
            </w:r>
          </w:p>
        </w:tc>
        <w:tc>
          <w:tcPr>
            <w:tcW w:w="780" w:type="dxa"/>
            <w:vAlign w:val="bottom"/>
          </w:tcPr>
          <w:p>
            <w:pPr>
              <w:jc w:val="right"/>
              <w:spacing w:after="0"/>
              <w:rPr>
                <w:sz w:val="20"/>
                <w:szCs w:val="20"/>
                <w:color w:val="auto"/>
              </w:rPr>
            </w:pPr>
            <w:r>
              <w:rPr>
                <w:rFonts w:ascii="Arial" w:cs="Arial" w:eastAsia="Arial" w:hAnsi="Arial"/>
                <w:sz w:val="18"/>
                <w:szCs w:val="18"/>
                <w:color w:val="auto"/>
              </w:rPr>
              <w:t>944,000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2,258,000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2,646,000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9,628,000</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14.99</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7,355,000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30.90</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16,983,000</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120" w:type="dxa"/>
            <w:vAlign w:val="bottom"/>
            <w:gridSpan w:val="5"/>
          </w:tcPr>
          <w:p>
            <w:pPr>
              <w:spacing w:after="0"/>
              <w:rPr>
                <w:sz w:val="20"/>
                <w:szCs w:val="20"/>
                <w:color w:val="auto"/>
              </w:rPr>
            </w:pPr>
            <w:r>
              <w:rPr>
                <w:rFonts w:ascii="Arial" w:cs="Arial" w:eastAsia="Arial" w:hAnsi="Arial"/>
                <w:sz w:val="18"/>
                <w:szCs w:val="18"/>
                <w:b w:val="1"/>
                <w:bCs w:val="1"/>
                <w:color w:val="auto"/>
                <w:w w:val="89"/>
              </w:rPr>
              <w:t>Assumes all lease options are exercised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Anchor SF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PSF (2)</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Expiring SF</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11.42</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511,000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30.51</w:t>
            </w:r>
          </w:p>
        </w:tc>
        <w:tc>
          <w:tcPr>
            <w:tcW w:w="780" w:type="dxa"/>
            <w:vAlign w:val="bottom"/>
          </w:tcPr>
          <w:p>
            <w:pPr>
              <w:jc w:val="right"/>
              <w:spacing w:after="0"/>
              <w:rPr>
                <w:sz w:val="20"/>
                <w:szCs w:val="20"/>
                <w:color w:val="auto"/>
              </w:rPr>
            </w:pPr>
            <w:r>
              <w:rPr>
                <w:rFonts w:ascii="Arial" w:cs="Arial" w:eastAsia="Arial" w:hAnsi="Arial"/>
                <w:sz w:val="18"/>
                <w:szCs w:val="18"/>
                <w:color w:val="auto"/>
              </w:rPr>
              <w:t>677,000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655,000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625,000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32.27</w:t>
            </w:r>
          </w:p>
        </w:tc>
        <w:tc>
          <w:tcPr>
            <w:tcW w:w="780" w:type="dxa"/>
            <w:vAlign w:val="bottom"/>
          </w:tcPr>
          <w:p>
            <w:pPr>
              <w:jc w:val="right"/>
              <w:spacing w:after="0"/>
              <w:rPr>
                <w:sz w:val="20"/>
                <w:szCs w:val="20"/>
                <w:color w:val="auto"/>
              </w:rPr>
            </w:pPr>
            <w:r>
              <w:rPr>
                <w:rFonts w:ascii="Arial" w:cs="Arial" w:eastAsia="Arial" w:hAnsi="Arial"/>
                <w:sz w:val="18"/>
                <w:szCs w:val="18"/>
                <w:color w:val="auto"/>
              </w:rPr>
              <w:t>893,000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510,000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33.06</w:t>
            </w:r>
          </w:p>
        </w:tc>
        <w:tc>
          <w:tcPr>
            <w:tcW w:w="780" w:type="dxa"/>
            <w:vAlign w:val="bottom"/>
          </w:tcPr>
          <w:p>
            <w:pPr>
              <w:jc w:val="right"/>
              <w:spacing w:after="0"/>
              <w:rPr>
                <w:sz w:val="20"/>
                <w:szCs w:val="20"/>
                <w:color w:val="auto"/>
              </w:rPr>
            </w:pPr>
            <w:r>
              <w:rPr>
                <w:rFonts w:ascii="Arial" w:cs="Arial" w:eastAsia="Arial" w:hAnsi="Arial"/>
                <w:sz w:val="18"/>
                <w:szCs w:val="18"/>
                <w:color w:val="auto"/>
              </w:rPr>
              <w:t>759,000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421,000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20.84</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413,000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32.31</w:t>
            </w:r>
          </w:p>
        </w:tc>
        <w:tc>
          <w:tcPr>
            <w:tcW w:w="780" w:type="dxa"/>
            <w:vAlign w:val="bottom"/>
          </w:tcPr>
          <w:p>
            <w:pPr>
              <w:jc w:val="right"/>
              <w:spacing w:after="0"/>
              <w:rPr>
                <w:sz w:val="20"/>
                <w:szCs w:val="20"/>
                <w:color w:val="auto"/>
              </w:rPr>
            </w:pPr>
            <w:r>
              <w:rPr>
                <w:rFonts w:ascii="Arial" w:cs="Arial" w:eastAsia="Arial" w:hAnsi="Arial"/>
                <w:sz w:val="18"/>
                <w:szCs w:val="18"/>
                <w:color w:val="auto"/>
              </w:rPr>
              <w:t>538,000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458,000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35.59</w:t>
            </w:r>
          </w:p>
        </w:tc>
        <w:tc>
          <w:tcPr>
            <w:tcW w:w="780" w:type="dxa"/>
            <w:vAlign w:val="bottom"/>
          </w:tcPr>
          <w:p>
            <w:pPr>
              <w:jc w:val="right"/>
              <w:spacing w:after="0"/>
              <w:rPr>
                <w:sz w:val="20"/>
                <w:szCs w:val="20"/>
                <w:color w:val="auto"/>
              </w:rPr>
            </w:pPr>
            <w:r>
              <w:rPr>
                <w:rFonts w:ascii="Arial" w:cs="Arial" w:eastAsia="Arial" w:hAnsi="Arial"/>
                <w:sz w:val="18"/>
                <w:szCs w:val="18"/>
                <w:color w:val="auto"/>
              </w:rPr>
              <w:t>788,000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7,687,000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2,351,000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10,038,000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9,628,000</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14.99</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7,355,000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30.90</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16,983,000</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March 31,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occupied square footage as of March 31,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At March 31, 2009</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At March 31, 2008</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4"/>
            <w:vMerge w:val="continue"/>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18,142,000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17,098,000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18,197,000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17,480,000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850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94.1%</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412"/>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4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rPr>
              <w:t>At March 31, 2009</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rPr>
              <w:t>At March 31, 2008</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4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gridSpan w:val="4"/>
            <w:vMerge w:val="continue"/>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16,974,000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16,036,000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17,244,000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16,618,000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676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93.5%</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693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portfolio and Same Center statistics at March 31, 2009 and 2008 include Rollingwood, The Crest at Congressional and the residential rental units at Santana Row. Overall portfolio statistics as of March 31, 2009, include the 180 residential units at Arlington East (Bethesda Row) which were first delivered in May 2008 and continued to be delivered through 2008.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Percentage of</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Tenant Name</w:t>
            </w:r>
          </w:p>
        </w:tc>
        <w:tc>
          <w:tcPr>
            <w:tcW w:w="260" w:type="dxa"/>
            <w:vAlign w:val="bottom"/>
          </w:tcPr>
          <w:p>
            <w:pPr>
              <w:spacing w:after="0"/>
              <w:rPr>
                <w:sz w:val="12"/>
                <w:szCs w:val="12"/>
                <w:color w:val="auto"/>
              </w:rPr>
            </w:pPr>
          </w:p>
        </w:tc>
        <w:tc>
          <w:tcPr>
            <w:tcW w:w="15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Annualized Base</w:t>
            </w: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240" w:type="dxa"/>
            <w:vAlign w:val="bottom"/>
          </w:tcPr>
          <w:p>
            <w:pPr>
              <w:spacing w:after="0"/>
              <w:rPr>
                <w:sz w:val="14"/>
                <w:szCs w:val="14"/>
                <w:color w:val="auto"/>
              </w:rPr>
            </w:pPr>
          </w:p>
        </w:tc>
        <w:tc>
          <w:tcPr>
            <w:tcW w:w="4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Rent</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Base Rent</w:t>
            </w: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Tenant GLA</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Bed, Bath &amp; Beyond,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Ahold USA,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8,369,000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840" w:type="dxa"/>
            <w:vAlign w:val="bottom"/>
          </w:tcPr>
          <w:p>
            <w:pPr>
              <w:jc w:val="right"/>
              <w:spacing w:after="0"/>
              <w:rPr>
                <w:sz w:val="20"/>
                <w:szCs w:val="20"/>
                <w:color w:val="auto"/>
              </w:rPr>
            </w:pPr>
            <w:r>
              <w:rPr>
                <w:rFonts w:ascii="Arial" w:cs="Arial" w:eastAsia="Arial" w:hAnsi="Arial"/>
                <w:sz w:val="18"/>
                <w:szCs w:val="18"/>
                <w:color w:val="auto"/>
              </w:rPr>
              <w:t>571,000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TJX Companies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Safeway,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6,719,000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840" w:type="dxa"/>
            <w:vAlign w:val="bottom"/>
          </w:tcPr>
          <w:p>
            <w:pPr>
              <w:jc w:val="right"/>
              <w:spacing w:after="0"/>
              <w:rPr>
                <w:sz w:val="20"/>
                <w:szCs w:val="20"/>
                <w:color w:val="auto"/>
              </w:rPr>
            </w:pPr>
            <w:r>
              <w:rPr>
                <w:rFonts w:ascii="Arial" w:cs="Arial" w:eastAsia="Arial" w:hAnsi="Arial"/>
                <w:sz w:val="18"/>
                <w:szCs w:val="18"/>
                <w:color w:val="auto"/>
              </w:rPr>
              <w:t>481,000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Gap,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CVS Corporation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6,219,000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840" w:type="dxa"/>
            <w:vAlign w:val="bottom"/>
          </w:tcPr>
          <w:p>
            <w:pPr>
              <w:jc w:val="right"/>
              <w:spacing w:after="0"/>
              <w:rPr>
                <w:sz w:val="20"/>
                <w:szCs w:val="20"/>
                <w:color w:val="auto"/>
              </w:rPr>
            </w:pPr>
            <w:r>
              <w:rPr>
                <w:rFonts w:ascii="Arial" w:cs="Arial" w:eastAsia="Arial" w:hAnsi="Arial"/>
                <w:sz w:val="18"/>
                <w:szCs w:val="18"/>
                <w:color w:val="auto"/>
              </w:rPr>
              <w:t>205,000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Barnes &amp; Noble,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OPNET Technologies,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3,729,000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40" w:type="dxa"/>
            <w:vAlign w:val="bottom"/>
          </w:tcPr>
          <w:p>
            <w:pPr>
              <w:jc w:val="right"/>
              <w:spacing w:after="0"/>
              <w:rPr>
                <w:sz w:val="20"/>
                <w:szCs w:val="20"/>
                <w:color w:val="auto"/>
              </w:rPr>
            </w:pPr>
            <w:r>
              <w:rPr>
                <w:rFonts w:ascii="Arial" w:cs="Arial" w:eastAsia="Arial" w:hAnsi="Arial"/>
                <w:sz w:val="18"/>
                <w:szCs w:val="18"/>
                <w:color w:val="auto"/>
              </w:rPr>
              <w:t>83,000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0.46%</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Best Buy Stores, L.P.</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Staples,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3,441,000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0.93%</w:t>
            </w:r>
          </w:p>
        </w:tc>
        <w:tc>
          <w:tcPr>
            <w:tcW w:w="840" w:type="dxa"/>
            <w:vAlign w:val="bottom"/>
          </w:tcPr>
          <w:p>
            <w:pPr>
              <w:jc w:val="right"/>
              <w:spacing w:after="0"/>
              <w:rPr>
                <w:sz w:val="20"/>
                <w:szCs w:val="20"/>
                <w:color w:val="auto"/>
              </w:rPr>
            </w:pPr>
            <w:r>
              <w:rPr>
                <w:rFonts w:ascii="Arial" w:cs="Arial" w:eastAsia="Arial" w:hAnsi="Arial"/>
                <w:sz w:val="18"/>
                <w:szCs w:val="18"/>
                <w:color w:val="auto"/>
              </w:rPr>
              <w:t>187,000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DSW,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Supervalu Inc.(Acme/Sav-A-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3,227,000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0.87%</w:t>
            </w:r>
          </w:p>
        </w:tc>
        <w:tc>
          <w:tcPr>
            <w:tcW w:w="840" w:type="dxa"/>
            <w:vAlign w:val="bottom"/>
          </w:tcPr>
          <w:p>
            <w:pPr>
              <w:jc w:val="right"/>
              <w:spacing w:after="0"/>
              <w:rPr>
                <w:sz w:val="20"/>
                <w:szCs w:val="20"/>
                <w:color w:val="auto"/>
              </w:rPr>
            </w:pPr>
            <w:r>
              <w:rPr>
                <w:rFonts w:ascii="Arial" w:cs="Arial" w:eastAsia="Arial" w:hAnsi="Arial"/>
                <w:sz w:val="18"/>
                <w:szCs w:val="18"/>
                <w:color w:val="auto"/>
              </w:rPr>
              <w:t>338,000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Lot/Star Mkt/Shoppers Food)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(includes Wachovia Corporation)</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L.A. Fitness International LLC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3,061,000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840" w:type="dxa"/>
            <w:vAlign w:val="bottom"/>
          </w:tcPr>
          <w:p>
            <w:pPr>
              <w:jc w:val="right"/>
              <w:spacing w:after="0"/>
              <w:rPr>
                <w:sz w:val="20"/>
                <w:szCs w:val="20"/>
                <w:color w:val="auto"/>
              </w:rPr>
            </w:pPr>
            <w:r>
              <w:rPr>
                <w:rFonts w:ascii="Arial" w:cs="Arial" w:eastAsia="Arial" w:hAnsi="Arial"/>
                <w:sz w:val="18"/>
                <w:szCs w:val="18"/>
                <w:color w:val="auto"/>
              </w:rPr>
              <w:t>178,000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Home Depot,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Ross Stores,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2,810,000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0.76%</w:t>
            </w:r>
          </w:p>
        </w:tc>
        <w:tc>
          <w:tcPr>
            <w:tcW w:w="840" w:type="dxa"/>
            <w:vAlign w:val="bottom"/>
          </w:tcPr>
          <w:p>
            <w:pPr>
              <w:jc w:val="right"/>
              <w:spacing w:after="0"/>
              <w:rPr>
                <w:sz w:val="20"/>
                <w:szCs w:val="20"/>
                <w:color w:val="auto"/>
              </w:rPr>
            </w:pPr>
            <w:r>
              <w:rPr>
                <w:rFonts w:ascii="Arial" w:cs="Arial" w:eastAsia="Arial" w:hAnsi="Arial"/>
                <w:sz w:val="18"/>
                <w:szCs w:val="18"/>
                <w:color w:val="auto"/>
              </w:rPr>
              <w:t>149,000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Kohl’s Corporation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Wakefern Food Corporation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2,693,000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840" w:type="dxa"/>
            <w:vAlign w:val="bottom"/>
          </w:tcPr>
          <w:p>
            <w:pPr>
              <w:jc w:val="right"/>
              <w:spacing w:after="0"/>
              <w:rPr>
                <w:sz w:val="20"/>
                <w:szCs w:val="20"/>
                <w:color w:val="auto"/>
              </w:rPr>
            </w:pPr>
            <w:r>
              <w:rPr>
                <w:rFonts w:ascii="Arial" w:cs="Arial" w:eastAsia="Arial" w:hAnsi="Arial"/>
                <w:sz w:val="18"/>
                <w:szCs w:val="18"/>
                <w:color w:val="auto"/>
              </w:rPr>
              <w:t>136,000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Borders Group,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Bank of America, N.A.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2,614,000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840" w:type="dxa"/>
            <w:vAlign w:val="bottom"/>
          </w:tcPr>
          <w:p>
            <w:pPr>
              <w:jc w:val="right"/>
              <w:spacing w:after="0"/>
              <w:rPr>
                <w:sz w:val="20"/>
                <w:szCs w:val="20"/>
                <w:color w:val="auto"/>
              </w:rPr>
            </w:pPr>
            <w:r>
              <w:rPr>
                <w:rFonts w:ascii="Arial" w:cs="Arial" w:eastAsia="Arial" w:hAnsi="Arial"/>
                <w:sz w:val="18"/>
                <w:szCs w:val="18"/>
                <w:color w:val="auto"/>
              </w:rPr>
              <w:t>64,000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Great Atlantic &amp; Pacific Tea Co</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Container Store,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2,496,000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840" w:type="dxa"/>
            <w:vAlign w:val="bottom"/>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 Moore, Inc.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AMC Entertainment Inc.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2,378,000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0.64%</w:t>
            </w:r>
          </w:p>
        </w:tc>
        <w:tc>
          <w:tcPr>
            <w:tcW w:w="840" w:type="dxa"/>
            <w:vAlign w:val="bottom"/>
          </w:tcPr>
          <w:p>
            <w:pPr>
              <w:jc w:val="right"/>
              <w:spacing w:after="0"/>
              <w:rPr>
                <w:sz w:val="20"/>
                <w:szCs w:val="20"/>
                <w:color w:val="auto"/>
              </w:rPr>
            </w:pPr>
            <w:r>
              <w:rPr>
                <w:rFonts w:ascii="Arial" w:cs="Arial" w:eastAsia="Arial" w:hAnsi="Arial"/>
                <w:sz w:val="18"/>
                <w:szCs w:val="18"/>
                <w:color w:val="auto"/>
              </w:rPr>
              <w:t>166,000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Dollar Tree Stores, Inc.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vMerge w:val="restart"/>
          </w:tcPr>
          <w:p>
            <w:pPr>
              <w:spacing w:after="0"/>
              <w:rPr>
                <w:sz w:val="20"/>
                <w:szCs w:val="20"/>
                <w:color w:val="auto"/>
              </w:rPr>
            </w:pPr>
            <w:r>
              <w:rPr>
                <w:rFonts w:ascii="Arial" w:cs="Arial" w:eastAsia="Arial" w:hAnsi="Arial"/>
                <w:sz w:val="18"/>
                <w:szCs w:val="18"/>
                <w:color w:val="auto"/>
              </w:rPr>
              <w:t>Totals - Top 25 Tenants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101,278,000</w:t>
            </w:r>
          </w:p>
        </w:tc>
        <w:tc>
          <w:tcPr>
            <w:tcW w:w="5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27.23%</w:t>
            </w:r>
          </w:p>
        </w:tc>
        <w:tc>
          <w:tcPr>
            <w:tcW w:w="840" w:type="dxa"/>
            <w:vAlign w:val="bottom"/>
          </w:tcPr>
          <w:p>
            <w:pPr>
              <w:jc w:val="right"/>
              <w:spacing w:after="0"/>
              <w:rPr>
                <w:sz w:val="20"/>
                <w:szCs w:val="20"/>
                <w:color w:val="auto"/>
              </w:rPr>
            </w:pPr>
            <w:r>
              <w:rPr>
                <w:rFonts w:ascii="Arial" w:cs="Arial" w:eastAsia="Arial" w:hAnsi="Arial"/>
                <w:sz w:val="18"/>
                <w:szCs w:val="18"/>
                <w:color w:val="auto"/>
              </w:rPr>
              <w:t>5,788,000</w:t>
            </w:r>
          </w:p>
        </w:tc>
        <w:tc>
          <w:tcPr>
            <w:tcW w:w="4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31.92%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371,574,000 (2)</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18,142,000 (3)</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March 31,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4"/>
                <w:szCs w:val="14"/>
                <w:b w:val="1"/>
                <w:bCs w:val="1"/>
                <w:color w:val="auto"/>
                <w:w w:val="86"/>
              </w:rPr>
              <w:t>2009 Guidance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6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(Dollars in millions except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per share amounts)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Funds from Operations available for common shareholders (FFO)</w:t>
            </w:r>
          </w:p>
        </w:tc>
        <w:tc>
          <w:tcPr>
            <w:tcW w:w="5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Net income attributable to the Trust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4"/>
          </w:tcPr>
          <w:p>
            <w:pPr>
              <w:spacing w:after="0"/>
              <w:rPr>
                <w:sz w:val="20"/>
                <w:szCs w:val="20"/>
                <w:color w:val="auto"/>
              </w:rPr>
            </w:pPr>
            <w:r>
              <w:rPr>
                <w:rFonts w:ascii="Arial" w:cs="Arial" w:eastAsia="Arial" w:hAnsi="Arial"/>
                <w:sz w:val="18"/>
                <w:szCs w:val="18"/>
                <w:color w:val="auto"/>
              </w:rPr>
              <w:t>Funds from operations</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Income attributable to operating partnerships units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9700" w:type="dxa"/>
            <w:vAlign w:val="bottom"/>
            <w:gridSpan w:val="4"/>
          </w:tcPr>
          <w:p>
            <w:pPr>
              <w:spacing w:after="0"/>
              <w:rPr>
                <w:sz w:val="20"/>
                <w:szCs w:val="20"/>
                <w:color w:val="auto"/>
              </w:rPr>
            </w:pPr>
            <w:r>
              <w:rPr>
                <w:rFonts w:ascii="Arial" w:cs="Arial" w:eastAsia="Arial" w:hAnsi="Arial"/>
                <w:sz w:val="18"/>
                <w:szCs w:val="18"/>
                <w:color w:val="auto"/>
              </w:rPr>
              <w:t>FFO</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4"/>
          </w:tcPr>
          <w:p>
            <w:pPr>
              <w:spacing w:after="0"/>
              <w:rPr>
                <w:sz w:val="20"/>
                <w:szCs w:val="20"/>
                <w:color w:val="auto"/>
              </w:rPr>
            </w:pPr>
            <w:r>
              <w:rPr>
                <w:rFonts w:ascii="Arial" w:cs="Arial" w:eastAsia="Arial" w:hAnsi="Arial"/>
                <w:sz w:val="18"/>
                <w:szCs w:val="18"/>
                <w:color w:val="auto"/>
              </w:rPr>
              <w:t>FFO excluding litigation provision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00" w:type="dxa"/>
            <w:vAlign w:val="bottom"/>
            <w:gridSpan w:val="4"/>
          </w:tcPr>
          <w:p>
            <w:pPr>
              <w:spacing w:after="0"/>
              <w:rPr>
                <w:sz w:val="20"/>
                <w:szCs w:val="20"/>
                <w:color w:val="auto"/>
              </w:rPr>
            </w:pPr>
            <w:r>
              <w:rPr>
                <w:rFonts w:ascii="Arial" w:cs="Arial" w:eastAsia="Arial" w:hAnsi="Arial"/>
                <w:sz w:val="18"/>
                <w:szCs w:val="18"/>
                <w:color w:val="auto"/>
              </w:rPr>
              <w:t>FFO per diluted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Litigation provision (2)</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4"/>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additional information in the litigation update section of this Form 8-K.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Update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recently issued a tentative ruling awarding damages to the plaintiff of approximately $14.4 million plus interest. A final judgment awarding damages and determining interest is not expected to be entered for a few weeks. We and the plaintiff have filed briefs with the court addressing various items raised in the court’s tentative ruling. The plaintiff has alleged in its brief that the damages award should be $15.5 million. Based on our calculations and estimates provided by the plaintiff, interest is estimated to be in a range of approximately $2.1 million to $8.4 million. We believe and have recently filed arguments supporting a lower damages amount and will file arguments supporting a lower interest amount towards the low end of the range. However, based on the tentative ruling and information currently available, our best estimate of damages is $14.3 million plus interest of $7.1 million for a total of $21.4 million. Accordingly, we have increased our accrual for this matter from $0.8 million at December 31, 2008, to $21.4 million at March 31, 2009. The increase in our accrual of $20.6 million is presented as a separate line item in our consolidated statement of operations. Other costs may be asserted by the plaintiff, however, we are unable to estimate the amount or a reasonable range of likely outcomes at this time. Furthermore, we continue to believe that the “Final Proposal” which included express language that it was subject to formal documentation was not a binding contract and that we should have no liability whatsoever. Accordingly, we intend to appeal the judgment once the final judgment on damages is entered.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See page 23 for a copy of the “Final Proposal”.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Steven J. Guttman</w:t>
            </w: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40" w:type="dxa"/>
            <w:vAlign w:val="bottom"/>
          </w:tcPr>
          <w:p>
            <w:pPr>
              <w:ind w:left="3780"/>
              <w:spacing w:after="0"/>
              <w:rPr>
                <w:sz w:val="20"/>
                <w:szCs w:val="20"/>
                <w:color w:val="auto"/>
              </w:rPr>
            </w:pPr>
            <w:r>
              <w:rPr>
                <w:rFonts w:ascii="Arial" w:cs="Arial" w:eastAsia="Arial" w:hAnsi="Arial"/>
                <w:sz w:val="18"/>
                <w:szCs w:val="18"/>
                <w:color w:val="auto"/>
                <w:w w:val="86"/>
              </w:rPr>
              <w:t>August 24, 2000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Santana Row, Winchester Blvd,</w:t>
            </w: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San Jose, CA. 95128</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940" w:type="dxa"/>
            <w:vAlign w:val="bottom"/>
          </w:tcPr>
          <w:p>
            <w:pPr>
              <w:spacing w:after="0"/>
              <w:rPr>
                <w:sz w:val="19"/>
                <w:szCs w:val="19"/>
                <w:color w:val="auto"/>
              </w:rPr>
            </w:pPr>
          </w:p>
        </w:tc>
      </w:tr>
      <w:tr>
        <w:trPr>
          <w:trHeight w:val="412"/>
        </w:trPr>
        <w:tc>
          <w:tcPr>
            <w:tcW w:w="3240" w:type="dxa"/>
            <w:vAlign w:val="bottom"/>
          </w:tcPr>
          <w:p>
            <w:pPr>
              <w:spacing w:after="0"/>
              <w:rPr>
                <w:sz w:val="24"/>
                <w:szCs w:val="24"/>
                <w:color w:val="auto"/>
              </w:rPr>
            </w:pPr>
          </w:p>
        </w:tc>
        <w:tc>
          <w:tcPr>
            <w:tcW w:w="8180" w:type="dxa"/>
            <w:vAlign w:val="bottom"/>
            <w:gridSpan w:val="3"/>
          </w:tcPr>
          <w:p>
            <w:pPr>
              <w:ind w:left="660"/>
              <w:spacing w:after="0"/>
              <w:rPr>
                <w:sz w:val="20"/>
                <w:szCs w:val="20"/>
                <w:color w:val="auto"/>
              </w:rPr>
            </w:pPr>
            <w:r>
              <w:rPr>
                <w:rFonts w:ascii="Arial" w:cs="Arial" w:eastAsia="Arial" w:hAnsi="Arial"/>
                <w:sz w:val="18"/>
                <w:szCs w:val="18"/>
                <w:color w:val="auto"/>
              </w:rPr>
              <w:t>Re: Land Lease / Town &amp; Country</w:t>
            </w:r>
          </w:p>
        </w:tc>
      </w:tr>
      <w:tr>
        <w:trPr>
          <w:trHeight w:val="222"/>
        </w:trPr>
        <w:tc>
          <w:tcPr>
            <w:tcW w:w="3240" w:type="dxa"/>
            <w:vAlign w:val="bottom"/>
          </w:tcPr>
          <w:p>
            <w:pPr>
              <w:spacing w:after="0"/>
              <w:rPr>
                <w:sz w:val="19"/>
                <w:szCs w:val="19"/>
                <w:color w:val="auto"/>
              </w:rPr>
            </w:pPr>
          </w:p>
        </w:tc>
        <w:tc>
          <w:tcPr>
            <w:tcW w:w="8180" w:type="dxa"/>
            <w:vAlign w:val="bottom"/>
            <w:gridSpan w:val="3"/>
          </w:tcPr>
          <w:p>
            <w:pPr>
              <w:ind w:left="660"/>
              <w:spacing w:after="0"/>
              <w:rPr>
                <w:sz w:val="20"/>
                <w:szCs w:val="20"/>
                <w:color w:val="auto"/>
              </w:rPr>
            </w:pPr>
            <w:r>
              <w:rPr>
                <w:rFonts w:ascii="Arial" w:cs="Arial" w:eastAsia="Arial" w:hAnsi="Arial"/>
                <w:sz w:val="18"/>
                <w:szCs w:val="18"/>
                <w:color w:val="auto"/>
              </w:rPr>
              <w:t>350 So. Winchester Blvd. San Jose, CA.</w:t>
            </w:r>
          </w:p>
        </w:tc>
      </w:tr>
      <w:tr>
        <w:trPr>
          <w:trHeight w:val="340"/>
        </w:trPr>
        <w:tc>
          <w:tcPr>
            <w:tcW w:w="3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FINAL PROPOSAL</w:t>
            </w:r>
          </w:p>
        </w:tc>
      </w:tr>
      <w:tr>
        <w:trPr>
          <w:trHeight w:val="20"/>
        </w:trPr>
        <w:tc>
          <w:tcPr>
            <w:tcW w:w="3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Ground Lease at $100,000 per month. Lease to include increases of three (3%) annually.</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National is given a 10 year put at a capitalization rate of 9% at the then current annual rental. Federal Realty to cooperate with a tax free exchange.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Realty to be given a call at the end of ten years at a 9% capitalization rate.</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National to be offered an option to lease office space of up to 5000 square feet in the new Santana Row complex at $ 4.00 per square feet per month, subject to the terms and conditions of a new lease.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National to be reimbursed $75,000 to buy out the current lease holder, New Things West.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Realty to pay for the moving expenses of First National Mortgage not to exceed $25,000.00.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Realty to prepare a legal agreement for First National’s review to finalize the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date of agreement as of date of vacating premises.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above agreement must be accepted via fax to 408-249-9214 no later than 10:00 am California time on August 25, 2000, at which time this counter offer will automatically expire.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above terms are hereby accepted by the parties subject only to approval of the terms and conditions of a formal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FIRST NATIONAL MORTGAGE COMPANY</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FEDERAL REALTY INVESTMENT TRUST</w:t>
            </w:r>
          </w:p>
        </w:tc>
      </w:tr>
      <w:tr>
        <w:trPr>
          <w:trHeight w:val="43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Hal Dryan</w:t>
            </w:r>
          </w:p>
        </w:tc>
        <w:tc>
          <w:tcPr>
            <w:tcW w:w="12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J. Guttman</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Hal Dryan, Chairman</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Steven J. Guttman, President &amp;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104140</wp:posOffset>
            </wp:positionV>
            <wp:extent cx="875030" cy="634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750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FN-0336</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Trial Ex. 021.001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140" w:type="dxa"/>
            <w:vAlign w:val="bottom"/>
            <w:gridSpan w:val="10"/>
          </w:tcPr>
          <w:p>
            <w:pPr>
              <w:jc w:val="right"/>
              <w:ind w:right="20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47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4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4,688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4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Operating income</w:t>
            </w: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98"/>
              </w:rPr>
              <w:t>(1,133)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4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1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740" w:type="dxa"/>
            <w:vAlign w:val="bottom"/>
            <w:gridSpan w:val="3"/>
            <w:vMerge w:val="continue"/>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5"/>
          </w:tcPr>
          <w:p>
            <w:pPr>
              <w:jc w:val="right"/>
              <w:ind w:right="454"/>
              <w:spacing w:after="0" w:line="142" w:lineRule="exact"/>
              <w:rPr>
                <w:sz w:val="20"/>
                <w:szCs w:val="20"/>
                <w:color w:val="auto"/>
              </w:rPr>
            </w:pPr>
            <w:r>
              <w:rPr>
                <w:rFonts w:ascii="Arial" w:cs="Arial" w:eastAsia="Arial" w:hAnsi="Arial"/>
                <w:sz w:val="14"/>
                <w:szCs w:val="14"/>
                <w:b w:val="1"/>
                <w:bCs w:val="1"/>
                <w:color w:val="auto"/>
                <w:w w:val="84"/>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5420" w:type="dxa"/>
            <w:vAlign w:val="bottom"/>
            <w:gridSpan w:val="5"/>
          </w:tcPr>
          <w:p>
            <w:pPr>
              <w:jc w:val="right"/>
              <w:spacing w:after="0"/>
              <w:rPr>
                <w:sz w:val="20"/>
                <w:szCs w:val="20"/>
                <w:color w:val="auto"/>
              </w:rPr>
            </w:pPr>
            <w:r>
              <w:rPr>
                <w:rFonts w:ascii="Arial" w:cs="Arial" w:eastAsia="Arial" w:hAnsi="Arial"/>
                <w:sz w:val="18"/>
                <w:szCs w:val="18"/>
                <w:color w:val="auto"/>
              </w:rPr>
              <w:t>$202,523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9"/>
              </w:rPr>
              <w:t>(15,799)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(14,609)</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186,724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187,910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195,141</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4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81,320</w:t>
            </w:r>
          </w:p>
        </w:tc>
        <w:tc>
          <w:tcPr>
            <w:tcW w:w="200" w:type="dxa"/>
            <w:vAlign w:val="bottom"/>
          </w:tcPr>
          <w:p>
            <w:pPr>
              <w:spacing w:after="0"/>
              <w:rPr>
                <w:sz w:val="18"/>
                <w:szCs w:val="18"/>
                <w:color w:val="auto"/>
              </w:rPr>
            </w:pP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88,093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4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107,048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54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195,141</w:t>
            </w:r>
          </w:p>
        </w:tc>
        <w:tc>
          <w:tcPr>
            <w:tcW w:w="200" w:type="dxa"/>
            <w:vAlign w:val="bottom"/>
          </w:tcPr>
          <w:p>
            <w:pPr>
              <w:spacing w:after="0"/>
              <w:rPr>
                <w:sz w:val="19"/>
                <w:szCs w:val="19"/>
                <w:color w:val="auto"/>
              </w:rPr>
            </w:pP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540" w:type="dxa"/>
            <w:vAlign w:val="bottom"/>
            <w:vMerge w:val="restart"/>
          </w:tcPr>
          <w:p>
            <w:pPr>
              <w:jc w:val="right"/>
              <w:ind w:right="3392"/>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4"/>
              </w:rPr>
              <w:t>Stated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5"/>
              </w:rPr>
              <w:t>Maturity</w:t>
            </w:r>
          </w:p>
        </w:tc>
        <w:tc>
          <w:tcPr>
            <w:tcW w:w="80" w:type="dxa"/>
            <w:vAlign w:val="bottom"/>
          </w:tcPr>
          <w:p>
            <w:pPr>
              <w:spacing w:after="0"/>
              <w:rPr>
                <w:sz w:val="14"/>
                <w:szCs w:val="14"/>
                <w:color w:val="auto"/>
              </w:rPr>
            </w:pPr>
          </w:p>
        </w:tc>
        <w:tc>
          <w:tcPr>
            <w:tcW w:w="19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0"/>
              </w:rPr>
              <w:t>March 31, 2009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5"/>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Campus Plaza</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12/01/09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4.530%(a)</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tcPr>
          <w:p>
            <w:pPr>
              <w:ind w:left="440"/>
              <w:spacing w:after="0"/>
              <w:rPr>
                <w:sz w:val="20"/>
                <w:szCs w:val="20"/>
                <w:color w:val="auto"/>
              </w:rPr>
            </w:pPr>
            <w:r>
              <w:rPr>
                <w:rFonts w:ascii="Arial" w:cs="Arial" w:eastAsia="Arial" w:hAnsi="Arial"/>
                <w:sz w:val="18"/>
                <w:szCs w:val="18"/>
                <w:color w:val="auto"/>
              </w:rPr>
              <w:t>Pleasant Shops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12/01/09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ind w:left="660"/>
              <w:spacing w:after="0"/>
              <w:rPr>
                <w:sz w:val="20"/>
                <w:szCs w:val="20"/>
                <w:color w:val="auto"/>
              </w:rPr>
            </w:pPr>
            <w:r>
              <w:rPr>
                <w:rFonts w:ascii="Arial" w:cs="Arial" w:eastAsia="Arial" w:hAnsi="Arial"/>
                <w:sz w:val="18"/>
                <w:szCs w:val="18"/>
                <w:color w:val="auto"/>
              </w:rPr>
              <w:t>4.530%(a)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5.770%(b)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80" w:type="dxa"/>
            <w:vAlign w:val="bottom"/>
            <w:gridSpan w:val="5"/>
          </w:tcPr>
          <w:p>
            <w:pPr>
              <w:ind w:left="440"/>
              <w:spacing w:after="0"/>
              <w:rPr>
                <w:sz w:val="20"/>
                <w:szCs w:val="20"/>
                <w:color w:val="auto"/>
              </w:rPr>
            </w:pPr>
            <w:r>
              <w:rPr>
                <w:rFonts w:ascii="Arial" w:cs="Arial" w:eastAsia="Arial" w:hAnsi="Arial"/>
                <w:sz w:val="18"/>
                <w:szCs w:val="18"/>
                <w:color w:val="auto"/>
              </w:rPr>
              <w:t>Atlantic Plaza</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12/01/14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3"/>
          </w:tcPr>
          <w:p>
            <w:pPr>
              <w:ind w:left="660"/>
              <w:spacing w:after="0"/>
              <w:rPr>
                <w:sz w:val="20"/>
                <w:szCs w:val="20"/>
                <w:color w:val="auto"/>
              </w:rPr>
            </w:pPr>
            <w:r>
              <w:rPr>
                <w:rFonts w:ascii="Arial" w:cs="Arial" w:eastAsia="Arial" w:hAnsi="Arial"/>
                <w:sz w:val="18"/>
                <w:szCs w:val="18"/>
                <w:color w:val="auto"/>
              </w:rPr>
              <w:t>5.120%(a)</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18"/>
        </w:trPr>
        <w:tc>
          <w:tcPr>
            <w:tcW w:w="25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07/01/16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5.990%(a)(c)</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gridSpan w:val="5"/>
          </w:tcPr>
          <w:p>
            <w:pPr>
              <w:ind w:left="440"/>
              <w:spacing w:after="0"/>
              <w:rPr>
                <w:sz w:val="20"/>
                <w:szCs w:val="20"/>
                <w:color w:val="auto"/>
              </w:rPr>
            </w:pPr>
            <w:r>
              <w:rPr>
                <w:rFonts w:ascii="Arial" w:cs="Arial" w:eastAsia="Arial" w:hAnsi="Arial"/>
                <w:sz w:val="18"/>
                <w:szCs w:val="18"/>
                <w:color w:val="auto"/>
              </w:rPr>
              <w:t>Greenlawn Plaza</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07/01/16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3"/>
          </w:tcPr>
          <w:p>
            <w:pPr>
              <w:ind w:left="660"/>
              <w:spacing w:after="0"/>
              <w:rPr>
                <w:sz w:val="20"/>
                <w:szCs w:val="20"/>
                <w:color w:val="auto"/>
              </w:rPr>
            </w:pPr>
            <w:r>
              <w:rPr>
                <w:rFonts w:ascii="Arial" w:cs="Arial" w:eastAsia="Arial" w:hAnsi="Arial"/>
                <w:sz w:val="18"/>
                <w:szCs w:val="18"/>
                <w:color w:val="auto"/>
              </w:rPr>
              <w:t>5.900%(a)</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9"/>
              </w:rPr>
              <w:t>Total Fixed Rate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w w:val="90"/>
              </w:rPr>
              <w:t>Debt Maturities</w:t>
            </w:r>
          </w:p>
        </w:tc>
        <w:tc>
          <w:tcPr>
            <w:tcW w:w="1460" w:type="dxa"/>
            <w:vAlign w:val="bottom"/>
            <w:gridSpan w:val="3"/>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120" w:type="dxa"/>
            <w:vAlign w:val="bottom"/>
            <w:tcBorders>
              <w:bottom w:val="single" w:sz="8" w:color="auto"/>
            </w:tcBorders>
            <w:gridSpan w:val="2"/>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80" w:type="dxa"/>
            <w:vAlign w:val="bottom"/>
            <w:gridSpan w:val="5"/>
          </w:tcPr>
          <w:p>
            <w:pPr>
              <w:ind w:left="20"/>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Percent of</w:t>
            </w: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4"/>
                <w:szCs w:val="14"/>
                <w:color w:val="auto"/>
              </w:rPr>
            </w:pPr>
          </w:p>
        </w:tc>
        <w:tc>
          <w:tcPr>
            <w:tcW w:w="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Year</w:t>
            </w: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Maturities</w:t>
            </w:r>
          </w:p>
        </w:tc>
        <w:tc>
          <w:tcPr>
            <w:tcW w:w="440" w:type="dxa"/>
            <w:vAlign w:val="bottom"/>
          </w:tcPr>
          <w:p>
            <w:pPr>
              <w:spacing w:after="0"/>
              <w:rPr>
                <w:sz w:val="14"/>
                <w:szCs w:val="14"/>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Debt Maturing</w:t>
            </w:r>
          </w:p>
        </w:tc>
        <w:tc>
          <w:tcPr>
            <w:tcW w:w="1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2009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140</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23,400</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23,540</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tcPr>
          <w:p>
            <w:pPr>
              <w:jc w:val="center"/>
              <w:ind w:right="240"/>
              <w:spacing w:after="0"/>
              <w:rPr>
                <w:sz w:val="20"/>
                <w:szCs w:val="20"/>
                <w:color w:val="auto"/>
              </w:rPr>
            </w:pPr>
            <w:r>
              <w:rPr>
                <w:rFonts w:ascii="Arial" w:cs="Arial" w:eastAsia="Arial" w:hAnsi="Arial"/>
                <w:sz w:val="18"/>
                <w:szCs w:val="18"/>
                <w:color w:val="auto"/>
                <w:w w:val="84"/>
              </w:rPr>
              <w:t>2010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196</w:t>
            </w:r>
          </w:p>
        </w:tc>
        <w:tc>
          <w:tcPr>
            <w:tcW w:w="4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2011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208</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208</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tcPr>
          <w:p>
            <w:pPr>
              <w:jc w:val="center"/>
              <w:ind w:right="240"/>
              <w:spacing w:after="0"/>
              <w:rPr>
                <w:sz w:val="20"/>
                <w:szCs w:val="20"/>
                <w:color w:val="auto"/>
              </w:rPr>
            </w:pPr>
            <w:r>
              <w:rPr>
                <w:rFonts w:ascii="Arial" w:cs="Arial" w:eastAsia="Arial" w:hAnsi="Arial"/>
                <w:sz w:val="18"/>
                <w:szCs w:val="18"/>
                <w:color w:val="auto"/>
                <w:w w:val="84"/>
              </w:rPr>
              <w:t>2012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220</w:t>
            </w:r>
          </w:p>
        </w:tc>
        <w:tc>
          <w:tcPr>
            <w:tcW w:w="5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220</w:t>
            </w:r>
          </w:p>
        </w:tc>
        <w:tc>
          <w:tcPr>
            <w:tcW w:w="4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2013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233</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233</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tcPr>
          <w:p>
            <w:pPr>
              <w:jc w:val="center"/>
              <w:ind w:right="240"/>
              <w:spacing w:after="0"/>
              <w:rPr>
                <w:sz w:val="20"/>
                <w:szCs w:val="20"/>
                <w:color w:val="auto"/>
              </w:rPr>
            </w:pPr>
            <w:r>
              <w:rPr>
                <w:rFonts w:ascii="Arial" w:cs="Arial" w:eastAsia="Arial" w:hAnsi="Arial"/>
                <w:sz w:val="18"/>
                <w:szCs w:val="18"/>
                <w:color w:val="auto"/>
                <w:w w:val="84"/>
              </w:rPr>
              <w:t>2014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142</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22,396</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22,538</w:t>
            </w:r>
          </w:p>
        </w:tc>
        <w:tc>
          <w:tcPr>
            <w:tcW w:w="4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27.7%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2015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tcPr>
          <w:p>
            <w:pPr>
              <w:jc w:val="center"/>
              <w:ind w:right="240"/>
              <w:spacing w:after="0"/>
              <w:rPr>
                <w:sz w:val="20"/>
                <w:szCs w:val="20"/>
                <w:color w:val="auto"/>
              </w:rPr>
            </w:pPr>
            <w:r>
              <w:rPr>
                <w:rFonts w:ascii="Arial" w:cs="Arial" w:eastAsia="Arial" w:hAnsi="Arial"/>
                <w:sz w:val="18"/>
                <w:szCs w:val="18"/>
                <w:color w:val="auto"/>
                <w:w w:val="84"/>
              </w:rPr>
              <w:t>2016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34,385</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color w:val="auto"/>
              </w:rPr>
              <w:t>34,385</w:t>
            </w:r>
          </w:p>
        </w:tc>
        <w:tc>
          <w:tcPr>
            <w:tcW w:w="4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42.3%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4"/>
              </w:rPr>
              <w:t>Total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1,139</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$ 80,181</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81,320</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Mortgage or</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Grocery</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Real Estate</w:t>
            </w:r>
          </w:p>
        </w:tc>
        <w:tc>
          <w:tcPr>
            <w:tcW w:w="16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Capital Lease</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Anchor</w:t>
            </w:r>
          </w:p>
        </w:tc>
        <w:tc>
          <w:tcPr>
            <w:tcW w:w="86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Grocery</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00" w:type="dxa"/>
            <w:vAlign w:val="bottom"/>
            <w:gridSpan w:val="7"/>
          </w:tcPr>
          <w:p>
            <w:pPr>
              <w:spacing w:after="0"/>
              <w:rPr>
                <w:sz w:val="20"/>
                <w:szCs w:val="20"/>
                <w:color w:val="auto"/>
              </w:rPr>
            </w:pPr>
            <w:r>
              <w:rPr>
                <w:rFonts w:ascii="Arial" w:cs="Arial" w:eastAsia="Arial" w:hAnsi="Arial"/>
                <w:sz w:val="14"/>
                <w:szCs w:val="14"/>
                <w:b w:val="1"/>
                <w:bCs w:val="1"/>
                <w:color w:val="auto"/>
              </w:rPr>
              <w:t>Property Name</w:t>
            </w:r>
          </w:p>
        </w:tc>
        <w:tc>
          <w:tcPr>
            <w:tcW w:w="360" w:type="dxa"/>
            <w:vAlign w:val="bottom"/>
          </w:tcPr>
          <w:p>
            <w:pPr>
              <w:spacing w:after="0"/>
              <w:rPr>
                <w:sz w:val="14"/>
                <w:szCs w:val="14"/>
                <w:color w:val="auto"/>
              </w:rPr>
            </w:pP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MSA Description</w:t>
            </w: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at 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Obligation</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GLA</w:t>
            </w: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Leased</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GLA (1)</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Anchor (1)</w:t>
            </w:r>
          </w:p>
        </w:tc>
        <w:tc>
          <w:tcPr>
            <w:tcW w:w="18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w w:val="89"/>
              </w:rPr>
              <w:t>Principal Tenants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(in thousands)</w:t>
            </w: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1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Washington Metropolitan Area</w:t>
            </w:r>
          </w:p>
        </w:tc>
        <w:tc>
          <w:tcPr>
            <w:tcW w:w="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gridSpan w:val="6"/>
          </w:tcPr>
          <w:p>
            <w:pPr>
              <w:spacing w:after="0" w:line="142" w:lineRule="exact"/>
              <w:rPr>
                <w:sz w:val="20"/>
                <w:szCs w:val="20"/>
                <w:color w:val="auto"/>
              </w:rPr>
            </w:pPr>
            <w:r>
              <w:rPr>
                <w:rFonts w:ascii="Arial" w:cs="Arial" w:eastAsia="Arial" w:hAnsi="Arial"/>
                <w:sz w:val="14"/>
                <w:szCs w:val="14"/>
                <w:color w:val="auto"/>
              </w:rPr>
              <w:t>Barcroft Plaza</w:t>
            </w:r>
          </w:p>
        </w:tc>
        <w:tc>
          <w:tcPr>
            <w:tcW w:w="1760" w:type="dxa"/>
            <w:vAlign w:val="bottom"/>
            <w:gridSpan w:val="2"/>
          </w:tcPr>
          <w:p>
            <w:pPr>
              <w:ind w:left="360"/>
              <w:spacing w:after="0" w:line="142" w:lineRule="exact"/>
              <w:rPr>
                <w:sz w:val="20"/>
                <w:szCs w:val="20"/>
                <w:color w:val="auto"/>
              </w:rPr>
            </w:pPr>
            <w:r>
              <w:rPr>
                <w:rFonts w:ascii="Arial" w:cs="Arial" w:eastAsia="Arial" w:hAnsi="Arial"/>
                <w:sz w:val="14"/>
                <w:szCs w:val="14"/>
                <w:color w:val="auto"/>
                <w:w w:val="90"/>
              </w:rPr>
              <w:t>Washington, DC-MD-VA</w:t>
            </w:r>
          </w:p>
        </w:tc>
        <w:tc>
          <w:tcPr>
            <w:tcW w:w="9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2006-2007</w:t>
            </w: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34,059</w:t>
            </w:r>
          </w:p>
        </w:tc>
        <w:tc>
          <w:tcPr>
            <w:tcW w:w="240" w:type="dxa"/>
            <w:vAlign w:val="bottom"/>
            <w:gridSpan w:val="2"/>
          </w:tcPr>
          <w:p>
            <w:pPr>
              <w:ind w:left="16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20,785</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82"/>
              </w:rPr>
              <w:t>100,000</w:t>
            </w:r>
          </w:p>
        </w:tc>
        <w:tc>
          <w:tcPr>
            <w:tcW w:w="7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94%</w:t>
            </w: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46,000</w:t>
            </w:r>
          </w:p>
        </w:tc>
        <w:tc>
          <w:tcPr>
            <w:tcW w:w="860" w:type="dxa"/>
            <w:vAlign w:val="bottom"/>
          </w:tcPr>
          <w:p>
            <w:pPr>
              <w:spacing w:after="0" w:line="142" w:lineRule="exact"/>
              <w:rPr>
                <w:sz w:val="20"/>
                <w:szCs w:val="20"/>
                <w:color w:val="auto"/>
              </w:rPr>
            </w:pPr>
            <w:r>
              <w:rPr>
                <w:rFonts w:ascii="Arial" w:cs="Arial" w:eastAsia="Arial" w:hAnsi="Arial"/>
                <w:sz w:val="14"/>
                <w:szCs w:val="14"/>
                <w:color w:val="auto"/>
              </w:rPr>
              <w:t>Harris Teeter</w:t>
            </w:r>
          </w:p>
        </w:tc>
        <w:tc>
          <w:tcPr>
            <w:tcW w:w="180" w:type="dxa"/>
            <w:vAlign w:val="bottom"/>
          </w:tcPr>
          <w:p>
            <w:pPr>
              <w:spacing w:after="0"/>
              <w:rPr>
                <w:sz w:val="12"/>
                <w:szCs w:val="12"/>
                <w:color w:val="auto"/>
              </w:rPr>
            </w:pPr>
          </w:p>
        </w:tc>
        <w:tc>
          <w:tcPr>
            <w:tcW w:w="1100" w:type="dxa"/>
            <w:vAlign w:val="bottom"/>
          </w:tcPr>
          <w:p>
            <w:pPr>
              <w:spacing w:after="0" w:line="142" w:lineRule="exact"/>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Free State Shopping Center</w:t>
            </w:r>
          </w:p>
        </w:tc>
        <w:tc>
          <w:tcPr>
            <w:tcW w:w="1760" w:type="dxa"/>
            <w:vAlign w:val="bottom"/>
            <w:gridSpan w:val="2"/>
            <w:shd w:val="clear" w:color="auto" w:fill="CCEEFF"/>
          </w:tcPr>
          <w:p>
            <w:pPr>
              <w:ind w:left="360"/>
              <w:spacing w:after="0" w:line="138" w:lineRule="exact"/>
              <w:rPr>
                <w:sz w:val="20"/>
                <w:szCs w:val="20"/>
                <w:color w:val="auto"/>
              </w:rPr>
            </w:pPr>
            <w:r>
              <w:rPr>
                <w:rFonts w:ascii="Arial" w:cs="Arial" w:eastAsia="Arial" w:hAnsi="Arial"/>
                <w:sz w:val="14"/>
                <w:szCs w:val="14"/>
                <w:color w:val="auto"/>
                <w:w w:val="90"/>
              </w:rPr>
              <w:t>Washington, DC-MD-VA</w:t>
            </w:r>
          </w:p>
        </w:tc>
        <w:tc>
          <w:tcPr>
            <w:tcW w:w="94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2007</w:t>
            </w: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65,846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2"/>
              </w:rPr>
              <w:t>279,000</w:t>
            </w:r>
          </w:p>
        </w:tc>
        <w:tc>
          <w:tcPr>
            <w:tcW w:w="7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99%</w:t>
            </w:r>
          </w:p>
        </w:tc>
        <w:tc>
          <w:tcPr>
            <w:tcW w:w="6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73,000</w:t>
            </w:r>
          </w:p>
        </w:tc>
        <w:tc>
          <w:tcPr>
            <w:tcW w:w="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TJ Maxx / Ross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6"/>
          </w:tcPr>
          <w:p>
            <w:pPr>
              <w:spacing w:after="0" w:line="149" w:lineRule="exact"/>
              <w:rPr>
                <w:sz w:val="20"/>
                <w:szCs w:val="20"/>
                <w:color w:val="auto"/>
              </w:rPr>
            </w:pPr>
            <w:r>
              <w:rPr>
                <w:rFonts w:ascii="Arial" w:cs="Arial" w:eastAsia="Arial" w:hAnsi="Arial"/>
                <w:sz w:val="14"/>
                <w:szCs w:val="14"/>
                <w:color w:val="auto"/>
              </w:rPr>
              <w:t>Plaza del Mercado</w:t>
            </w:r>
          </w:p>
        </w:tc>
        <w:tc>
          <w:tcPr>
            <w:tcW w:w="176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0"/>
              </w:rPr>
              <w:t>Washington, DC-MD-VA</w:t>
            </w: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21,070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13,035</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96,000</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86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8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4"/>
                <w:szCs w:val="14"/>
                <w:b w:val="1"/>
                <w:bCs w:val="1"/>
                <w:color w:val="auto"/>
              </w:rPr>
              <w:t>Total Washington</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120,975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w w:val="82"/>
              </w:rPr>
              <w:t>475,000</w:t>
            </w:r>
          </w:p>
        </w:tc>
        <w:tc>
          <w:tcPr>
            <w:tcW w:w="7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Metropolitan Area</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82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Greenlawn Plaza</w:t>
            </w:r>
          </w:p>
        </w:tc>
        <w:tc>
          <w:tcPr>
            <w:tcW w:w="176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Nassau-Suffolk, NY</w:t>
            </w:r>
          </w:p>
        </w:tc>
        <w:tc>
          <w:tcPr>
            <w:tcW w:w="94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2006</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19,983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13,600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82"/>
              </w:rPr>
              <w:t>106,000</w:t>
            </w:r>
          </w:p>
        </w:tc>
        <w:tc>
          <w:tcPr>
            <w:tcW w:w="7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100%</w:t>
            </w: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46,000</w:t>
            </w:r>
          </w:p>
        </w:tc>
        <w:tc>
          <w:tcPr>
            <w:tcW w:w="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Waldbaum’s</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Total New York / New Jersey</w:t>
            </w: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19,983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106,000</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England</w:t>
            </w:r>
          </w:p>
        </w:tc>
        <w:tc>
          <w:tcPr>
            <w:tcW w:w="1380" w:type="dxa"/>
            <w:vAlign w:val="bottom"/>
            <w:tcBorders>
              <w:bottom w:val="single" w:sz="8" w:color="CCEEFF"/>
            </w:tcBorders>
            <w:gridSpan w:val="3"/>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80" w:type="dxa"/>
            <w:vAlign w:val="bottom"/>
            <w:gridSpan w:val="6"/>
          </w:tcPr>
          <w:p>
            <w:pPr>
              <w:spacing w:after="0" w:line="131" w:lineRule="exact"/>
              <w:rPr>
                <w:sz w:val="20"/>
                <w:szCs w:val="20"/>
                <w:color w:val="auto"/>
              </w:rPr>
            </w:pPr>
            <w:r>
              <w:rPr>
                <w:rFonts w:ascii="Arial" w:cs="Arial" w:eastAsia="Arial" w:hAnsi="Arial"/>
                <w:sz w:val="14"/>
                <w:szCs w:val="14"/>
                <w:color w:val="auto"/>
              </w:rPr>
              <w:t>Atlantic Plaza</w:t>
            </w:r>
          </w:p>
        </w:tc>
        <w:tc>
          <w:tcPr>
            <w:tcW w:w="176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Boston-Worcester-</w:t>
            </w:r>
          </w:p>
        </w:tc>
        <w:tc>
          <w:tcPr>
            <w:tcW w:w="940" w:type="dxa"/>
            <w:vAlign w:val="bottom"/>
            <w:gridSpan w:val="3"/>
          </w:tcPr>
          <w:p>
            <w:pPr>
              <w:jc w:val="right"/>
              <w:ind w:right="180"/>
              <w:spacing w:after="0" w:line="13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16,521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10,500</w:t>
            </w:r>
          </w:p>
        </w:tc>
        <w:tc>
          <w:tcPr>
            <w:tcW w:w="180" w:type="dxa"/>
            <w:vAlign w:val="bottom"/>
          </w:tcPr>
          <w:p>
            <w:pPr>
              <w:spacing w:after="0"/>
              <w:rPr>
                <w:sz w:val="11"/>
                <w:szCs w:val="11"/>
                <w:color w:val="auto"/>
              </w:rPr>
            </w:pPr>
          </w:p>
        </w:tc>
        <w:tc>
          <w:tcPr>
            <w:tcW w:w="620" w:type="dxa"/>
            <w:vAlign w:val="bottom"/>
            <w:gridSpan w:val="2"/>
          </w:tcPr>
          <w:p>
            <w:pPr>
              <w:jc w:val="right"/>
              <w:ind w:right="180"/>
              <w:spacing w:after="0" w:line="131" w:lineRule="exact"/>
              <w:rPr>
                <w:sz w:val="20"/>
                <w:szCs w:val="20"/>
                <w:color w:val="auto"/>
              </w:rPr>
            </w:pPr>
            <w:r>
              <w:rPr>
                <w:rFonts w:ascii="Arial" w:cs="Arial" w:eastAsia="Arial" w:hAnsi="Arial"/>
                <w:sz w:val="14"/>
                <w:szCs w:val="14"/>
                <w:color w:val="auto"/>
                <w:w w:val="82"/>
              </w:rPr>
              <w:t>124,000</w:t>
            </w:r>
          </w:p>
        </w:tc>
        <w:tc>
          <w:tcPr>
            <w:tcW w:w="700" w:type="dxa"/>
            <w:vAlign w:val="bottom"/>
            <w:gridSpan w:val="2"/>
          </w:tcPr>
          <w:p>
            <w:pPr>
              <w:jc w:val="right"/>
              <w:ind w:right="180"/>
              <w:spacing w:after="0" w:line="131" w:lineRule="exact"/>
              <w:rPr>
                <w:sz w:val="20"/>
                <w:szCs w:val="20"/>
                <w:color w:val="auto"/>
              </w:rPr>
            </w:pPr>
            <w:r>
              <w:rPr>
                <w:rFonts w:ascii="Arial" w:cs="Arial" w:eastAsia="Arial" w:hAnsi="Arial"/>
                <w:sz w:val="14"/>
                <w:szCs w:val="14"/>
                <w:color w:val="auto"/>
              </w:rPr>
              <w:t>96%</w:t>
            </w: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4"/>
                <w:szCs w:val="14"/>
                <w:color w:val="auto"/>
              </w:rPr>
              <w:t>63,000</w:t>
            </w:r>
          </w:p>
        </w:tc>
        <w:tc>
          <w:tcPr>
            <w:tcW w:w="860" w:type="dxa"/>
            <w:vAlign w:val="bottom"/>
          </w:tcPr>
          <w:p>
            <w:pPr>
              <w:spacing w:after="0" w:line="131" w:lineRule="exact"/>
              <w:rPr>
                <w:sz w:val="20"/>
                <w:szCs w:val="20"/>
                <w:color w:val="auto"/>
              </w:rPr>
            </w:pPr>
            <w:r>
              <w:rPr>
                <w:rFonts w:ascii="Arial" w:cs="Arial" w:eastAsia="Arial" w:hAnsi="Arial"/>
                <w:sz w:val="14"/>
                <w:szCs w:val="14"/>
                <w:color w:val="auto"/>
              </w:rPr>
              <w:t>Shaw’s</w:t>
            </w:r>
          </w:p>
        </w:tc>
        <w:tc>
          <w:tcPr>
            <w:tcW w:w="180" w:type="dxa"/>
            <w:vAlign w:val="bottom"/>
          </w:tcPr>
          <w:p>
            <w:pPr>
              <w:spacing w:after="0"/>
              <w:rPr>
                <w:sz w:val="11"/>
                <w:szCs w:val="11"/>
                <w:color w:val="auto"/>
              </w:rPr>
            </w:pPr>
          </w:p>
        </w:tc>
        <w:tc>
          <w:tcPr>
            <w:tcW w:w="1100" w:type="dxa"/>
            <w:vAlign w:val="bottom"/>
          </w:tcPr>
          <w:p>
            <w:pPr>
              <w:spacing w:after="0" w:line="131"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Lawrence-Lowell-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Supermarket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Brockton, MA</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rPr>
              <w:t>Campus Plaza</w:t>
            </w:r>
          </w:p>
        </w:tc>
        <w:tc>
          <w:tcPr>
            <w:tcW w:w="1760" w:type="dxa"/>
            <w:vAlign w:val="bottom"/>
            <w:gridSpan w:val="2"/>
            <w:shd w:val="clear" w:color="auto" w:fill="CCEEFF"/>
          </w:tcPr>
          <w:p>
            <w:pPr>
              <w:ind w:left="360"/>
              <w:spacing w:after="0" w:line="138" w:lineRule="exact"/>
              <w:rPr>
                <w:sz w:val="20"/>
                <w:szCs w:val="20"/>
                <w:color w:val="auto"/>
              </w:rPr>
            </w:pPr>
            <w:r>
              <w:rPr>
                <w:rFonts w:ascii="Arial" w:cs="Arial" w:eastAsia="Arial" w:hAnsi="Arial"/>
                <w:sz w:val="14"/>
                <w:szCs w:val="14"/>
                <w:color w:val="auto"/>
              </w:rPr>
              <w:t>Boston-Worcester-</w:t>
            </w:r>
          </w:p>
        </w:tc>
        <w:tc>
          <w:tcPr>
            <w:tcW w:w="94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2004</w:t>
            </w:r>
          </w:p>
        </w:tc>
        <w:tc>
          <w:tcPr>
            <w:tcW w:w="8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22,127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11,000</w:t>
            </w:r>
          </w:p>
        </w:tc>
        <w:tc>
          <w:tcPr>
            <w:tcW w:w="6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82"/>
              </w:rPr>
              <w:t>116,000</w:t>
            </w:r>
          </w:p>
        </w:tc>
        <w:tc>
          <w:tcPr>
            <w:tcW w:w="7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100%</w:t>
            </w:r>
          </w:p>
        </w:tc>
        <w:tc>
          <w:tcPr>
            <w:tcW w:w="6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46,000</w:t>
            </w:r>
          </w:p>
        </w:tc>
        <w:tc>
          <w:tcPr>
            <w:tcW w:w="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6"/>
              </w:rPr>
              <w:t>Roche Brothers</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Lawrence-Lowell-</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Brockton, MA</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6"/>
          </w:tcPr>
          <w:p>
            <w:pPr>
              <w:spacing w:after="0" w:line="138" w:lineRule="exact"/>
              <w:rPr>
                <w:sz w:val="20"/>
                <w:szCs w:val="20"/>
                <w:color w:val="auto"/>
              </w:rPr>
            </w:pPr>
            <w:r>
              <w:rPr>
                <w:rFonts w:ascii="Arial" w:cs="Arial" w:eastAsia="Arial" w:hAnsi="Arial"/>
                <w:sz w:val="14"/>
                <w:szCs w:val="14"/>
                <w:color w:val="auto"/>
              </w:rPr>
              <w:t>Pleasant Shops</w:t>
            </w:r>
          </w:p>
        </w:tc>
        <w:tc>
          <w:tcPr>
            <w:tcW w:w="176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Boston-Worcester-</w:t>
            </w:r>
          </w:p>
        </w:tc>
        <w:tc>
          <w:tcPr>
            <w:tcW w:w="94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22,917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12,400</w:t>
            </w:r>
          </w:p>
        </w:tc>
        <w:tc>
          <w:tcPr>
            <w:tcW w:w="180" w:type="dxa"/>
            <w:vAlign w:val="bottom"/>
          </w:tcPr>
          <w:p>
            <w:pPr>
              <w:spacing w:after="0"/>
              <w:rPr>
                <w:sz w:val="11"/>
                <w:szCs w:val="11"/>
                <w:color w:val="auto"/>
              </w:rPr>
            </w:pPr>
          </w:p>
        </w:tc>
        <w:tc>
          <w:tcPr>
            <w:tcW w:w="6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82"/>
              </w:rPr>
              <w:t>129,000</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96%</w:t>
            </w: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38,000</w:t>
            </w:r>
          </w:p>
        </w:tc>
        <w:tc>
          <w:tcPr>
            <w:tcW w:w="860" w:type="dxa"/>
            <w:vAlign w:val="bottom"/>
          </w:tcPr>
          <w:p>
            <w:pPr>
              <w:spacing w:after="0" w:line="138" w:lineRule="exact"/>
              <w:rPr>
                <w:sz w:val="20"/>
                <w:szCs w:val="20"/>
                <w:color w:val="auto"/>
              </w:rPr>
            </w:pPr>
            <w:r>
              <w:rPr>
                <w:rFonts w:ascii="Arial" w:cs="Arial" w:eastAsia="Arial" w:hAnsi="Arial"/>
                <w:sz w:val="14"/>
                <w:szCs w:val="14"/>
                <w:color w:val="auto"/>
              </w:rPr>
              <w:t>Foodmaster</w:t>
            </w:r>
          </w:p>
        </w:tc>
        <w:tc>
          <w:tcPr>
            <w:tcW w:w="180" w:type="dxa"/>
            <w:vAlign w:val="bottom"/>
          </w:tcPr>
          <w:p>
            <w:pPr>
              <w:spacing w:after="0"/>
              <w:rPr>
                <w:sz w:val="11"/>
                <w:szCs w:val="11"/>
                <w:color w:val="auto"/>
              </w:rPr>
            </w:pPr>
          </w:p>
        </w:tc>
        <w:tc>
          <w:tcPr>
            <w:tcW w:w="1100" w:type="dxa"/>
            <w:vAlign w:val="bottom"/>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Lawrence-Lowell-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Brockton, MA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Total New England</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61,565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369,000</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gridSpan w:val="7"/>
            <w:vMerge w:val="restart"/>
          </w:tcPr>
          <w:p>
            <w:pPr>
              <w:spacing w:after="0"/>
              <w:rPr>
                <w:sz w:val="20"/>
                <w:szCs w:val="20"/>
                <w:color w:val="auto"/>
              </w:rPr>
            </w:pPr>
            <w:r>
              <w:rPr>
                <w:rFonts w:ascii="Arial" w:cs="Arial" w:eastAsia="Arial" w:hAnsi="Arial"/>
                <w:sz w:val="14"/>
                <w:szCs w:val="14"/>
                <w:color w:val="auto"/>
              </w:rPr>
              <w:t>Grand Totals</w:t>
            </w: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0" w:type="dxa"/>
            <w:vAlign w:val="bottom"/>
            <w:gridSpan w:val="7"/>
            <w:vMerge w:val="continue"/>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202,523</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81,320</w:t>
            </w:r>
          </w:p>
        </w:tc>
        <w:tc>
          <w:tcPr>
            <w:tcW w:w="1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950,000</w:t>
            </w: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97%</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26</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71"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is a non-GAAP measure that means net income or loss plus depreciation and amortization, net interest expense, income</w:t>
      </w:r>
      <w:r>
        <w:rPr>
          <w:rFonts w:ascii="Arial" w:cs="Arial" w:eastAsia="Arial" w:hAnsi="Arial"/>
          <w:sz w:val="15"/>
          <w:szCs w:val="15"/>
          <w:b w:val="1"/>
          <w:bCs w:val="1"/>
          <w:color w:val="auto"/>
        </w:rPr>
        <w:t xml:space="preserve"> </w:t>
      </w:r>
      <w:r>
        <w:rPr>
          <w:rFonts w:ascii="Arial" w:cs="Arial" w:eastAsia="Arial" w:hAnsi="Arial"/>
          <w:sz w:val="15"/>
          <w:szCs w:val="15"/>
          <w:color w:val="auto"/>
        </w:rPr>
        <w:t>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Adjusted EBITDA to net income attributable to the Trust for the three months ended March 31, 2009 and 2008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28,592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Other interest income</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(90)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62,555</w:t>
            </w: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(915)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61,640</w:t>
            </w: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79,398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3"/>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4"/>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2019-12-10T00:11:42Z</dcterms:created>
  <dcterms:modified xsi:type="dcterms:W3CDTF">2019-12-10T00:11:42Z</dcterms:modified>
</cp:coreProperties>
</file>